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color w:val="FF0000"/>
        </w:rPr>
      </w:pPr>
    </w:p>
    <w:p>
      <w:pPr>
        <w:pStyle w:val="15"/>
        <w:rPr>
          <w:rFonts w:hint="default" w:ascii="Times New Roman" w:hAnsi="Times New Roman" w:cs="Times New Roman"/>
          <w:color w:val="FF0000"/>
        </w:rPr>
      </w:pPr>
    </w:p>
    <w:p>
      <w:pPr>
        <w:pStyle w:val="16"/>
        <w:rPr>
          <w:rFonts w:hint="default" w:ascii="Times New Roman" w:hAnsi="Times New Roman" w:cs="Times New Roman"/>
          <w:color w:val="auto"/>
        </w:rPr>
      </w:pPr>
    </w:p>
    <w:p>
      <w:pPr>
        <w:rPr>
          <w:rFonts w:hint="default" w:ascii="Times New Roman" w:hAnsi="Times New Roman" w:cs="Times New Roman"/>
          <w:color w:val="auto"/>
        </w:rPr>
      </w:pPr>
    </w:p>
    <w:p>
      <w:pPr>
        <w:pStyle w:val="40"/>
        <w:rPr>
          <w:rFonts w:hint="default" w:ascii="Times New Roman" w:hAnsi="Times New Roman" w:cs="Times New Roman"/>
          <w:color w:val="auto"/>
        </w:rPr>
      </w:pPr>
    </w:p>
    <w:p>
      <w:pPr>
        <w:jc w:val="center"/>
        <w:rPr>
          <w:rFonts w:hint="default" w:ascii="Times New Roman" w:hAnsi="Times New Roman" w:cs="Times New Roman"/>
          <w:color w:val="auto"/>
          <w:sz w:val="72"/>
          <w:szCs w:val="72"/>
        </w:rPr>
      </w:pPr>
      <w:r>
        <w:rPr>
          <w:rFonts w:hint="default" w:ascii="Times New Roman" w:hAnsi="Times New Roman" w:cs="Times New Roman"/>
          <w:color w:val="auto"/>
          <w:sz w:val="72"/>
          <w:szCs w:val="72"/>
        </w:rPr>
        <w:t>建设项目环境影响报告表</w:t>
      </w:r>
    </w:p>
    <w:p>
      <w:pPr>
        <w:jc w:val="center"/>
        <w:rPr>
          <w:rFonts w:hint="default" w:ascii="Times New Roman" w:hAnsi="Times New Roman" w:cs="Times New Roman"/>
          <w:color w:val="auto"/>
          <w:sz w:val="48"/>
          <w:szCs w:val="48"/>
        </w:rPr>
      </w:pPr>
      <w:r>
        <w:rPr>
          <w:rFonts w:hint="default" w:ascii="Times New Roman" w:hAnsi="Times New Roman" w:cs="Times New Roman"/>
          <w:color w:val="auto"/>
          <w:sz w:val="48"/>
          <w:szCs w:val="48"/>
        </w:rPr>
        <w:t>（污染影响类）</w:t>
      </w:r>
    </w:p>
    <w:p>
      <w:pPr>
        <w:rPr>
          <w:rFonts w:hint="default" w:ascii="Times New Roman" w:hAnsi="Times New Roman" w:cs="Times New Roman"/>
          <w:b/>
          <w:bCs/>
          <w:color w:val="auto"/>
          <w:sz w:val="28"/>
          <w:szCs w:val="28"/>
        </w:rPr>
      </w:pPr>
    </w:p>
    <w:p>
      <w:pPr>
        <w:rPr>
          <w:rFonts w:hint="default" w:ascii="Times New Roman" w:hAnsi="Times New Roman" w:cs="Times New Roman"/>
          <w:b/>
          <w:bCs/>
          <w:color w:val="auto"/>
          <w:sz w:val="28"/>
          <w:szCs w:val="28"/>
        </w:rPr>
      </w:pPr>
    </w:p>
    <w:p>
      <w:pPr>
        <w:rPr>
          <w:rFonts w:hint="default" w:ascii="Times New Roman" w:hAnsi="Times New Roman" w:cs="Times New Roman"/>
          <w:b/>
          <w:bCs/>
          <w:color w:val="auto"/>
          <w:sz w:val="28"/>
          <w:szCs w:val="28"/>
        </w:rPr>
      </w:pPr>
    </w:p>
    <w:p>
      <w:pPr>
        <w:pStyle w:val="40"/>
        <w:rPr>
          <w:rFonts w:hint="default" w:ascii="Times New Roman" w:hAnsi="Times New Roman" w:cs="Times New Roman"/>
          <w:color w:val="auto"/>
        </w:rPr>
      </w:pPr>
    </w:p>
    <w:p>
      <w:pPr>
        <w:pStyle w:val="40"/>
        <w:rPr>
          <w:rFonts w:hint="default" w:ascii="Times New Roman" w:hAnsi="Times New Roman" w:cs="Times New Roman"/>
          <w:color w:val="auto"/>
        </w:rPr>
      </w:pPr>
    </w:p>
    <w:p>
      <w:pPr>
        <w:rPr>
          <w:rFonts w:hint="default" w:ascii="Times New Roman" w:hAnsi="Times New Roman" w:cs="Times New Roman"/>
          <w:b/>
          <w:bCs/>
          <w:color w:val="auto"/>
          <w:sz w:val="28"/>
          <w:szCs w:val="28"/>
        </w:rPr>
      </w:pPr>
    </w:p>
    <w:p>
      <w:pPr>
        <w:spacing w:line="480" w:lineRule="auto"/>
        <w:ind w:left="1800" w:hanging="1800" w:hangingChars="500"/>
        <w:rPr>
          <w:rFonts w:hint="default" w:ascii="Times New Roman" w:hAnsi="Times New Roman" w:eastAsia="宋体" w:cs="Times New Roman"/>
          <w:color w:val="auto"/>
          <w:sz w:val="36"/>
          <w:szCs w:val="36"/>
          <w:u w:val="single"/>
          <w:lang w:eastAsia="zh-CN"/>
        </w:rPr>
      </w:pPr>
      <w:r>
        <w:rPr>
          <w:rFonts w:hint="default" w:ascii="Times New Roman" w:hAnsi="Times New Roman" w:cs="Times New Roman"/>
          <w:color w:val="auto"/>
          <w:sz w:val="36"/>
          <w:szCs w:val="36"/>
        </w:rPr>
        <w:t>项目名称：</w:t>
      </w:r>
      <w:r>
        <w:rPr>
          <w:rFonts w:hint="eastAsia" w:cs="Times New Roman"/>
          <w:color w:val="auto"/>
          <w:sz w:val="36"/>
          <w:szCs w:val="36"/>
          <w:u w:val="single"/>
          <w:lang w:eastAsia="zh-CN"/>
        </w:rPr>
        <w:t>年产5万吨螺旋埋弧焊管技改项目</w:t>
      </w:r>
    </w:p>
    <w:p>
      <w:pPr>
        <w:spacing w:line="480" w:lineRule="auto"/>
        <w:rPr>
          <w:rFonts w:hint="default" w:ascii="Times New Roman" w:hAnsi="Times New Roman" w:eastAsia="宋体" w:cs="Times New Roman"/>
          <w:color w:val="auto"/>
          <w:sz w:val="36"/>
          <w:szCs w:val="36"/>
          <w:u w:val="single"/>
          <w:lang w:eastAsia="zh-CN"/>
        </w:rPr>
      </w:pPr>
      <w:r>
        <w:rPr>
          <w:rFonts w:hint="default" w:ascii="Times New Roman" w:hAnsi="Times New Roman" w:cs="Times New Roman"/>
          <w:color w:val="auto"/>
          <w:sz w:val="36"/>
          <w:szCs w:val="36"/>
        </w:rPr>
        <w:t>建设单位（盖章）：</w:t>
      </w:r>
      <w:r>
        <w:rPr>
          <w:rFonts w:hint="eastAsia" w:cs="Times New Roman"/>
          <w:color w:val="auto"/>
          <w:sz w:val="36"/>
          <w:szCs w:val="36"/>
          <w:u w:val="single"/>
          <w:lang w:eastAsia="zh-CN"/>
        </w:rPr>
        <w:t>浙江鑫桦钢管有限公司</w:t>
      </w:r>
    </w:p>
    <w:p>
      <w:pPr>
        <w:spacing w:line="480" w:lineRule="auto"/>
        <w:rPr>
          <w:rFonts w:hint="default" w:ascii="Times New Roman" w:hAnsi="Times New Roman" w:cs="Times New Roman"/>
          <w:color w:val="auto"/>
          <w:sz w:val="36"/>
          <w:szCs w:val="36"/>
          <w:u w:val="single"/>
        </w:rPr>
      </w:pPr>
      <w:r>
        <w:rPr>
          <w:rFonts w:hint="default" w:ascii="Times New Roman" w:hAnsi="Times New Roman" w:cs="Times New Roman"/>
          <w:color w:val="auto"/>
          <w:sz w:val="36"/>
          <w:szCs w:val="36"/>
        </w:rPr>
        <w:t>编制日期：</w:t>
      </w:r>
      <w:r>
        <w:rPr>
          <w:rFonts w:hint="default" w:ascii="Times New Roman" w:hAnsi="Times New Roman" w:cs="Times New Roman"/>
          <w:color w:val="auto"/>
          <w:sz w:val="36"/>
          <w:szCs w:val="36"/>
          <w:u w:val="single"/>
        </w:rPr>
        <w:t>二〇二</w:t>
      </w:r>
      <w:r>
        <w:rPr>
          <w:rFonts w:hint="default" w:ascii="Times New Roman" w:hAnsi="Times New Roman" w:cs="Times New Roman"/>
          <w:color w:val="auto"/>
          <w:sz w:val="36"/>
          <w:szCs w:val="36"/>
          <w:u w:val="single"/>
          <w:lang w:val="en-US" w:eastAsia="zh-CN"/>
        </w:rPr>
        <w:t>四</w:t>
      </w:r>
      <w:r>
        <w:rPr>
          <w:rFonts w:hint="default" w:ascii="Times New Roman" w:hAnsi="Times New Roman" w:cs="Times New Roman"/>
          <w:color w:val="auto"/>
          <w:sz w:val="36"/>
          <w:szCs w:val="36"/>
          <w:u w:val="single"/>
        </w:rPr>
        <w:t>年</w:t>
      </w:r>
      <w:r>
        <w:rPr>
          <w:rFonts w:hint="eastAsia" w:cs="Times New Roman"/>
          <w:color w:val="auto"/>
          <w:sz w:val="36"/>
          <w:szCs w:val="36"/>
          <w:u w:val="single"/>
          <w:lang w:val="en-US" w:eastAsia="zh-CN"/>
        </w:rPr>
        <w:t>六</w:t>
      </w:r>
      <w:r>
        <w:rPr>
          <w:rFonts w:hint="default" w:ascii="Times New Roman" w:hAnsi="Times New Roman" w:cs="Times New Roman"/>
          <w:color w:val="auto"/>
          <w:sz w:val="36"/>
          <w:szCs w:val="36"/>
          <w:u w:val="single"/>
        </w:rPr>
        <w:t>月</w:t>
      </w:r>
    </w:p>
    <w:p>
      <w:pPr>
        <w:ind w:firstLine="1084" w:firstLineChars="300"/>
        <w:rPr>
          <w:rFonts w:hint="default" w:ascii="Times New Roman" w:hAnsi="Times New Roman" w:cs="Times New Roman"/>
          <w:b/>
          <w:bCs/>
          <w:color w:val="FF0000"/>
          <w:sz w:val="36"/>
          <w:szCs w:val="36"/>
          <w:u w:val="single"/>
        </w:rPr>
      </w:pPr>
    </w:p>
    <w:p>
      <w:pPr>
        <w:pStyle w:val="15"/>
        <w:rPr>
          <w:rFonts w:hint="default" w:ascii="Times New Roman" w:hAnsi="Times New Roman" w:cs="Times New Roman"/>
          <w:color w:val="auto"/>
        </w:rPr>
      </w:pPr>
    </w:p>
    <w:p>
      <w:pPr>
        <w:pStyle w:val="16"/>
        <w:rPr>
          <w:rFonts w:hint="default" w:ascii="Times New Roman" w:hAnsi="Times New Roman" w:cs="Times New Roman"/>
          <w:color w:val="auto"/>
        </w:rPr>
      </w:pPr>
    </w:p>
    <w:p>
      <w:pPr>
        <w:pStyle w:val="15"/>
        <w:rPr>
          <w:rFonts w:hint="default" w:ascii="Times New Roman" w:hAnsi="Times New Roman" w:cs="Times New Roman"/>
          <w:color w:val="auto"/>
        </w:rPr>
      </w:pPr>
    </w:p>
    <w:p>
      <w:pPr>
        <w:pStyle w:val="16"/>
        <w:rPr>
          <w:rFonts w:hint="default" w:ascii="Times New Roman" w:hAnsi="Times New Roman" w:cs="Times New Roman"/>
          <w:color w:val="auto"/>
        </w:rPr>
      </w:pPr>
    </w:p>
    <w:p>
      <w:pPr>
        <w:rPr>
          <w:rFonts w:hint="default" w:ascii="Times New Roman" w:hAnsi="Times New Roman" w:cs="Times New Roman"/>
          <w:color w:val="auto"/>
        </w:rPr>
      </w:pPr>
    </w:p>
    <w:p>
      <w:pPr>
        <w:pStyle w:val="40"/>
        <w:rPr>
          <w:rFonts w:hint="default" w:ascii="Times New Roman" w:hAnsi="Times New Roman" w:cs="Times New Roman"/>
          <w:color w:val="auto"/>
        </w:rPr>
      </w:pPr>
    </w:p>
    <w:p>
      <w:pPr>
        <w:adjustRightInd w:val="0"/>
        <w:snapToGrid w:val="0"/>
        <w:spacing w:line="288" w:lineRule="auto"/>
        <w:jc w:val="center"/>
        <w:rPr>
          <w:rFonts w:hint="default" w:ascii="Times New Roman" w:hAnsi="Times New Roman" w:cs="Times New Roman" w:eastAsiaTheme="minorEastAsia"/>
          <w:color w:val="auto"/>
          <w:sz w:val="36"/>
          <w:szCs w:val="36"/>
        </w:rPr>
      </w:pPr>
      <w:r>
        <w:rPr>
          <w:rFonts w:hint="default" w:ascii="Times New Roman" w:hAnsi="Times New Roman" w:cs="Times New Roman" w:eastAsiaTheme="minorEastAsia"/>
          <w:color w:val="auto"/>
          <w:sz w:val="36"/>
          <w:szCs w:val="36"/>
        </w:rPr>
        <w:t>中华人民共和国生态环境部制</w:t>
      </w:r>
    </w:p>
    <w:p>
      <w:pPr>
        <w:widowControl/>
        <w:jc w:val="left"/>
        <w:rPr>
          <w:rFonts w:hint="default" w:ascii="Times New Roman" w:hAnsi="Times New Roman" w:cs="Times New Roman"/>
          <w:color w:val="FF0000"/>
        </w:rPr>
      </w:pPr>
      <w:r>
        <w:rPr>
          <w:rFonts w:hint="default" w:ascii="Times New Roman" w:hAnsi="Times New Roman" w:cs="Times New Roman"/>
          <w:color w:val="FF0000"/>
        </w:rPr>
        <w:br w:type="page"/>
      </w:r>
    </w:p>
    <w:p>
      <w:pPr>
        <w:widowControl/>
        <w:jc w:val="left"/>
        <w:rPr>
          <w:rFonts w:hint="default" w:ascii="Times New Roman" w:hAnsi="Times New Roman" w:cs="Times New Roman"/>
          <w:color w:val="FF0000"/>
        </w:rPr>
      </w:pPr>
      <w:r>
        <w:rPr>
          <w:rFonts w:hint="default" w:ascii="Times New Roman" w:hAnsi="Times New Roman" w:cs="Times New Roman"/>
          <w:color w:val="FF0000"/>
        </w:rPr>
        <w:br w:type="page"/>
      </w:r>
    </w:p>
    <w:p>
      <w:pPr>
        <w:pStyle w:val="40"/>
        <w:rPr>
          <w:rFonts w:hint="default" w:ascii="Times New Roman" w:hAnsi="Times New Roman" w:cs="Times New Roman"/>
          <w:color w:val="FF0000"/>
        </w:rPr>
        <w:sectPr>
          <w:footerReference r:id="rId3" w:type="default"/>
          <w:pgSz w:w="11906" w:h="16838"/>
          <w:pgMar w:top="1440" w:right="1797" w:bottom="1440" w:left="1797" w:header="851" w:footer="992" w:gutter="0"/>
          <w:pgBorders>
            <w:top w:val="none" w:sz="0" w:space="0"/>
            <w:left w:val="none" w:sz="0" w:space="0"/>
            <w:bottom w:val="none" w:sz="0" w:space="0"/>
            <w:right w:val="none" w:sz="0" w:space="0"/>
          </w:pgBorders>
          <w:cols w:space="720" w:num="1"/>
          <w:titlePg/>
          <w:docGrid w:type="lines" w:linePitch="312" w:charSpace="0"/>
        </w:sectPr>
      </w:pPr>
    </w:p>
    <w:p>
      <w:pPr>
        <w:jc w:val="center"/>
        <w:rPr>
          <w:rFonts w:hint="default" w:ascii="Times New Roman" w:hAnsi="Times New Roman" w:cs="Times New Roman"/>
          <w:b/>
          <w:color w:val="auto"/>
          <w:sz w:val="36"/>
          <w:szCs w:val="32"/>
        </w:rPr>
      </w:pPr>
      <w:r>
        <w:rPr>
          <w:rFonts w:hint="default" w:ascii="Times New Roman" w:hAnsi="Times New Roman" w:cs="Times New Roman"/>
          <w:b/>
          <w:color w:val="auto"/>
          <w:sz w:val="36"/>
          <w:szCs w:val="32"/>
        </w:rPr>
        <w:t>目 录</w:t>
      </w:r>
    </w:p>
    <w:p>
      <w:pPr>
        <w:pStyle w:val="16"/>
        <w:spacing w:line="240" w:lineRule="auto"/>
        <w:rPr>
          <w:rFonts w:hint="default" w:ascii="Times New Roman" w:hAnsi="Times New Roman" w:cs="Times New Roman" w:eastAsiaTheme="minorEastAsia"/>
          <w:b w:val="0"/>
          <w:color w:val="auto"/>
          <w:sz w:val="30"/>
          <w:szCs w:val="30"/>
        </w:rPr>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TOC \o "1-1" \h \z \u </w:instrText>
      </w:r>
      <w:r>
        <w:rPr>
          <w:rFonts w:hint="default" w:ascii="Times New Roman" w:hAnsi="Times New Roman" w:cs="Times New Roman"/>
          <w:color w:val="auto"/>
        </w:rPr>
        <w:fldChar w:fldCharType="separate"/>
      </w: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\l "_Toc99693252" </w:instrText>
      </w:r>
      <w:r>
        <w:rPr>
          <w:rFonts w:hint="default" w:ascii="Times New Roman" w:hAnsi="Times New Roman" w:cs="Times New Roman"/>
          <w:color w:val="auto"/>
        </w:rPr>
        <w:fldChar w:fldCharType="separate"/>
      </w:r>
      <w:r>
        <w:rPr>
          <w:rStyle w:val="35"/>
          <w:rFonts w:hint="default" w:ascii="Times New Roman" w:hAnsi="Times New Roman" w:cs="Times New Roman"/>
          <w:color w:val="auto"/>
          <w:sz w:val="30"/>
          <w:szCs w:val="30"/>
        </w:rPr>
        <w:t>一、建设项目基本情况</w:t>
      </w:r>
      <w:r>
        <w:rPr>
          <w:rFonts w:hint="default" w:ascii="Times New Roman" w:hAnsi="Times New Roman" w:cs="Times New Roman"/>
          <w:color w:val="auto"/>
          <w:sz w:val="30"/>
          <w:szCs w:val="30"/>
        </w:rPr>
        <w:tab/>
      </w:r>
      <w:r>
        <w:rPr>
          <w:rFonts w:hint="default" w:ascii="Times New Roman" w:hAnsi="Times New Roman" w:cs="Times New Roman"/>
          <w:color w:val="auto"/>
          <w:sz w:val="30"/>
          <w:szCs w:val="30"/>
        </w:rPr>
        <w:fldChar w:fldCharType="begin"/>
      </w:r>
      <w:r>
        <w:rPr>
          <w:rFonts w:hint="default" w:ascii="Times New Roman" w:hAnsi="Times New Roman" w:cs="Times New Roman"/>
          <w:color w:val="auto"/>
          <w:sz w:val="30"/>
          <w:szCs w:val="30"/>
        </w:rPr>
        <w:instrText xml:space="preserve"> PAGEREF _Toc99693252 \h </w:instrText>
      </w:r>
      <w:r>
        <w:rPr>
          <w:rFonts w:hint="default" w:ascii="Times New Roman" w:hAnsi="Times New Roman" w:cs="Times New Roman"/>
          <w:color w:val="auto"/>
          <w:sz w:val="30"/>
          <w:szCs w:val="30"/>
        </w:rPr>
        <w:fldChar w:fldCharType="separate"/>
      </w:r>
      <w:r>
        <w:rPr>
          <w:rFonts w:hint="default" w:ascii="Times New Roman" w:hAnsi="Times New Roman" w:cs="Times New Roman"/>
          <w:color w:val="auto"/>
          <w:sz w:val="30"/>
          <w:szCs w:val="30"/>
        </w:rPr>
        <w:t>1</w:t>
      </w:r>
      <w:r>
        <w:rPr>
          <w:rFonts w:hint="default" w:ascii="Times New Roman" w:hAnsi="Times New Roman" w:cs="Times New Roman"/>
          <w:color w:val="auto"/>
          <w:sz w:val="30"/>
          <w:szCs w:val="30"/>
        </w:rPr>
        <w:fldChar w:fldCharType="end"/>
      </w:r>
      <w:r>
        <w:rPr>
          <w:rFonts w:hint="default" w:ascii="Times New Roman" w:hAnsi="Times New Roman" w:cs="Times New Roman"/>
          <w:color w:val="auto"/>
          <w:sz w:val="30"/>
          <w:szCs w:val="30"/>
        </w:rPr>
        <w:fldChar w:fldCharType="end"/>
      </w:r>
    </w:p>
    <w:p>
      <w:pPr>
        <w:pStyle w:val="16"/>
        <w:spacing w:line="240" w:lineRule="auto"/>
        <w:rPr>
          <w:rFonts w:hint="default" w:ascii="Times New Roman" w:hAnsi="Times New Roman" w:cs="Times New Roman" w:eastAsiaTheme="minorEastAsia"/>
          <w:b w:val="0"/>
          <w:color w:val="auto"/>
          <w:sz w:val="30"/>
          <w:szCs w:val="30"/>
        </w:rPr>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\l "_Toc99693253" </w:instrText>
      </w:r>
      <w:r>
        <w:rPr>
          <w:rFonts w:hint="default" w:ascii="Times New Roman" w:hAnsi="Times New Roman" w:cs="Times New Roman"/>
          <w:color w:val="auto"/>
        </w:rPr>
        <w:fldChar w:fldCharType="separate"/>
      </w:r>
      <w:r>
        <w:rPr>
          <w:rStyle w:val="35"/>
          <w:rFonts w:hint="default" w:ascii="Times New Roman" w:hAnsi="Times New Roman" w:cs="Times New Roman"/>
          <w:color w:val="auto"/>
          <w:sz w:val="30"/>
          <w:szCs w:val="30"/>
        </w:rPr>
        <w:t>二、建设项目工程分析</w:t>
      </w:r>
      <w:r>
        <w:rPr>
          <w:rFonts w:hint="default" w:ascii="Times New Roman" w:hAnsi="Times New Roman" w:cs="Times New Roman"/>
          <w:color w:val="auto"/>
          <w:sz w:val="30"/>
          <w:szCs w:val="30"/>
        </w:rPr>
        <w:tab/>
      </w:r>
      <w:r>
        <w:rPr>
          <w:rFonts w:hint="default" w:ascii="Times New Roman" w:hAnsi="Times New Roman" w:cs="Times New Roman"/>
          <w:color w:val="auto"/>
          <w:sz w:val="30"/>
          <w:szCs w:val="30"/>
        </w:rPr>
        <w:fldChar w:fldCharType="begin"/>
      </w:r>
      <w:r>
        <w:rPr>
          <w:rFonts w:hint="default" w:ascii="Times New Roman" w:hAnsi="Times New Roman" w:cs="Times New Roman"/>
          <w:color w:val="auto"/>
          <w:sz w:val="30"/>
          <w:szCs w:val="30"/>
        </w:rPr>
        <w:instrText xml:space="preserve"> PAGEREF _Toc99693253 \h </w:instrText>
      </w:r>
      <w:r>
        <w:rPr>
          <w:rFonts w:hint="default" w:ascii="Times New Roman" w:hAnsi="Times New Roman" w:cs="Times New Roman"/>
          <w:color w:val="auto"/>
          <w:sz w:val="30"/>
          <w:szCs w:val="30"/>
        </w:rPr>
        <w:fldChar w:fldCharType="separate"/>
      </w:r>
      <w:r>
        <w:rPr>
          <w:rFonts w:hint="default" w:ascii="Times New Roman" w:hAnsi="Times New Roman" w:cs="Times New Roman"/>
          <w:color w:val="auto"/>
          <w:sz w:val="30"/>
          <w:szCs w:val="30"/>
        </w:rPr>
        <w:t>24</w:t>
      </w:r>
      <w:r>
        <w:rPr>
          <w:rFonts w:hint="default" w:ascii="Times New Roman" w:hAnsi="Times New Roman" w:cs="Times New Roman"/>
          <w:color w:val="auto"/>
          <w:sz w:val="30"/>
          <w:szCs w:val="30"/>
        </w:rPr>
        <w:fldChar w:fldCharType="end"/>
      </w:r>
      <w:r>
        <w:rPr>
          <w:rFonts w:hint="default" w:ascii="Times New Roman" w:hAnsi="Times New Roman" w:cs="Times New Roman"/>
          <w:color w:val="auto"/>
          <w:sz w:val="30"/>
          <w:szCs w:val="30"/>
        </w:rPr>
        <w:fldChar w:fldCharType="end"/>
      </w:r>
    </w:p>
    <w:p>
      <w:pPr>
        <w:pStyle w:val="16"/>
        <w:spacing w:line="240" w:lineRule="auto"/>
        <w:rPr>
          <w:rFonts w:hint="default" w:ascii="Times New Roman" w:hAnsi="Times New Roman" w:cs="Times New Roman" w:eastAsiaTheme="minorEastAsia"/>
          <w:b w:val="0"/>
          <w:color w:val="auto"/>
          <w:sz w:val="30"/>
          <w:szCs w:val="30"/>
        </w:rPr>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\l "_Toc99693254" </w:instrText>
      </w:r>
      <w:r>
        <w:rPr>
          <w:rFonts w:hint="default" w:ascii="Times New Roman" w:hAnsi="Times New Roman" w:cs="Times New Roman"/>
          <w:color w:val="auto"/>
        </w:rPr>
        <w:fldChar w:fldCharType="separate"/>
      </w:r>
      <w:r>
        <w:rPr>
          <w:rStyle w:val="35"/>
          <w:rFonts w:hint="default" w:ascii="Times New Roman" w:hAnsi="Times New Roman" w:cs="Times New Roman"/>
          <w:color w:val="auto"/>
          <w:sz w:val="30"/>
          <w:szCs w:val="30"/>
        </w:rPr>
        <w:t>三、区域环境质量现状、环境保护目标及评价标准</w:t>
      </w:r>
      <w:r>
        <w:rPr>
          <w:rFonts w:hint="default" w:ascii="Times New Roman" w:hAnsi="Times New Roman" w:cs="Times New Roman"/>
          <w:color w:val="auto"/>
          <w:sz w:val="30"/>
          <w:szCs w:val="30"/>
        </w:rPr>
        <w:tab/>
      </w:r>
      <w:r>
        <w:rPr>
          <w:rFonts w:hint="default" w:ascii="Times New Roman" w:hAnsi="Times New Roman" w:cs="Times New Roman"/>
          <w:color w:val="auto"/>
          <w:sz w:val="30"/>
          <w:szCs w:val="30"/>
        </w:rPr>
        <w:fldChar w:fldCharType="begin"/>
      </w:r>
      <w:r>
        <w:rPr>
          <w:rFonts w:hint="default" w:ascii="Times New Roman" w:hAnsi="Times New Roman" w:cs="Times New Roman"/>
          <w:color w:val="auto"/>
          <w:sz w:val="30"/>
          <w:szCs w:val="30"/>
        </w:rPr>
        <w:instrText xml:space="preserve"> PAGEREF _Toc99693254 \h </w:instrText>
      </w:r>
      <w:r>
        <w:rPr>
          <w:rFonts w:hint="default" w:ascii="Times New Roman" w:hAnsi="Times New Roman" w:cs="Times New Roman"/>
          <w:color w:val="auto"/>
          <w:sz w:val="30"/>
          <w:szCs w:val="30"/>
        </w:rPr>
        <w:fldChar w:fldCharType="separate"/>
      </w:r>
      <w:r>
        <w:rPr>
          <w:rFonts w:hint="default" w:ascii="Times New Roman" w:hAnsi="Times New Roman" w:cs="Times New Roman"/>
          <w:color w:val="auto"/>
          <w:sz w:val="30"/>
          <w:szCs w:val="30"/>
        </w:rPr>
        <w:t>49</w:t>
      </w:r>
      <w:r>
        <w:rPr>
          <w:rFonts w:hint="default" w:ascii="Times New Roman" w:hAnsi="Times New Roman" w:cs="Times New Roman"/>
          <w:color w:val="auto"/>
          <w:sz w:val="30"/>
          <w:szCs w:val="30"/>
        </w:rPr>
        <w:fldChar w:fldCharType="end"/>
      </w:r>
      <w:r>
        <w:rPr>
          <w:rFonts w:hint="default" w:ascii="Times New Roman" w:hAnsi="Times New Roman" w:cs="Times New Roman"/>
          <w:color w:val="auto"/>
          <w:sz w:val="30"/>
          <w:szCs w:val="30"/>
        </w:rPr>
        <w:fldChar w:fldCharType="end"/>
      </w:r>
    </w:p>
    <w:p>
      <w:pPr>
        <w:pStyle w:val="16"/>
        <w:spacing w:line="240" w:lineRule="auto"/>
        <w:rPr>
          <w:rFonts w:hint="default" w:ascii="Times New Roman" w:hAnsi="Times New Roman" w:cs="Times New Roman" w:eastAsiaTheme="minorEastAsia"/>
          <w:b w:val="0"/>
          <w:color w:val="auto"/>
          <w:sz w:val="30"/>
          <w:szCs w:val="30"/>
        </w:rPr>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\l "_Toc99693255" </w:instrText>
      </w:r>
      <w:r>
        <w:rPr>
          <w:rFonts w:hint="default" w:ascii="Times New Roman" w:hAnsi="Times New Roman" w:cs="Times New Roman"/>
          <w:color w:val="auto"/>
        </w:rPr>
        <w:fldChar w:fldCharType="separate"/>
      </w:r>
      <w:r>
        <w:rPr>
          <w:rStyle w:val="35"/>
          <w:rFonts w:hint="default" w:ascii="Times New Roman" w:hAnsi="Times New Roman" w:cs="Times New Roman"/>
          <w:color w:val="auto"/>
          <w:sz w:val="30"/>
          <w:szCs w:val="30"/>
        </w:rPr>
        <w:t>四、主要环境影响和保护措施</w:t>
      </w:r>
      <w:r>
        <w:rPr>
          <w:rFonts w:hint="default" w:ascii="Times New Roman" w:hAnsi="Times New Roman" w:cs="Times New Roman"/>
          <w:color w:val="auto"/>
          <w:sz w:val="30"/>
          <w:szCs w:val="30"/>
        </w:rPr>
        <w:tab/>
      </w:r>
      <w:r>
        <w:rPr>
          <w:rFonts w:hint="default" w:ascii="Times New Roman" w:hAnsi="Times New Roman" w:cs="Times New Roman"/>
          <w:color w:val="auto"/>
          <w:sz w:val="30"/>
          <w:szCs w:val="30"/>
        </w:rPr>
        <w:fldChar w:fldCharType="begin"/>
      </w:r>
      <w:r>
        <w:rPr>
          <w:rFonts w:hint="default" w:ascii="Times New Roman" w:hAnsi="Times New Roman" w:cs="Times New Roman"/>
          <w:color w:val="auto"/>
          <w:sz w:val="30"/>
          <w:szCs w:val="30"/>
        </w:rPr>
        <w:instrText xml:space="preserve"> PAGEREF _Toc99693255 \h </w:instrText>
      </w:r>
      <w:r>
        <w:rPr>
          <w:rFonts w:hint="default" w:ascii="Times New Roman" w:hAnsi="Times New Roman" w:cs="Times New Roman"/>
          <w:color w:val="auto"/>
          <w:sz w:val="30"/>
          <w:szCs w:val="30"/>
        </w:rPr>
        <w:fldChar w:fldCharType="separate"/>
      </w:r>
      <w:r>
        <w:rPr>
          <w:rFonts w:hint="default" w:ascii="Times New Roman" w:hAnsi="Times New Roman" w:cs="Times New Roman"/>
          <w:color w:val="auto"/>
          <w:sz w:val="30"/>
          <w:szCs w:val="30"/>
        </w:rPr>
        <w:t>58</w:t>
      </w:r>
      <w:r>
        <w:rPr>
          <w:rFonts w:hint="default" w:ascii="Times New Roman" w:hAnsi="Times New Roman" w:cs="Times New Roman"/>
          <w:color w:val="auto"/>
          <w:sz w:val="30"/>
          <w:szCs w:val="30"/>
        </w:rPr>
        <w:fldChar w:fldCharType="end"/>
      </w:r>
      <w:r>
        <w:rPr>
          <w:rFonts w:hint="default" w:ascii="Times New Roman" w:hAnsi="Times New Roman" w:cs="Times New Roman"/>
          <w:color w:val="auto"/>
          <w:sz w:val="30"/>
          <w:szCs w:val="30"/>
        </w:rPr>
        <w:fldChar w:fldCharType="end"/>
      </w:r>
    </w:p>
    <w:p>
      <w:pPr>
        <w:pStyle w:val="16"/>
        <w:spacing w:line="240" w:lineRule="auto"/>
        <w:rPr>
          <w:rFonts w:hint="default" w:ascii="Times New Roman" w:hAnsi="Times New Roman" w:cs="Times New Roman" w:eastAsiaTheme="minorEastAsia"/>
          <w:b w:val="0"/>
          <w:color w:val="auto"/>
          <w:sz w:val="30"/>
          <w:szCs w:val="30"/>
        </w:rPr>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\l "_Toc99693256" </w:instrText>
      </w:r>
      <w:r>
        <w:rPr>
          <w:rFonts w:hint="default" w:ascii="Times New Roman" w:hAnsi="Times New Roman" w:cs="Times New Roman"/>
          <w:color w:val="auto"/>
        </w:rPr>
        <w:fldChar w:fldCharType="separate"/>
      </w:r>
      <w:r>
        <w:rPr>
          <w:rStyle w:val="35"/>
          <w:rFonts w:hint="default" w:ascii="Times New Roman" w:hAnsi="Times New Roman" w:cs="Times New Roman"/>
          <w:color w:val="auto"/>
          <w:sz w:val="30"/>
          <w:szCs w:val="30"/>
        </w:rPr>
        <w:t>五、环境保护措施监督检查清单</w:t>
      </w:r>
      <w:r>
        <w:rPr>
          <w:rFonts w:hint="default" w:ascii="Times New Roman" w:hAnsi="Times New Roman" w:cs="Times New Roman"/>
          <w:color w:val="auto"/>
          <w:sz w:val="30"/>
          <w:szCs w:val="30"/>
        </w:rPr>
        <w:tab/>
      </w:r>
      <w:r>
        <w:rPr>
          <w:rFonts w:hint="default" w:ascii="Times New Roman" w:hAnsi="Times New Roman" w:cs="Times New Roman"/>
          <w:color w:val="auto"/>
          <w:sz w:val="30"/>
          <w:szCs w:val="30"/>
        </w:rPr>
        <w:fldChar w:fldCharType="begin"/>
      </w:r>
      <w:r>
        <w:rPr>
          <w:rFonts w:hint="default" w:ascii="Times New Roman" w:hAnsi="Times New Roman" w:cs="Times New Roman"/>
          <w:color w:val="auto"/>
          <w:sz w:val="30"/>
          <w:szCs w:val="30"/>
        </w:rPr>
        <w:instrText xml:space="preserve"> PAGEREF _Toc99693256 \h </w:instrText>
      </w:r>
      <w:r>
        <w:rPr>
          <w:rFonts w:hint="default" w:ascii="Times New Roman" w:hAnsi="Times New Roman" w:cs="Times New Roman"/>
          <w:color w:val="auto"/>
          <w:sz w:val="30"/>
          <w:szCs w:val="30"/>
        </w:rPr>
        <w:fldChar w:fldCharType="separate"/>
      </w:r>
      <w:r>
        <w:rPr>
          <w:rFonts w:hint="default" w:ascii="Times New Roman" w:hAnsi="Times New Roman" w:cs="Times New Roman"/>
          <w:color w:val="auto"/>
          <w:sz w:val="30"/>
          <w:szCs w:val="30"/>
        </w:rPr>
        <w:t>91</w:t>
      </w:r>
      <w:r>
        <w:rPr>
          <w:rFonts w:hint="default" w:ascii="Times New Roman" w:hAnsi="Times New Roman" w:cs="Times New Roman"/>
          <w:color w:val="auto"/>
          <w:sz w:val="30"/>
          <w:szCs w:val="30"/>
        </w:rPr>
        <w:fldChar w:fldCharType="end"/>
      </w:r>
      <w:r>
        <w:rPr>
          <w:rFonts w:hint="default" w:ascii="Times New Roman" w:hAnsi="Times New Roman" w:cs="Times New Roman"/>
          <w:color w:val="auto"/>
          <w:sz w:val="30"/>
          <w:szCs w:val="30"/>
        </w:rPr>
        <w:fldChar w:fldCharType="end"/>
      </w:r>
    </w:p>
    <w:p>
      <w:pPr>
        <w:pStyle w:val="16"/>
        <w:spacing w:line="240" w:lineRule="auto"/>
        <w:rPr>
          <w:rFonts w:hint="default" w:ascii="Times New Roman" w:hAnsi="Times New Roman" w:cs="Times New Roman" w:eastAsiaTheme="minorEastAsia"/>
          <w:b w:val="0"/>
          <w:color w:val="auto"/>
          <w:sz w:val="30"/>
          <w:szCs w:val="30"/>
        </w:rPr>
      </w:pP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\l "_Toc99693257" </w:instrText>
      </w:r>
      <w:r>
        <w:rPr>
          <w:rFonts w:hint="default" w:ascii="Times New Roman" w:hAnsi="Times New Roman" w:cs="Times New Roman"/>
          <w:color w:val="auto"/>
        </w:rPr>
        <w:fldChar w:fldCharType="separate"/>
      </w:r>
      <w:r>
        <w:rPr>
          <w:rStyle w:val="35"/>
          <w:rFonts w:hint="default" w:ascii="Times New Roman" w:hAnsi="Times New Roman" w:cs="Times New Roman"/>
          <w:color w:val="auto"/>
          <w:sz w:val="30"/>
          <w:szCs w:val="30"/>
        </w:rPr>
        <w:t>六、结论</w:t>
      </w:r>
      <w:r>
        <w:rPr>
          <w:rFonts w:hint="default" w:ascii="Times New Roman" w:hAnsi="Times New Roman" w:cs="Times New Roman"/>
          <w:color w:val="auto"/>
          <w:sz w:val="30"/>
          <w:szCs w:val="30"/>
        </w:rPr>
        <w:tab/>
      </w:r>
      <w:r>
        <w:rPr>
          <w:rFonts w:hint="default" w:ascii="Times New Roman" w:hAnsi="Times New Roman" w:cs="Times New Roman"/>
          <w:color w:val="auto"/>
          <w:sz w:val="30"/>
          <w:szCs w:val="30"/>
        </w:rPr>
        <w:fldChar w:fldCharType="begin"/>
      </w:r>
      <w:r>
        <w:rPr>
          <w:rFonts w:hint="default" w:ascii="Times New Roman" w:hAnsi="Times New Roman" w:cs="Times New Roman"/>
          <w:color w:val="auto"/>
          <w:sz w:val="30"/>
          <w:szCs w:val="30"/>
        </w:rPr>
        <w:instrText xml:space="preserve"> PAGEREF _Toc99693257 \h </w:instrText>
      </w:r>
      <w:r>
        <w:rPr>
          <w:rFonts w:hint="default" w:ascii="Times New Roman" w:hAnsi="Times New Roman" w:cs="Times New Roman"/>
          <w:color w:val="auto"/>
          <w:sz w:val="30"/>
          <w:szCs w:val="30"/>
        </w:rPr>
        <w:fldChar w:fldCharType="separate"/>
      </w:r>
      <w:r>
        <w:rPr>
          <w:rFonts w:hint="default" w:ascii="Times New Roman" w:hAnsi="Times New Roman" w:cs="Times New Roman"/>
          <w:color w:val="auto"/>
          <w:sz w:val="30"/>
          <w:szCs w:val="30"/>
        </w:rPr>
        <w:t>94</w:t>
      </w:r>
      <w:r>
        <w:rPr>
          <w:rFonts w:hint="default" w:ascii="Times New Roman" w:hAnsi="Times New Roman" w:cs="Times New Roman"/>
          <w:color w:val="auto"/>
          <w:sz w:val="30"/>
          <w:szCs w:val="30"/>
        </w:rPr>
        <w:fldChar w:fldCharType="end"/>
      </w:r>
      <w:r>
        <w:rPr>
          <w:rFonts w:hint="default" w:ascii="Times New Roman" w:hAnsi="Times New Roman" w:cs="Times New Roman"/>
          <w:color w:val="auto"/>
          <w:sz w:val="30"/>
          <w:szCs w:val="30"/>
        </w:rPr>
        <w:fldChar w:fldCharType="end"/>
      </w:r>
    </w:p>
    <w:p>
      <w:pPr>
        <w:rPr>
          <w:rFonts w:hint="default" w:ascii="Times New Roman" w:hAnsi="Times New Roman" w:cs="Times New Roman"/>
          <w:color w:val="FF0000"/>
        </w:rPr>
      </w:pPr>
      <w:r>
        <w:rPr>
          <w:rFonts w:hint="default" w:ascii="Times New Roman" w:hAnsi="Times New Roman" w:cs="Times New Roman"/>
          <w:color w:val="auto"/>
        </w:rPr>
        <w:fldChar w:fldCharType="end"/>
      </w:r>
    </w:p>
    <w:p>
      <w:pPr>
        <w:pStyle w:val="14"/>
        <w:rPr>
          <w:rFonts w:hint="default" w:ascii="Times New Roman" w:hAnsi="Times New Roman" w:cs="Times New Roman"/>
          <w:color w:val="FF0000"/>
        </w:rPr>
      </w:pPr>
    </w:p>
    <w:p>
      <w:pPr>
        <w:keepNext w:val="0"/>
        <w:keepLines w:val="0"/>
        <w:pageBreakBefore w:val="0"/>
        <w:widowControl w:val="0"/>
        <w:kinsoku/>
        <w:wordWrap/>
        <w:overflowPunct/>
        <w:topLinePunct w:val="0"/>
        <w:autoSpaceDE/>
        <w:autoSpaceDN/>
        <w:bidi w:val="0"/>
        <w:snapToGrid/>
        <w:spacing w:line="240" w:lineRule="auto"/>
        <w:textAlignment w:val="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附图：</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bookmarkStart w:id="0" w:name="_Toc27597"/>
      <w:bookmarkStart w:id="1" w:name="_Toc32102"/>
      <w:r>
        <w:rPr>
          <w:rFonts w:hint="default" w:ascii="Times New Roman" w:hAnsi="Times New Roman" w:cs="Times New Roman"/>
          <w:color w:val="auto"/>
        </w:rPr>
        <w:t>附图1建设项目</w:t>
      </w:r>
      <w:r>
        <w:rPr>
          <w:rFonts w:hint="default" w:ascii="Times New Roman" w:hAnsi="Times New Roman" w:cs="Times New Roman"/>
          <w:color w:val="auto"/>
          <w:lang w:val="en-US" w:eastAsia="zh-CN"/>
        </w:rPr>
        <w:t>交通</w:t>
      </w:r>
      <w:r>
        <w:rPr>
          <w:rFonts w:hint="default" w:ascii="Times New Roman" w:hAnsi="Times New Roman" w:cs="Times New Roman"/>
          <w:color w:val="auto"/>
        </w:rPr>
        <w:t>地理位置图</w:t>
      </w:r>
      <w:bookmarkEnd w:id="0"/>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bookmarkStart w:id="2" w:name="_Toc27087"/>
      <w:r>
        <w:rPr>
          <w:rFonts w:hint="default" w:ascii="Times New Roman" w:hAnsi="Times New Roman" w:cs="Times New Roman"/>
          <w:color w:val="auto"/>
        </w:rPr>
        <w:t>附图2建设项目周围环境状况图</w:t>
      </w:r>
      <w:bookmarkEnd w:id="2"/>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r>
        <w:rPr>
          <w:rFonts w:hint="default" w:ascii="Times New Roman" w:hAnsi="Times New Roman" w:cs="Times New Roman"/>
          <w:color w:val="auto"/>
        </w:rPr>
        <w:t>附图3建设项目</w:t>
      </w:r>
      <w:r>
        <w:rPr>
          <w:rFonts w:hint="default" w:ascii="Times New Roman" w:hAnsi="Times New Roman" w:cs="Times New Roman"/>
          <w:color w:val="auto"/>
          <w:lang w:val="en-US" w:eastAsia="zh-CN"/>
        </w:rPr>
        <w:t>敏感点分布</w:t>
      </w:r>
      <w:r>
        <w:rPr>
          <w:rFonts w:hint="default" w:ascii="Times New Roman" w:hAnsi="Times New Roman" w:cs="Times New Roman"/>
          <w:color w:val="auto"/>
        </w:rPr>
        <w:t>图</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r>
        <w:rPr>
          <w:rFonts w:hint="default" w:ascii="Times New Roman" w:hAnsi="Times New Roman" w:cs="Times New Roman"/>
          <w:color w:val="auto"/>
        </w:rPr>
        <w:t>附图</w:t>
      </w:r>
      <w:r>
        <w:rPr>
          <w:rFonts w:hint="default" w:ascii="Times New Roman" w:hAnsi="Times New Roman" w:cs="Times New Roman"/>
          <w:color w:val="auto"/>
          <w:lang w:val="en-US" w:eastAsia="zh-CN"/>
        </w:rPr>
        <w:t>4</w:t>
      </w:r>
      <w:r>
        <w:rPr>
          <w:rFonts w:hint="default" w:ascii="Times New Roman" w:hAnsi="Times New Roman" w:cs="Times New Roman"/>
          <w:color w:val="auto"/>
        </w:rPr>
        <w:t>建设项目平面布置图</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r>
        <w:rPr>
          <w:rFonts w:hint="default" w:ascii="Times New Roman" w:hAnsi="Times New Roman" w:cs="Times New Roman"/>
          <w:color w:val="auto"/>
        </w:rPr>
        <w:t>附图</w:t>
      </w:r>
      <w:r>
        <w:rPr>
          <w:rFonts w:hint="default" w:ascii="Times New Roman" w:hAnsi="Times New Roman" w:cs="Times New Roman"/>
          <w:color w:val="auto"/>
          <w:lang w:val="en-US" w:eastAsia="zh-CN"/>
        </w:rPr>
        <w:t>5</w:t>
      </w:r>
      <w:r>
        <w:rPr>
          <w:rFonts w:hint="default" w:ascii="Times New Roman" w:hAnsi="Times New Roman" w:cs="Times New Roman"/>
          <w:color w:val="auto"/>
        </w:rPr>
        <w:t>地表水环境功能图</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r>
        <w:rPr>
          <w:rFonts w:hint="default" w:ascii="Times New Roman" w:hAnsi="Times New Roman" w:cs="Times New Roman"/>
          <w:color w:val="auto"/>
        </w:rPr>
        <w:t>附图</w:t>
      </w:r>
      <w:r>
        <w:rPr>
          <w:rFonts w:hint="default" w:ascii="Times New Roman" w:hAnsi="Times New Roman" w:cs="Times New Roman"/>
          <w:color w:val="auto"/>
          <w:lang w:val="en-US" w:eastAsia="zh-CN"/>
        </w:rPr>
        <w:t>6建设项目</w:t>
      </w:r>
      <w:r>
        <w:rPr>
          <w:rFonts w:hint="default" w:ascii="Times New Roman" w:hAnsi="Times New Roman" w:cs="Times New Roman"/>
          <w:color w:val="auto"/>
        </w:rPr>
        <w:t>环境管控单元分类图</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r>
        <w:rPr>
          <w:rFonts w:hint="default" w:ascii="Times New Roman" w:hAnsi="Times New Roman" w:cs="Times New Roman"/>
          <w:color w:val="auto"/>
        </w:rPr>
        <w:t>附图</w:t>
      </w:r>
      <w:r>
        <w:rPr>
          <w:rFonts w:hint="default" w:ascii="Times New Roman" w:hAnsi="Times New Roman" w:cs="Times New Roman"/>
          <w:color w:val="auto"/>
          <w:lang w:val="en-US" w:eastAsia="zh-CN"/>
        </w:rPr>
        <w:t>7</w:t>
      </w:r>
      <w:r>
        <w:rPr>
          <w:rFonts w:hint="default" w:ascii="Times New Roman" w:hAnsi="Times New Roman" w:cs="Times New Roman"/>
          <w:color w:val="auto"/>
        </w:rPr>
        <w:t>建设项目周围环境照片</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bookmarkStart w:id="3" w:name="_Toc17370"/>
      <w:r>
        <w:rPr>
          <w:rFonts w:hint="default" w:ascii="Times New Roman" w:hAnsi="Times New Roman" w:cs="Times New Roman"/>
          <w:color w:val="auto"/>
        </w:rPr>
        <w:t>附图</w:t>
      </w:r>
      <w:bookmarkEnd w:id="3"/>
      <w:r>
        <w:rPr>
          <w:rFonts w:hint="default" w:ascii="Times New Roman" w:hAnsi="Times New Roman" w:cs="Times New Roman"/>
          <w:color w:val="auto"/>
          <w:lang w:val="en-US" w:eastAsia="zh-CN"/>
        </w:rPr>
        <w:t>8</w:t>
      </w:r>
      <w:r>
        <w:rPr>
          <w:rFonts w:hint="default" w:ascii="Times New Roman" w:hAnsi="Times New Roman" w:cs="Times New Roman"/>
          <w:color w:val="auto"/>
        </w:rPr>
        <w:t>生态红线分布图</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r>
        <w:rPr>
          <w:rFonts w:hint="default" w:ascii="Times New Roman" w:hAnsi="Times New Roman" w:cs="Times New Roman"/>
          <w:color w:val="auto"/>
        </w:rPr>
        <w:t>附图</w:t>
      </w:r>
      <w:r>
        <w:rPr>
          <w:rFonts w:hint="default" w:ascii="Times New Roman" w:hAnsi="Times New Roman" w:cs="Times New Roman"/>
          <w:color w:val="auto"/>
          <w:lang w:val="en-US" w:eastAsia="zh-CN"/>
        </w:rPr>
        <w:t>9</w:t>
      </w:r>
      <w:r>
        <w:rPr>
          <w:rFonts w:hint="default" w:ascii="Times New Roman" w:hAnsi="Times New Roman" w:cs="Times New Roman"/>
          <w:color w:val="auto"/>
        </w:rPr>
        <w:t>德清县三区三线正式划定图</w:t>
      </w:r>
    </w:p>
    <w:p>
      <w:pPr>
        <w:keepNext w:val="0"/>
        <w:keepLines w:val="0"/>
        <w:pageBreakBefore w:val="0"/>
        <w:widowControl w:val="0"/>
        <w:kinsoku/>
        <w:wordWrap/>
        <w:overflowPunct/>
        <w:topLinePunct w:val="0"/>
        <w:autoSpaceDE/>
        <w:autoSpaceDN/>
        <w:bidi w:val="0"/>
        <w:snapToGrid/>
        <w:spacing w:line="240" w:lineRule="auto"/>
        <w:textAlignment w:val="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附件：</w:t>
      </w:r>
      <w:bookmarkEnd w:id="1"/>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auto"/>
        </w:rPr>
      </w:pPr>
      <w:bookmarkStart w:id="4" w:name="_Toc2635"/>
      <w:r>
        <w:rPr>
          <w:rFonts w:hint="default" w:ascii="Times New Roman" w:hAnsi="Times New Roman" w:cs="Times New Roman"/>
          <w:color w:val="auto"/>
        </w:rPr>
        <w:t>附件1 备案</w:t>
      </w:r>
      <w:r>
        <w:rPr>
          <w:rFonts w:hint="default" w:ascii="Times New Roman" w:hAnsi="Times New Roman" w:cs="Times New Roman"/>
          <w:color w:val="auto"/>
          <w:lang w:val="en-US" w:eastAsia="zh-CN"/>
        </w:rPr>
        <w:t>信息</w:t>
      </w:r>
      <w:r>
        <w:rPr>
          <w:rFonts w:hint="default" w:ascii="Times New Roman" w:hAnsi="Times New Roman" w:cs="Times New Roman"/>
          <w:color w:val="auto"/>
        </w:rPr>
        <w:t>书</w:t>
      </w:r>
      <w:bookmarkEnd w:id="4"/>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eastAsia="宋体" w:cs="Times New Roman"/>
          <w:color w:val="auto"/>
          <w:lang w:val="en-US" w:eastAsia="zh-CN"/>
        </w:rPr>
      </w:pPr>
      <w:r>
        <w:rPr>
          <w:rFonts w:hint="default" w:ascii="Times New Roman" w:hAnsi="Times New Roman" w:cs="Times New Roman"/>
          <w:color w:val="auto"/>
        </w:rPr>
        <w:t>附</w:t>
      </w:r>
      <w:r>
        <w:rPr>
          <w:rFonts w:hint="default" w:ascii="Times New Roman" w:hAnsi="Times New Roman" w:eastAsia="宋体" w:cs="Times New Roman"/>
          <w:color w:val="auto"/>
          <w:lang w:val="en-US" w:eastAsia="zh-CN"/>
        </w:rPr>
        <w:t>件2 不动产权证</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eastAsia="宋体" w:cs="Times New Roman"/>
          <w:color w:val="auto"/>
          <w:lang w:val="en-US" w:eastAsia="zh-CN"/>
        </w:rPr>
      </w:pPr>
      <w:bookmarkStart w:id="5" w:name="_Toc14702"/>
      <w:r>
        <w:rPr>
          <w:rFonts w:hint="default" w:ascii="Times New Roman" w:hAnsi="Times New Roman" w:eastAsia="宋体" w:cs="Times New Roman"/>
          <w:color w:val="auto"/>
          <w:lang w:val="en-US" w:eastAsia="zh-CN"/>
        </w:rPr>
        <w:t>附件3</w:t>
      </w:r>
      <w:bookmarkEnd w:id="5"/>
      <w:r>
        <w:rPr>
          <w:rFonts w:hint="default" w:ascii="Times New Roman" w:hAnsi="Times New Roman" w:eastAsia="宋体" w:cs="Times New Roman"/>
          <w:color w:val="auto"/>
          <w:lang w:val="en-US" w:eastAsia="zh-CN"/>
        </w:rPr>
        <w:t xml:space="preserve"> 法人身份证</w:t>
      </w:r>
      <w:bookmarkStart w:id="6" w:name="_Toc1669"/>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附件4 营业执照</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 xml:space="preserve">附件5 </w:t>
      </w:r>
      <w:r>
        <w:rPr>
          <w:rFonts w:hint="eastAsia" w:ascii="Times New Roman" w:hAnsi="Times New Roman" w:eastAsia="宋体" w:cs="Times New Roman"/>
          <w:color w:val="auto"/>
          <w:lang w:val="en-US" w:eastAsia="zh-CN"/>
        </w:rPr>
        <w:t>油漆物质安全说明书</w:t>
      </w:r>
    </w:p>
    <w:bookmarkEnd w:id="6"/>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FF0000"/>
          <w:lang w:eastAsia="zh-CN"/>
        </w:rPr>
      </w:pPr>
      <w:r>
        <w:rPr>
          <w:rFonts w:hint="default" w:ascii="Times New Roman" w:hAnsi="Times New Roman" w:cs="Times New Roman"/>
          <w:color w:val="FF0000"/>
        </w:rPr>
        <w:t>附件</w:t>
      </w:r>
      <w:r>
        <w:rPr>
          <w:rFonts w:hint="eastAsia" w:cs="Times New Roman"/>
          <w:color w:val="FF0000"/>
          <w:lang w:val="en-US" w:eastAsia="zh-CN"/>
        </w:rPr>
        <w:t>6</w:t>
      </w:r>
      <w:r>
        <w:rPr>
          <w:rFonts w:hint="default" w:ascii="Times New Roman" w:hAnsi="Times New Roman" w:cs="Times New Roman"/>
          <w:color w:val="FF0000"/>
        </w:rPr>
        <w:t xml:space="preserve"> </w:t>
      </w:r>
      <w:r>
        <w:rPr>
          <w:rFonts w:hint="default" w:ascii="Times New Roman" w:hAnsi="Times New Roman" w:cs="Times New Roman"/>
          <w:color w:val="FF0000"/>
          <w:lang w:val="en-US" w:eastAsia="zh-CN"/>
        </w:rPr>
        <w:t>承诺书</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FF0000"/>
        </w:rPr>
      </w:pPr>
      <w:r>
        <w:rPr>
          <w:rFonts w:hint="default" w:ascii="Times New Roman" w:hAnsi="Times New Roman" w:cs="Times New Roman"/>
          <w:color w:val="FF0000"/>
        </w:rPr>
        <w:t>附件</w:t>
      </w:r>
      <w:r>
        <w:rPr>
          <w:rFonts w:hint="eastAsia" w:cs="Times New Roman"/>
          <w:color w:val="FF0000"/>
          <w:lang w:val="en-US" w:eastAsia="zh-CN"/>
        </w:rPr>
        <w:t>7</w:t>
      </w:r>
      <w:r>
        <w:rPr>
          <w:rFonts w:hint="default" w:ascii="Times New Roman" w:hAnsi="Times New Roman" w:cs="Times New Roman"/>
          <w:color w:val="FF0000"/>
        </w:rPr>
        <w:t xml:space="preserve"> 申请审批的函</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FF0000"/>
          <w:lang w:val="en-US"/>
        </w:rPr>
      </w:pPr>
      <w:r>
        <w:rPr>
          <w:rFonts w:hint="default" w:ascii="Times New Roman" w:hAnsi="Times New Roman" w:cs="Times New Roman"/>
          <w:color w:val="FF0000"/>
        </w:rPr>
        <w:t>附件</w:t>
      </w:r>
      <w:r>
        <w:rPr>
          <w:rFonts w:hint="eastAsia" w:cs="Times New Roman"/>
          <w:color w:val="FF0000"/>
          <w:lang w:val="en-US" w:eastAsia="zh-CN"/>
        </w:rPr>
        <w:t>8</w:t>
      </w:r>
      <w:r>
        <w:rPr>
          <w:rFonts w:hint="default" w:ascii="Times New Roman" w:hAnsi="Times New Roman" w:cs="Times New Roman"/>
          <w:color w:val="FF0000"/>
        </w:rPr>
        <w:t xml:space="preserve"> </w:t>
      </w:r>
      <w:r>
        <w:rPr>
          <w:rFonts w:hint="default" w:ascii="Times New Roman" w:hAnsi="Times New Roman" w:cs="Times New Roman"/>
          <w:color w:val="FF0000"/>
          <w:lang w:val="en-US" w:eastAsia="zh-CN"/>
        </w:rPr>
        <w:t>信息公开内容</w:t>
      </w:r>
    </w:p>
    <w:p>
      <w:pPr>
        <w:keepNext w:val="0"/>
        <w:keepLines w:val="0"/>
        <w:pageBreakBefore w:val="0"/>
        <w:widowControl w:val="0"/>
        <w:kinsoku/>
        <w:wordWrap/>
        <w:overflowPunct/>
        <w:topLinePunct w:val="0"/>
        <w:autoSpaceDE/>
        <w:autoSpaceDN/>
        <w:bidi w:val="0"/>
        <w:snapToGrid/>
        <w:spacing w:line="240" w:lineRule="auto"/>
        <w:ind w:left="480" w:leftChars="200"/>
        <w:textAlignment w:val="auto"/>
        <w:rPr>
          <w:rFonts w:hint="default" w:ascii="Times New Roman" w:hAnsi="Times New Roman" w:cs="Times New Roman"/>
          <w:color w:val="FF0000"/>
          <w:lang w:val="en-US" w:eastAsia="zh-CN"/>
        </w:rPr>
      </w:pPr>
      <w:r>
        <w:rPr>
          <w:rFonts w:hint="default" w:ascii="Times New Roman" w:hAnsi="Times New Roman" w:cs="Times New Roman"/>
          <w:color w:val="FF0000"/>
        </w:rPr>
        <w:t>附件</w:t>
      </w:r>
      <w:r>
        <w:rPr>
          <w:rFonts w:hint="eastAsia" w:cs="Times New Roman"/>
          <w:color w:val="FF0000"/>
          <w:lang w:val="en-US" w:eastAsia="zh-CN"/>
        </w:rPr>
        <w:t>9</w:t>
      </w:r>
      <w:r>
        <w:rPr>
          <w:rFonts w:hint="default" w:ascii="Times New Roman" w:hAnsi="Times New Roman" w:cs="Times New Roman"/>
          <w:color w:val="FF0000"/>
        </w:rPr>
        <w:t xml:space="preserve"> </w:t>
      </w:r>
      <w:r>
        <w:rPr>
          <w:rFonts w:hint="default" w:ascii="Times New Roman" w:hAnsi="Times New Roman" w:cs="Times New Roman"/>
          <w:color w:val="FF0000"/>
          <w:lang w:val="en-US" w:eastAsia="zh-CN"/>
        </w:rPr>
        <w:t>公参说明</w:t>
      </w:r>
    </w:p>
    <w:p>
      <w:pPr>
        <w:keepNext w:val="0"/>
        <w:keepLines w:val="0"/>
        <w:pageBreakBefore w:val="0"/>
        <w:widowControl w:val="0"/>
        <w:kinsoku/>
        <w:wordWrap/>
        <w:overflowPunct/>
        <w:topLinePunct w:val="0"/>
        <w:autoSpaceDE/>
        <w:autoSpaceDN/>
        <w:bidi w:val="0"/>
        <w:snapToGrid/>
        <w:spacing w:line="240" w:lineRule="auto"/>
        <w:textAlignment w:val="auto"/>
        <w:rPr>
          <w:rFonts w:hint="default" w:ascii="Times New Roman" w:hAnsi="Times New Roman" w:cs="Times New Roman"/>
          <w:b/>
          <w:bCs/>
          <w:color w:val="auto"/>
          <w:sz w:val="28"/>
          <w:szCs w:val="28"/>
        </w:rPr>
      </w:pPr>
      <w:bookmarkStart w:id="7" w:name="_Toc28478"/>
      <w:r>
        <w:rPr>
          <w:rFonts w:hint="default" w:ascii="Times New Roman" w:hAnsi="Times New Roman" w:cs="Times New Roman"/>
          <w:b/>
          <w:bCs/>
          <w:color w:val="auto"/>
          <w:sz w:val="28"/>
          <w:szCs w:val="28"/>
        </w:rPr>
        <w:t>附表：</w:t>
      </w:r>
    </w:p>
    <w:bookmarkEnd w:id="7"/>
    <w:p>
      <w:pPr>
        <w:pStyle w:val="8"/>
        <w:keepNext w:val="0"/>
        <w:keepLines w:val="0"/>
        <w:pageBreakBefore w:val="0"/>
        <w:widowControl w:val="0"/>
        <w:kinsoku/>
        <w:wordWrap/>
        <w:overflowPunct/>
        <w:topLinePunct w:val="0"/>
        <w:autoSpaceDE/>
        <w:autoSpaceDN/>
        <w:bidi w:val="0"/>
        <w:snapToGrid/>
        <w:spacing w:line="240" w:lineRule="auto"/>
        <w:textAlignment w:val="auto"/>
        <w:rPr>
          <w:rFonts w:hint="default" w:ascii="Times New Roman" w:hAnsi="Times New Roman" w:cs="Times New Roman"/>
          <w:color w:val="auto"/>
          <w:kern w:val="2"/>
          <w:szCs w:val="24"/>
        </w:rPr>
      </w:pPr>
      <w:r>
        <w:rPr>
          <w:rFonts w:hint="default" w:ascii="Times New Roman" w:hAnsi="Times New Roman" w:cs="Times New Roman"/>
          <w:color w:val="auto"/>
          <w:kern w:val="2"/>
          <w:szCs w:val="24"/>
        </w:rPr>
        <w:t>建设项目污染物排放量汇总表</w:t>
      </w:r>
    </w:p>
    <w:p>
      <w:pPr>
        <w:widowControl/>
        <w:jc w:val="left"/>
        <w:rPr>
          <w:rFonts w:hint="default" w:ascii="Times New Roman" w:hAnsi="Times New Roman" w:cs="Times New Roman"/>
          <w:color w:val="FF0000"/>
        </w:rPr>
      </w:pPr>
      <w:r>
        <w:rPr>
          <w:rFonts w:hint="default" w:ascii="Times New Roman" w:hAnsi="Times New Roman" w:cs="Times New Roman"/>
          <w:color w:val="FF0000"/>
        </w:rPr>
        <w:br w:type="page"/>
      </w:r>
    </w:p>
    <w:p>
      <w:pPr>
        <w:rPr>
          <w:rFonts w:hint="default" w:ascii="Times New Roman" w:hAnsi="Times New Roman" w:cs="Times New Roman"/>
          <w:color w:val="FF0000"/>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pPr>
        <w:pStyle w:val="4"/>
        <w:rPr>
          <w:rFonts w:hint="default" w:ascii="Times New Roman" w:hAnsi="Times New Roman" w:eastAsia="宋体" w:cs="Times New Roman"/>
          <w:b/>
          <w:color w:val="auto"/>
        </w:rPr>
      </w:pPr>
      <w:bookmarkStart w:id="8" w:name="_Toc65835257"/>
      <w:bookmarkStart w:id="9" w:name="_Toc65834461"/>
      <w:bookmarkStart w:id="10" w:name="_Toc99693252"/>
      <w:r>
        <w:rPr>
          <w:rFonts w:hint="default" w:ascii="Times New Roman" w:hAnsi="Times New Roman" w:eastAsia="宋体" w:cs="Times New Roman"/>
          <w:b/>
          <w:color w:val="auto"/>
        </w:rPr>
        <w:t>一、建设项目基本情况</w:t>
      </w:r>
      <w:bookmarkEnd w:id="8"/>
      <w:bookmarkEnd w:id="9"/>
      <w:bookmarkEnd w:id="10"/>
    </w:p>
    <w:tbl>
      <w:tblPr>
        <w:tblStyle w:val="29"/>
        <w:tblW w:w="87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
        <w:gridCol w:w="431"/>
        <w:gridCol w:w="709"/>
        <w:gridCol w:w="2774"/>
        <w:gridCol w:w="1813"/>
        <w:gridCol w:w="3059"/>
        <w:gridCol w:w="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建设项目</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名称</w:t>
            </w:r>
          </w:p>
        </w:tc>
        <w:tc>
          <w:tcPr>
            <w:tcW w:w="7647" w:type="dxa"/>
            <w:gridSpan w:val="4"/>
            <w:vAlign w:val="center"/>
          </w:tcPr>
          <w:p>
            <w:pPr>
              <w:jc w:val="center"/>
              <w:rPr>
                <w:rFonts w:hint="default" w:ascii="Times New Roman" w:hAnsi="Times New Roman" w:cs="Times New Roman"/>
                <w:color w:val="auto"/>
                <w:szCs w:val="24"/>
              </w:rPr>
            </w:pPr>
            <w:r>
              <w:rPr>
                <w:rFonts w:hint="eastAsia" w:cs="Times New Roman"/>
                <w:color w:val="auto"/>
                <w:szCs w:val="24"/>
                <w:lang w:val="en-US" w:eastAsia="zh-CN"/>
              </w:rPr>
              <w:t>年产5万吨螺旋埋弧焊管技改项目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建设单位</w:t>
            </w:r>
          </w:p>
        </w:tc>
        <w:tc>
          <w:tcPr>
            <w:tcW w:w="7647" w:type="dxa"/>
            <w:gridSpan w:val="4"/>
            <w:vAlign w:val="center"/>
          </w:tcPr>
          <w:p>
            <w:pPr>
              <w:jc w:val="center"/>
              <w:rPr>
                <w:rFonts w:hint="default" w:ascii="Times New Roman" w:hAnsi="Times New Roman" w:cs="Times New Roman"/>
                <w:color w:val="auto"/>
                <w:szCs w:val="24"/>
              </w:rPr>
            </w:pPr>
            <w:r>
              <w:rPr>
                <w:rFonts w:hint="eastAsia" w:cs="Times New Roman"/>
                <w:color w:val="auto"/>
                <w:szCs w:val="24"/>
                <w:lang w:eastAsia="zh-CN"/>
              </w:rPr>
              <w:t>浙江鑫桦钢管有限公司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项目代码</w:t>
            </w:r>
          </w:p>
        </w:tc>
        <w:tc>
          <w:tcPr>
            <w:tcW w:w="7647" w:type="dxa"/>
            <w:gridSpan w:val="4"/>
            <w:vAlign w:val="center"/>
          </w:tcPr>
          <w:p>
            <w:pPr>
              <w:jc w:val="center"/>
              <w:rPr>
                <w:rFonts w:hint="default" w:ascii="Times New Roman" w:hAnsi="Times New Roman" w:eastAsia="宋体" w:cs="Times New Roman"/>
                <w:color w:val="auto"/>
                <w:szCs w:val="24"/>
                <w:lang w:val="en-US" w:eastAsia="zh-CN"/>
              </w:rPr>
            </w:pPr>
            <w:r>
              <w:rPr>
                <w:rFonts w:hint="default" w:ascii="Times New Roman" w:hAnsi="Times New Roman" w:cs="Times New Roman"/>
                <w:color w:val="auto"/>
                <w:szCs w:val="24"/>
              </w:rPr>
              <w:t>2</w:t>
            </w:r>
            <w:r>
              <w:rPr>
                <w:rFonts w:hint="default" w:ascii="Times New Roman" w:hAnsi="Times New Roman" w:cs="Times New Roman"/>
                <w:color w:val="auto"/>
                <w:szCs w:val="24"/>
                <w:lang w:val="en-US" w:eastAsia="zh-CN"/>
              </w:rPr>
              <w:t>40</w:t>
            </w:r>
            <w:r>
              <w:rPr>
                <w:rFonts w:hint="eastAsia" w:cs="Times New Roman"/>
                <w:color w:val="auto"/>
                <w:szCs w:val="24"/>
                <w:lang w:val="en-US" w:eastAsia="zh-CN"/>
              </w:rPr>
              <w:t>4</w:t>
            </w:r>
            <w:r>
              <w:rPr>
                <w:rFonts w:hint="default" w:ascii="Times New Roman" w:hAnsi="Times New Roman" w:cs="Times New Roman"/>
                <w:color w:val="auto"/>
                <w:szCs w:val="24"/>
              </w:rPr>
              <w:t>-330521-07-0</w:t>
            </w:r>
            <w:r>
              <w:rPr>
                <w:rFonts w:hint="default" w:ascii="Times New Roman" w:hAnsi="Times New Roman" w:cs="Times New Roman"/>
                <w:color w:val="auto"/>
                <w:szCs w:val="24"/>
                <w:lang w:val="en-US" w:eastAsia="zh-CN"/>
              </w:rPr>
              <w:t>2</w:t>
            </w:r>
            <w:r>
              <w:rPr>
                <w:rFonts w:hint="default" w:ascii="Times New Roman" w:hAnsi="Times New Roman" w:cs="Times New Roman"/>
                <w:color w:val="auto"/>
                <w:szCs w:val="24"/>
              </w:rPr>
              <w:t>-</w:t>
            </w:r>
            <w:r>
              <w:rPr>
                <w:rFonts w:hint="eastAsia" w:cs="Times New Roman"/>
                <w:color w:val="auto"/>
                <w:szCs w:val="24"/>
                <w:lang w:val="en-US" w:eastAsia="zh-CN"/>
              </w:rPr>
              <w:t>684495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建设项目</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联系人</w:t>
            </w:r>
          </w:p>
        </w:tc>
        <w:tc>
          <w:tcPr>
            <w:tcW w:w="2774" w:type="dxa"/>
            <w:vAlign w:val="center"/>
          </w:tcPr>
          <w:p>
            <w:pPr>
              <w:jc w:val="center"/>
              <w:rPr>
                <w:rFonts w:hint="default" w:ascii="Times New Roman" w:hAnsi="Times New Roman" w:cs="Times New Roman"/>
                <w:color w:val="auto"/>
                <w:szCs w:val="24"/>
                <w:lang w:val="en-US"/>
              </w:rPr>
            </w:pPr>
            <w:r>
              <w:rPr>
                <w:rFonts w:hint="eastAsia" w:cs="Times New Roman"/>
                <w:color w:val="auto"/>
                <w:szCs w:val="24"/>
                <w:lang w:val="en-US" w:eastAsia="zh-CN"/>
              </w:rPr>
              <w:t>李占</w:t>
            </w:r>
          </w:p>
        </w:tc>
        <w:tc>
          <w:tcPr>
            <w:tcW w:w="1813" w:type="dxa"/>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联系方式</w:t>
            </w:r>
          </w:p>
        </w:tc>
        <w:tc>
          <w:tcPr>
            <w:tcW w:w="3060" w:type="dxa"/>
            <w:gridSpan w:val="2"/>
            <w:vAlign w:val="center"/>
          </w:tcPr>
          <w:p>
            <w:pPr>
              <w:jc w:val="center"/>
              <w:rPr>
                <w:rFonts w:hint="default" w:ascii="Times New Roman" w:hAnsi="Times New Roman" w:eastAsia="宋体" w:cs="Times New Roman"/>
                <w:color w:val="auto"/>
                <w:szCs w:val="24"/>
                <w:lang w:val="en-US" w:eastAsia="zh-CN"/>
              </w:rPr>
            </w:pPr>
            <w:r>
              <w:rPr>
                <w:rFonts w:hint="eastAsia" w:cs="Times New Roman"/>
                <w:color w:val="auto"/>
                <w:szCs w:val="24"/>
                <w:lang w:val="en-US" w:eastAsia="zh-CN"/>
              </w:rPr>
              <w:t>18057283639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建设地点</w:t>
            </w:r>
          </w:p>
        </w:tc>
        <w:tc>
          <w:tcPr>
            <w:tcW w:w="7647" w:type="dxa"/>
            <w:gridSpan w:val="4"/>
            <w:vAlign w:val="center"/>
          </w:tcPr>
          <w:p>
            <w:pPr>
              <w:jc w:val="center"/>
              <w:rPr>
                <w:rFonts w:hint="default" w:ascii="Times New Roman" w:hAnsi="Times New Roman" w:eastAsia="宋体" w:cs="Times New Roman"/>
                <w:color w:val="auto"/>
                <w:szCs w:val="24"/>
                <w:lang w:eastAsia="zh-CN"/>
              </w:rPr>
            </w:pPr>
            <w:r>
              <w:rPr>
                <w:rFonts w:hint="eastAsia" w:cs="Times New Roman"/>
                <w:color w:val="auto"/>
                <w:szCs w:val="24"/>
                <w:lang w:eastAsia="zh-CN"/>
              </w:rPr>
              <w:t>德清县钟管镇横塘桥路2号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地理坐标</w:t>
            </w:r>
          </w:p>
        </w:tc>
        <w:tc>
          <w:tcPr>
            <w:tcW w:w="7647" w:type="dxa"/>
            <w:gridSpan w:val="4"/>
            <w:vAlign w:val="center"/>
          </w:tcPr>
          <w:p>
            <w:pPr>
              <w:jc w:val="center"/>
              <w:rPr>
                <w:rFonts w:hint="default" w:ascii="Times New Roman" w:hAnsi="Times New Roman" w:cs="Times New Roman"/>
                <w:color w:val="auto"/>
                <w:szCs w:val="24"/>
              </w:rPr>
            </w:pPr>
            <w:r>
              <w:rPr>
                <w:rFonts w:hint="default" w:ascii="Times New Roman" w:hAnsi="Times New Roman" w:cs="Times New Roman"/>
                <w:color w:val="auto"/>
                <w:szCs w:val="24"/>
              </w:rPr>
              <w:t>（</w:t>
            </w:r>
            <w:r>
              <w:rPr>
                <w:rFonts w:hint="default" w:ascii="Times New Roman" w:hAnsi="Times New Roman" w:cs="Times New Roman"/>
                <w:color w:val="auto"/>
                <w:szCs w:val="24"/>
                <w:u w:val="single"/>
              </w:rPr>
              <w:t>120</w:t>
            </w:r>
            <w:r>
              <w:rPr>
                <w:rFonts w:hint="default" w:ascii="Times New Roman" w:hAnsi="Times New Roman" w:cs="Times New Roman"/>
                <w:color w:val="auto"/>
                <w:szCs w:val="24"/>
              </w:rPr>
              <w:t>度</w:t>
            </w:r>
            <w:r>
              <w:rPr>
                <w:rFonts w:hint="default" w:ascii="Times New Roman" w:hAnsi="Times New Roman" w:cs="Times New Roman"/>
                <w:color w:val="auto"/>
                <w:szCs w:val="24"/>
                <w:u w:val="single"/>
                <w:lang w:val="en-US" w:eastAsia="zh-CN"/>
              </w:rPr>
              <w:t>11</w:t>
            </w:r>
            <w:r>
              <w:rPr>
                <w:rFonts w:hint="default" w:ascii="Times New Roman" w:hAnsi="Times New Roman" w:cs="Times New Roman"/>
                <w:color w:val="auto"/>
                <w:szCs w:val="24"/>
              </w:rPr>
              <w:t>分</w:t>
            </w:r>
            <w:r>
              <w:rPr>
                <w:rFonts w:hint="eastAsia" w:cs="Times New Roman"/>
                <w:color w:val="auto"/>
                <w:szCs w:val="24"/>
                <w:u w:val="single"/>
                <w:lang w:val="en-US" w:eastAsia="zh-CN"/>
              </w:rPr>
              <w:t>40.47897</w:t>
            </w:r>
            <w:r>
              <w:rPr>
                <w:rFonts w:hint="default" w:ascii="Times New Roman" w:hAnsi="Times New Roman" w:cs="Times New Roman"/>
                <w:color w:val="auto"/>
                <w:szCs w:val="24"/>
              </w:rPr>
              <w:t>秒，</w:t>
            </w:r>
            <w:r>
              <w:rPr>
                <w:rFonts w:hint="default" w:ascii="Times New Roman" w:hAnsi="Times New Roman" w:cs="Times New Roman"/>
                <w:color w:val="auto"/>
                <w:szCs w:val="24"/>
                <w:u w:val="single"/>
                <w:lang w:val="en-US" w:eastAsia="zh-CN"/>
              </w:rPr>
              <w:t>30</w:t>
            </w:r>
            <w:r>
              <w:rPr>
                <w:rFonts w:hint="default" w:ascii="Times New Roman" w:hAnsi="Times New Roman" w:cs="Times New Roman"/>
                <w:color w:val="auto"/>
                <w:szCs w:val="24"/>
              </w:rPr>
              <w:t>度</w:t>
            </w:r>
            <w:r>
              <w:rPr>
                <w:rFonts w:hint="default" w:ascii="Times New Roman" w:hAnsi="Times New Roman" w:cs="Times New Roman"/>
                <w:color w:val="auto"/>
                <w:szCs w:val="24"/>
                <w:u w:val="single"/>
              </w:rPr>
              <w:t>3</w:t>
            </w:r>
            <w:r>
              <w:rPr>
                <w:rFonts w:hint="eastAsia" w:cs="Times New Roman"/>
                <w:color w:val="auto"/>
                <w:szCs w:val="24"/>
                <w:u w:val="single"/>
                <w:lang w:val="en-US" w:eastAsia="zh-CN"/>
              </w:rPr>
              <w:t>7</w:t>
            </w:r>
            <w:r>
              <w:rPr>
                <w:rFonts w:hint="default" w:ascii="Times New Roman" w:hAnsi="Times New Roman" w:cs="Times New Roman"/>
                <w:color w:val="auto"/>
                <w:szCs w:val="24"/>
              </w:rPr>
              <w:t>分</w:t>
            </w:r>
            <w:r>
              <w:rPr>
                <w:rFonts w:hint="eastAsia" w:cs="Times New Roman"/>
                <w:color w:val="auto"/>
                <w:szCs w:val="24"/>
                <w:u w:val="single"/>
                <w:lang w:val="en-US" w:eastAsia="zh-CN"/>
              </w:rPr>
              <w:t>56.55866</w:t>
            </w:r>
            <w:r>
              <w:rPr>
                <w:rFonts w:hint="default" w:ascii="Times New Roman" w:hAnsi="Times New Roman" w:cs="Times New Roman"/>
                <w:color w:val="auto"/>
                <w:szCs w:val="24"/>
              </w:rPr>
              <w:t>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国民经济</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行业类别</w:t>
            </w:r>
          </w:p>
        </w:tc>
        <w:tc>
          <w:tcPr>
            <w:tcW w:w="2774" w:type="dxa"/>
            <w:vAlign w:val="center"/>
          </w:tcPr>
          <w:p>
            <w:pPr>
              <w:ind w:left="60" w:leftChars="25" w:right="60" w:rightChars="25"/>
              <w:jc w:val="center"/>
              <w:rPr>
                <w:rFonts w:hint="default" w:ascii="Times New Roman" w:hAnsi="Times New Roman" w:cs="Times New Roman"/>
                <w:color w:val="auto"/>
                <w:szCs w:val="24"/>
              </w:rPr>
            </w:pPr>
            <w:r>
              <w:rPr>
                <w:rFonts w:hint="eastAsia" w:cs="Times New Roman"/>
                <w:color w:val="auto"/>
                <w:szCs w:val="24"/>
                <w:lang w:val="en-US" w:eastAsia="zh-CN"/>
              </w:rPr>
              <w:t>其他建筑、安全用金属制品制造</w:t>
            </w:r>
            <w:r>
              <w:rPr>
                <w:rFonts w:hint="default" w:ascii="Times New Roman" w:hAnsi="Times New Roman" w:cs="Times New Roman"/>
                <w:color w:val="auto"/>
                <w:szCs w:val="24"/>
              </w:rPr>
              <w:t>（C</w:t>
            </w:r>
            <w:r>
              <w:rPr>
                <w:rFonts w:hint="default" w:ascii="Times New Roman" w:hAnsi="Times New Roman" w:cs="Times New Roman"/>
                <w:color w:val="auto"/>
                <w:szCs w:val="24"/>
                <w:lang w:val="en-US" w:eastAsia="zh-CN"/>
              </w:rPr>
              <w:t>3</w:t>
            </w:r>
            <w:r>
              <w:rPr>
                <w:rFonts w:hint="eastAsia" w:cs="Times New Roman"/>
                <w:color w:val="auto"/>
                <w:szCs w:val="24"/>
                <w:lang w:val="en-US" w:eastAsia="zh-CN"/>
              </w:rPr>
              <w:t>359</w:t>
            </w:r>
            <w:r>
              <w:rPr>
                <w:rFonts w:hint="default" w:ascii="Times New Roman" w:hAnsi="Times New Roman" w:cs="Times New Roman"/>
                <w:color w:val="auto"/>
                <w:szCs w:val="24"/>
              </w:rPr>
              <w:t>）</w:t>
            </w:r>
          </w:p>
        </w:tc>
        <w:tc>
          <w:tcPr>
            <w:tcW w:w="1813" w:type="dxa"/>
            <w:vAlign w:val="center"/>
          </w:tcPr>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建设项目</w:t>
            </w:r>
          </w:p>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行业类别</w:t>
            </w:r>
          </w:p>
        </w:tc>
        <w:tc>
          <w:tcPr>
            <w:tcW w:w="3060" w:type="dxa"/>
            <w:gridSpan w:val="2"/>
            <w:vAlign w:val="center"/>
          </w:tcPr>
          <w:p>
            <w:pPr>
              <w:ind w:left="60" w:leftChars="25" w:right="60" w:rightChars="25"/>
              <w:jc w:val="center"/>
              <w:rPr>
                <w:rFonts w:hint="eastAsia" w:cs="Times New Roman"/>
                <w:color w:val="auto"/>
                <w:szCs w:val="24"/>
                <w:lang w:val="en-US" w:eastAsia="zh-CN"/>
              </w:rPr>
            </w:pPr>
            <w:r>
              <w:rPr>
                <w:rFonts w:hint="eastAsia" w:cs="Times New Roman"/>
                <w:color w:val="auto"/>
                <w:szCs w:val="24"/>
                <w:lang w:val="en-US" w:eastAsia="zh-CN"/>
              </w:rPr>
              <w:t>三十、金属制品业33</w:t>
            </w:r>
          </w:p>
          <w:p>
            <w:pPr>
              <w:ind w:left="60" w:leftChars="25" w:right="60" w:rightChars="25"/>
              <w:jc w:val="center"/>
              <w:rPr>
                <w:rFonts w:hint="default" w:ascii="Times New Roman" w:hAnsi="Times New Roman" w:cs="Times New Roman"/>
                <w:color w:val="auto"/>
                <w:szCs w:val="24"/>
                <w:lang w:val="en-US" w:eastAsia="zh-CN"/>
              </w:rPr>
            </w:pPr>
            <w:r>
              <w:rPr>
                <w:rFonts w:hint="eastAsia" w:cs="Times New Roman"/>
                <w:color w:val="auto"/>
                <w:szCs w:val="24"/>
                <w:lang w:val="en-US" w:eastAsia="zh-CN"/>
              </w:rPr>
              <w:t>建筑、安全用金属制品制造335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建设性质</w:t>
            </w:r>
          </w:p>
        </w:tc>
        <w:tc>
          <w:tcPr>
            <w:tcW w:w="2774" w:type="dxa"/>
            <w:vAlign w:val="center"/>
          </w:tcPr>
          <w:p>
            <w:pPr>
              <w:ind w:left="60" w:leftChars="25" w:right="60" w:rightChars="25"/>
              <w:jc w:val="left"/>
              <w:rPr>
                <w:rFonts w:hint="default" w:ascii="Times New Roman" w:hAnsi="Times New Roman" w:cs="Times New Roman"/>
                <w:color w:val="auto"/>
                <w:szCs w:val="24"/>
              </w:rPr>
            </w:pPr>
            <w:r>
              <w:rPr>
                <w:rFonts w:hint="default" w:ascii="Times New Roman" w:hAnsi="Times New Roman" w:cs="Times New Roman"/>
                <w:color w:val="auto"/>
                <w:szCs w:val="24"/>
              </w:rPr>
              <w:sym w:font="Wingdings 2" w:char="00A3"/>
            </w:r>
            <w:r>
              <w:rPr>
                <w:rFonts w:hint="default" w:ascii="Times New Roman" w:hAnsi="Times New Roman" w:cs="Times New Roman"/>
                <w:color w:val="auto"/>
                <w:szCs w:val="24"/>
              </w:rPr>
              <w:t>新建（迁建）</w:t>
            </w:r>
          </w:p>
          <w:p>
            <w:pPr>
              <w:ind w:left="60" w:leftChars="25" w:right="60" w:rightChars="25"/>
              <w:jc w:val="left"/>
              <w:rPr>
                <w:rFonts w:hint="default" w:ascii="Times New Roman" w:hAnsi="Times New Roman" w:cs="Times New Roman"/>
                <w:color w:val="auto"/>
                <w:szCs w:val="24"/>
              </w:rPr>
            </w:pPr>
            <w:r>
              <w:rPr>
                <w:rFonts w:hint="default" w:ascii="Times New Roman" w:hAnsi="Times New Roman" w:cs="Times New Roman"/>
                <w:color w:val="auto"/>
                <w:szCs w:val="24"/>
              </w:rPr>
              <w:sym w:font="Wingdings 2" w:char="00A3"/>
            </w:r>
            <w:r>
              <w:rPr>
                <w:rFonts w:hint="default" w:ascii="Times New Roman" w:hAnsi="Times New Roman" w:cs="Times New Roman"/>
                <w:color w:val="auto"/>
                <w:szCs w:val="24"/>
              </w:rPr>
              <w:t>改建</w:t>
            </w:r>
          </w:p>
          <w:p>
            <w:pPr>
              <w:ind w:left="60" w:leftChars="25" w:right="60" w:rightChars="25"/>
              <w:jc w:val="left"/>
              <w:rPr>
                <w:rFonts w:hint="default" w:ascii="Times New Roman" w:hAnsi="Times New Roman" w:cs="Times New Roman"/>
                <w:color w:val="auto"/>
                <w:szCs w:val="24"/>
              </w:rPr>
            </w:pPr>
            <w:r>
              <w:rPr>
                <w:rFonts w:hint="default" w:ascii="Times New Roman" w:hAnsi="Times New Roman" w:cs="Times New Roman"/>
                <w:color w:val="auto"/>
                <w:szCs w:val="24"/>
              </w:rPr>
              <w:sym w:font="Wingdings 2" w:char="00A3"/>
            </w:r>
            <w:r>
              <w:rPr>
                <w:rFonts w:hint="default" w:ascii="Times New Roman" w:hAnsi="Times New Roman" w:cs="Times New Roman"/>
                <w:color w:val="auto"/>
                <w:szCs w:val="24"/>
              </w:rPr>
              <w:t>扩建</w:t>
            </w:r>
          </w:p>
          <w:p>
            <w:pPr>
              <w:ind w:left="60" w:leftChars="25" w:right="60" w:rightChars="25"/>
              <w:jc w:val="left"/>
              <w:rPr>
                <w:rFonts w:hint="default" w:ascii="Times New Roman" w:hAnsi="Times New Roman" w:cs="Times New Roman"/>
                <w:color w:val="auto"/>
                <w:szCs w:val="24"/>
              </w:rPr>
            </w:pPr>
            <w:r>
              <w:rPr>
                <w:rFonts w:hint="default" w:ascii="Times New Roman" w:hAnsi="Times New Roman" w:cs="Times New Roman"/>
                <w:color w:val="auto"/>
                <w:szCs w:val="24"/>
              </w:rPr>
              <w:sym w:font="Wingdings 2" w:char="0052"/>
            </w:r>
            <w:r>
              <w:rPr>
                <w:rFonts w:hint="default" w:ascii="Times New Roman" w:hAnsi="Times New Roman" w:cs="Times New Roman"/>
                <w:color w:val="auto"/>
                <w:szCs w:val="24"/>
              </w:rPr>
              <w:t>技术改造</w:t>
            </w:r>
          </w:p>
        </w:tc>
        <w:tc>
          <w:tcPr>
            <w:tcW w:w="1813" w:type="dxa"/>
            <w:vAlign w:val="center"/>
          </w:tcPr>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建设项目</w:t>
            </w:r>
          </w:p>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申报情形</w:t>
            </w:r>
          </w:p>
        </w:tc>
        <w:tc>
          <w:tcPr>
            <w:tcW w:w="3060" w:type="dxa"/>
            <w:gridSpan w:val="2"/>
            <w:vAlign w:val="center"/>
          </w:tcPr>
          <w:p>
            <w:pPr>
              <w:ind w:left="60" w:leftChars="25" w:right="60" w:rightChars="25"/>
              <w:jc w:val="left"/>
              <w:rPr>
                <w:rFonts w:hint="default" w:ascii="Times New Roman" w:hAnsi="Times New Roman" w:cs="Times New Roman"/>
                <w:color w:val="auto"/>
                <w:szCs w:val="24"/>
                <w:lang w:val="en-US" w:eastAsia="zh-CN"/>
              </w:rPr>
            </w:pPr>
            <w:r>
              <w:rPr>
                <w:rFonts w:hint="default" w:ascii="Times New Roman" w:hAnsi="Times New Roman" w:cs="Times New Roman"/>
                <w:color w:val="auto"/>
                <w:szCs w:val="24"/>
                <w:lang w:val="en-US" w:eastAsia="zh-CN"/>
              </w:rPr>
              <w:sym w:font="Wingdings 2" w:char="F052"/>
            </w:r>
            <w:r>
              <w:rPr>
                <w:rFonts w:hint="default" w:ascii="Times New Roman" w:hAnsi="Times New Roman" w:cs="Times New Roman"/>
                <w:color w:val="auto"/>
                <w:szCs w:val="24"/>
                <w:lang w:val="en-US" w:eastAsia="zh-CN"/>
              </w:rPr>
              <w:t>首次申报项目</w:t>
            </w:r>
          </w:p>
          <w:p>
            <w:pPr>
              <w:ind w:left="60" w:leftChars="25" w:right="60" w:rightChars="25"/>
              <w:jc w:val="left"/>
              <w:rPr>
                <w:rFonts w:hint="default" w:ascii="Times New Roman" w:hAnsi="Times New Roman" w:cs="Times New Roman"/>
                <w:color w:val="auto"/>
                <w:szCs w:val="24"/>
                <w:lang w:val="en-US" w:eastAsia="zh-CN"/>
              </w:rPr>
            </w:pPr>
            <w:r>
              <w:rPr>
                <w:rFonts w:hint="default" w:ascii="Times New Roman" w:hAnsi="Times New Roman" w:cs="Times New Roman"/>
                <w:color w:val="auto"/>
                <w:szCs w:val="24"/>
                <w:lang w:val="en-US" w:eastAsia="zh-CN"/>
              </w:rPr>
              <w:sym w:font="Wingdings 2" w:char="00A3"/>
            </w:r>
            <w:r>
              <w:rPr>
                <w:rFonts w:hint="default" w:ascii="Times New Roman" w:hAnsi="Times New Roman" w:cs="Times New Roman"/>
                <w:color w:val="auto"/>
                <w:szCs w:val="24"/>
                <w:lang w:val="en-US" w:eastAsia="zh-CN"/>
              </w:rPr>
              <w:t>不予批准后再次申报项目</w:t>
            </w:r>
          </w:p>
          <w:p>
            <w:pPr>
              <w:ind w:left="60" w:leftChars="25" w:right="60" w:rightChars="25"/>
              <w:jc w:val="left"/>
              <w:rPr>
                <w:rFonts w:hint="default" w:ascii="Times New Roman" w:hAnsi="Times New Roman" w:cs="Times New Roman"/>
                <w:color w:val="auto"/>
                <w:szCs w:val="24"/>
                <w:lang w:val="en-US" w:eastAsia="zh-CN"/>
              </w:rPr>
            </w:pPr>
            <w:r>
              <w:rPr>
                <w:rFonts w:hint="default" w:ascii="Times New Roman" w:hAnsi="Times New Roman" w:cs="Times New Roman"/>
                <w:color w:val="auto"/>
                <w:szCs w:val="24"/>
                <w:lang w:val="en-US" w:eastAsia="zh-CN"/>
              </w:rPr>
              <w:sym w:font="Wingdings 2" w:char="00A3"/>
            </w:r>
            <w:r>
              <w:rPr>
                <w:rFonts w:hint="default" w:ascii="Times New Roman" w:hAnsi="Times New Roman" w:cs="Times New Roman"/>
                <w:color w:val="auto"/>
                <w:szCs w:val="24"/>
                <w:lang w:val="en-US" w:eastAsia="zh-CN"/>
              </w:rPr>
              <w:t>超五年重新审核项目</w:t>
            </w:r>
          </w:p>
          <w:p>
            <w:pPr>
              <w:ind w:left="60" w:leftChars="25" w:right="60" w:rightChars="25"/>
              <w:jc w:val="left"/>
              <w:rPr>
                <w:rFonts w:hint="default" w:ascii="Times New Roman" w:hAnsi="Times New Roman" w:cs="Times New Roman"/>
                <w:color w:val="auto"/>
                <w:szCs w:val="24"/>
                <w:lang w:val="en-US" w:eastAsia="zh-CN"/>
              </w:rPr>
            </w:pPr>
            <w:r>
              <w:rPr>
                <w:rFonts w:hint="default" w:ascii="Times New Roman" w:hAnsi="Times New Roman" w:cs="Times New Roman"/>
                <w:color w:val="auto"/>
                <w:szCs w:val="24"/>
                <w:lang w:val="en-US" w:eastAsia="zh-CN"/>
              </w:rPr>
              <w:sym w:font="Wingdings 2" w:char="00A3"/>
            </w:r>
            <w:r>
              <w:rPr>
                <w:rFonts w:hint="default" w:ascii="Times New Roman" w:hAnsi="Times New Roman" w:cs="Times New Roman"/>
                <w:color w:val="auto"/>
                <w:szCs w:val="24"/>
                <w:lang w:val="en-US" w:eastAsia="zh-CN"/>
              </w:rPr>
              <w:t>重大变动重新报批项目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项目审批</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（核准/备案）部门（选填）</w:t>
            </w:r>
          </w:p>
        </w:tc>
        <w:tc>
          <w:tcPr>
            <w:tcW w:w="2774" w:type="dxa"/>
            <w:vAlign w:val="center"/>
          </w:tcPr>
          <w:p>
            <w:pPr>
              <w:widowControl/>
              <w:ind w:left="60" w:leftChars="25" w:right="60" w:rightChars="25"/>
              <w:jc w:val="center"/>
              <w:rPr>
                <w:rFonts w:hint="default" w:ascii="Times New Roman" w:hAnsi="Times New Roman" w:cs="Times New Roman"/>
                <w:color w:val="auto"/>
                <w:szCs w:val="24"/>
              </w:rPr>
            </w:pPr>
            <w:r>
              <w:rPr>
                <w:rFonts w:hint="default" w:ascii="Times New Roman" w:hAnsi="Times New Roman" w:cs="Times New Roman"/>
                <w:color w:val="auto"/>
                <w:szCs w:val="24"/>
              </w:rPr>
              <w:t>德清县经济和信息化局</w:t>
            </w:r>
          </w:p>
        </w:tc>
        <w:tc>
          <w:tcPr>
            <w:tcW w:w="1813" w:type="dxa"/>
            <w:vAlign w:val="center"/>
          </w:tcPr>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项目审批审批（核准/备案）文号（选填）</w:t>
            </w:r>
          </w:p>
        </w:tc>
        <w:tc>
          <w:tcPr>
            <w:tcW w:w="3060" w:type="dxa"/>
            <w:gridSpan w:val="2"/>
            <w:vAlign w:val="center"/>
          </w:tcPr>
          <w:p>
            <w:pPr>
              <w:ind w:left="60" w:leftChars="25" w:right="60" w:rightChars="25"/>
              <w:jc w:val="center"/>
              <w:rPr>
                <w:rFonts w:hint="default" w:ascii="Times New Roman" w:hAnsi="Times New Roman" w:cs="Times New Roman"/>
                <w:color w:val="auto"/>
                <w:szCs w:val="24"/>
              </w:rPr>
            </w:pPr>
            <w:r>
              <w:rPr>
                <w:rFonts w:hint="default" w:ascii="Times New Roman" w:hAnsi="Times New Roman" w:cs="Times New Roman"/>
                <w:color w:val="auto"/>
                <w:szCs w:val="24"/>
              </w:rPr>
              <w:t>2</w:t>
            </w:r>
            <w:r>
              <w:rPr>
                <w:rFonts w:hint="default" w:ascii="Times New Roman" w:hAnsi="Times New Roman" w:cs="Times New Roman"/>
                <w:color w:val="auto"/>
                <w:szCs w:val="24"/>
                <w:lang w:val="en-US" w:eastAsia="zh-CN"/>
              </w:rPr>
              <w:t>40</w:t>
            </w:r>
            <w:r>
              <w:rPr>
                <w:rFonts w:hint="eastAsia" w:cs="Times New Roman"/>
                <w:color w:val="auto"/>
                <w:szCs w:val="24"/>
                <w:lang w:val="en-US" w:eastAsia="zh-CN"/>
              </w:rPr>
              <w:t>4</w:t>
            </w:r>
            <w:r>
              <w:rPr>
                <w:rFonts w:hint="default" w:ascii="Times New Roman" w:hAnsi="Times New Roman" w:cs="Times New Roman"/>
                <w:color w:val="auto"/>
                <w:szCs w:val="24"/>
              </w:rPr>
              <w:t>-330521-07-0</w:t>
            </w:r>
            <w:r>
              <w:rPr>
                <w:rFonts w:hint="default" w:ascii="Times New Roman" w:hAnsi="Times New Roman" w:cs="Times New Roman"/>
                <w:color w:val="auto"/>
                <w:szCs w:val="24"/>
                <w:lang w:val="en-US" w:eastAsia="zh-CN"/>
              </w:rPr>
              <w:t>2</w:t>
            </w:r>
            <w:r>
              <w:rPr>
                <w:rFonts w:hint="default" w:ascii="Times New Roman" w:hAnsi="Times New Roman" w:cs="Times New Roman"/>
                <w:color w:val="auto"/>
                <w:szCs w:val="24"/>
              </w:rPr>
              <w:t>-</w:t>
            </w:r>
            <w:r>
              <w:rPr>
                <w:rFonts w:hint="eastAsia" w:cs="Times New Roman"/>
                <w:color w:val="auto"/>
                <w:szCs w:val="24"/>
                <w:lang w:val="en-US" w:eastAsia="zh-CN"/>
              </w:rPr>
              <w:t>684495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总投资</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（万元）</w:t>
            </w:r>
          </w:p>
        </w:tc>
        <w:tc>
          <w:tcPr>
            <w:tcW w:w="2774" w:type="dxa"/>
            <w:vAlign w:val="center"/>
          </w:tcPr>
          <w:p>
            <w:pPr>
              <w:ind w:left="60" w:leftChars="25" w:right="60" w:rightChars="25"/>
              <w:jc w:val="center"/>
              <w:rPr>
                <w:rFonts w:hint="default" w:ascii="Times New Roman" w:hAnsi="Times New Roman" w:cs="Times New Roman"/>
                <w:color w:val="auto"/>
                <w:szCs w:val="24"/>
                <w:lang w:val="en-US"/>
              </w:rPr>
            </w:pPr>
            <w:r>
              <w:rPr>
                <w:rFonts w:hint="eastAsia" w:cs="Times New Roman"/>
                <w:color w:val="auto"/>
                <w:szCs w:val="24"/>
                <w:lang w:val="en-US" w:eastAsia="zh-CN"/>
              </w:rPr>
              <w:t>200</w:t>
            </w:r>
            <w:r>
              <w:rPr>
                <w:rFonts w:hint="default" w:ascii="Times New Roman" w:hAnsi="Times New Roman" w:cs="Times New Roman"/>
                <w:color w:val="auto"/>
                <w:szCs w:val="24"/>
                <w:lang w:val="en-US" w:eastAsia="zh-CN"/>
              </w:rPr>
              <w:t>0</w:t>
            </w:r>
          </w:p>
        </w:tc>
        <w:tc>
          <w:tcPr>
            <w:tcW w:w="1813" w:type="dxa"/>
            <w:vAlign w:val="center"/>
          </w:tcPr>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环保投资（万元）</w:t>
            </w:r>
          </w:p>
        </w:tc>
        <w:tc>
          <w:tcPr>
            <w:tcW w:w="3060" w:type="dxa"/>
            <w:gridSpan w:val="2"/>
            <w:vAlign w:val="center"/>
          </w:tcPr>
          <w:p>
            <w:pPr>
              <w:ind w:left="60" w:leftChars="25" w:right="60" w:rightChars="25"/>
              <w:jc w:val="center"/>
              <w:rPr>
                <w:rFonts w:hint="default" w:ascii="Times New Roman" w:hAnsi="Times New Roman" w:eastAsia="宋体" w:cs="Times New Roman"/>
                <w:color w:val="auto"/>
                <w:szCs w:val="24"/>
                <w:lang w:val="en-US" w:eastAsia="zh-CN"/>
              </w:rPr>
            </w:pPr>
            <w:r>
              <w:rPr>
                <w:rFonts w:hint="eastAsia" w:cs="Times New Roman"/>
                <w:color w:val="auto"/>
                <w:szCs w:val="24"/>
                <w:lang w:val="en-US" w:eastAsia="zh-CN"/>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环保投资</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占比（%）</w:t>
            </w:r>
          </w:p>
        </w:tc>
        <w:tc>
          <w:tcPr>
            <w:tcW w:w="2774" w:type="dxa"/>
            <w:vAlign w:val="center"/>
          </w:tcPr>
          <w:p>
            <w:pPr>
              <w:ind w:left="60" w:leftChars="25" w:right="60" w:rightChars="25"/>
              <w:jc w:val="center"/>
              <w:rPr>
                <w:rFonts w:hint="default" w:ascii="Times New Roman" w:hAnsi="Times New Roman" w:eastAsia="宋体" w:cs="Times New Roman"/>
                <w:color w:val="auto"/>
                <w:szCs w:val="24"/>
                <w:lang w:val="en-US" w:eastAsia="zh-CN"/>
              </w:rPr>
            </w:pPr>
            <w:r>
              <w:rPr>
                <w:rFonts w:hint="eastAsia" w:cs="Times New Roman"/>
                <w:color w:val="auto"/>
                <w:szCs w:val="24"/>
                <w:lang w:val="en-US" w:eastAsia="zh-CN"/>
              </w:rPr>
              <w:t>5.4</w:t>
            </w:r>
          </w:p>
        </w:tc>
        <w:tc>
          <w:tcPr>
            <w:tcW w:w="1813" w:type="dxa"/>
            <w:vAlign w:val="center"/>
          </w:tcPr>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施工工期</w:t>
            </w:r>
          </w:p>
        </w:tc>
        <w:tc>
          <w:tcPr>
            <w:tcW w:w="3060" w:type="dxa"/>
            <w:gridSpan w:val="2"/>
            <w:vAlign w:val="center"/>
          </w:tcPr>
          <w:p>
            <w:pPr>
              <w:ind w:left="60" w:leftChars="25" w:right="60" w:rightChars="25"/>
              <w:jc w:val="center"/>
              <w:rPr>
                <w:rFonts w:hint="default" w:ascii="Times New Roman" w:hAnsi="Times New Roman" w:cs="Times New Roman"/>
                <w:color w:val="auto"/>
                <w:szCs w:val="24"/>
              </w:rPr>
            </w:pPr>
            <w:r>
              <w:rPr>
                <w:rFonts w:hint="default" w:ascii="Times New Roman" w:hAnsi="Times New Roman" w:cs="Times New Roman"/>
                <w:color w:val="auto"/>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63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是否开工</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建设</w:t>
            </w:r>
          </w:p>
        </w:tc>
        <w:tc>
          <w:tcPr>
            <w:tcW w:w="2774" w:type="dxa"/>
            <w:vAlign w:val="center"/>
          </w:tcPr>
          <w:p>
            <w:pPr>
              <w:ind w:left="60" w:leftChars="25" w:right="60" w:rightChars="25"/>
              <w:jc w:val="left"/>
              <w:rPr>
                <w:rFonts w:hint="default" w:ascii="Times New Roman" w:hAnsi="Times New Roman" w:cs="Times New Roman"/>
                <w:color w:val="auto"/>
                <w:szCs w:val="24"/>
              </w:rPr>
            </w:pPr>
            <w:r>
              <w:rPr>
                <w:rFonts w:hint="default" w:ascii="Times New Roman" w:hAnsi="Times New Roman" w:cs="Times New Roman"/>
                <w:color w:val="auto"/>
                <w:szCs w:val="24"/>
              </w:rPr>
              <w:sym w:font="Wingdings 2" w:char="F052"/>
            </w:r>
            <w:r>
              <w:rPr>
                <w:rFonts w:hint="default" w:ascii="Times New Roman" w:hAnsi="Times New Roman" w:cs="Times New Roman"/>
                <w:color w:val="auto"/>
                <w:szCs w:val="24"/>
              </w:rPr>
              <w:t>否</w:t>
            </w:r>
          </w:p>
          <w:p>
            <w:pPr>
              <w:ind w:left="60" w:leftChars="25" w:right="60" w:rightChars="25"/>
              <w:jc w:val="left"/>
              <w:rPr>
                <w:rFonts w:hint="default" w:ascii="Times New Roman" w:hAnsi="Times New Roman" w:cs="Times New Roman"/>
                <w:color w:val="auto"/>
                <w:szCs w:val="24"/>
              </w:rPr>
            </w:pPr>
            <w:r>
              <w:rPr>
                <w:rFonts w:hint="default" w:ascii="Times New Roman" w:hAnsi="Times New Roman" w:cs="Times New Roman"/>
                <w:color w:val="auto"/>
                <w:szCs w:val="24"/>
              </w:rPr>
              <w:t>☐是</w:t>
            </w:r>
          </w:p>
        </w:tc>
        <w:tc>
          <w:tcPr>
            <w:tcW w:w="1813" w:type="dxa"/>
            <w:vAlign w:val="center"/>
          </w:tcPr>
          <w:p>
            <w:pPr>
              <w:ind w:left="60" w:leftChars="25" w:right="60" w:rightChars="25"/>
              <w:jc w:val="center"/>
              <w:rPr>
                <w:rFonts w:hint="default" w:ascii="Times New Roman" w:hAnsi="Times New Roman" w:cs="Times New Roman"/>
                <w:b/>
                <w:color w:val="auto"/>
                <w:szCs w:val="24"/>
              </w:rPr>
            </w:pPr>
            <w:r>
              <w:rPr>
                <w:rFonts w:hint="default" w:ascii="Times New Roman" w:hAnsi="Times New Roman" w:cs="Times New Roman"/>
                <w:b/>
                <w:color w:val="auto"/>
                <w:szCs w:val="24"/>
              </w:rPr>
              <w:t>新增用地面积（亩）</w:t>
            </w:r>
          </w:p>
        </w:tc>
        <w:tc>
          <w:tcPr>
            <w:tcW w:w="3060" w:type="dxa"/>
            <w:gridSpan w:val="2"/>
            <w:vAlign w:val="center"/>
          </w:tcPr>
          <w:p>
            <w:pPr>
              <w:ind w:left="60" w:leftChars="25" w:right="60" w:rightChars="25"/>
              <w:jc w:val="center"/>
              <w:rPr>
                <w:rFonts w:hint="default" w:ascii="Times New Roman" w:hAnsi="Times New Roman" w:eastAsia="宋体" w:cs="Times New Roman"/>
                <w:color w:val="auto"/>
                <w:szCs w:val="24"/>
                <w:lang w:val="en-US" w:eastAsia="zh-CN"/>
              </w:rPr>
            </w:pPr>
            <w:r>
              <w:rPr>
                <w:rFonts w:hint="default" w:ascii="Times New Roman" w:hAnsi="Times New Roman" w:cs="Times New Roman"/>
                <w:color w:val="auto"/>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567"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专项评价</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设置情况</w:t>
            </w:r>
          </w:p>
        </w:tc>
        <w:tc>
          <w:tcPr>
            <w:tcW w:w="7647" w:type="dxa"/>
            <w:gridSpan w:val="4"/>
            <w:vAlign w:val="center"/>
          </w:tcPr>
          <w:p>
            <w:pPr>
              <w:pStyle w:val="120"/>
              <w:jc w:val="center"/>
              <w:rPr>
                <w:rFonts w:hint="default" w:ascii="Times New Roman" w:hAnsi="Times New Roman" w:cs="Times New Roman"/>
                <w:b/>
                <w:bCs/>
                <w:color w:val="auto"/>
              </w:rPr>
            </w:pPr>
            <w:r>
              <w:rPr>
                <w:rFonts w:hint="default" w:ascii="Times New Roman" w:hAnsi="Times New Roman" w:cs="Times New Roman"/>
                <w:b/>
                <w:bCs/>
                <w:color w:val="auto"/>
              </w:rPr>
              <w:t>表1-1  专项评价设置一览表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1"/>
              <w:gridCol w:w="3119"/>
              <w:gridCol w:w="2410"/>
              <w:gridCol w:w="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01" w:type="dxa"/>
                  <w:vAlign w:val="center"/>
                </w:tcPr>
                <w:p>
                  <w:pPr>
                    <w:pStyle w:val="12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专项评价类型</w:t>
                  </w:r>
                </w:p>
              </w:tc>
              <w:tc>
                <w:tcPr>
                  <w:tcW w:w="3119" w:type="dxa"/>
                  <w:vAlign w:val="center"/>
                </w:tcPr>
                <w:p>
                  <w:pPr>
                    <w:pStyle w:val="12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设置原则</w:t>
                  </w:r>
                </w:p>
              </w:tc>
              <w:tc>
                <w:tcPr>
                  <w:tcW w:w="2410" w:type="dxa"/>
                  <w:vAlign w:val="center"/>
                </w:tcPr>
                <w:p>
                  <w:pPr>
                    <w:pStyle w:val="12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本项目情况</w:t>
                  </w:r>
                </w:p>
              </w:tc>
              <w:tc>
                <w:tcPr>
                  <w:tcW w:w="841" w:type="dxa"/>
                  <w:vAlign w:val="center"/>
                </w:tcPr>
                <w:p>
                  <w:pPr>
                    <w:pStyle w:val="12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是否设置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01" w:type="dxa"/>
                  <w:vAlign w:val="center"/>
                </w:tcPr>
                <w:p>
                  <w:pPr>
                    <w:pStyle w:val="12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大气</w:t>
                  </w:r>
                </w:p>
              </w:tc>
              <w:tc>
                <w:tcPr>
                  <w:tcW w:w="3119" w:type="dxa"/>
                  <w:vAlign w:val="center"/>
                </w:tcPr>
                <w:p>
                  <w:pPr>
                    <w:pStyle w:val="120"/>
                    <w:rPr>
                      <w:rFonts w:hint="default" w:ascii="Times New Roman" w:hAnsi="Times New Roman" w:cs="Times New Roman"/>
                      <w:bCs/>
                      <w:color w:val="auto"/>
                      <w:sz w:val="21"/>
                      <w:szCs w:val="21"/>
                    </w:rPr>
                  </w:pPr>
                  <w:r>
                    <w:rPr>
                      <w:rFonts w:hint="default" w:ascii="Times New Roman" w:hAnsi="Times New Roman" w:cs="Times New Roman"/>
                      <w:color w:val="auto"/>
                      <w:sz w:val="21"/>
                      <w:szCs w:val="21"/>
                    </w:rPr>
                    <w:t>排放废气含有毒有害污染物、二噁英、苯并[a]芘、氰化物、氯气且厂界500米范围内有环境空气保护目标的建设项目</w:t>
                  </w:r>
                </w:p>
              </w:tc>
              <w:tc>
                <w:tcPr>
                  <w:tcW w:w="2410" w:type="dxa"/>
                  <w:vAlign w:val="center"/>
                </w:tcPr>
                <w:p>
                  <w:pPr>
                    <w:pStyle w:val="120"/>
                    <w:rPr>
                      <w:rFonts w:hint="default" w:ascii="Times New Roman" w:hAnsi="Times New Roman" w:cs="Times New Roman"/>
                      <w:bCs/>
                      <w:color w:val="auto"/>
                      <w:sz w:val="21"/>
                      <w:szCs w:val="21"/>
                    </w:rPr>
                  </w:pPr>
                  <w:r>
                    <w:rPr>
                      <w:rFonts w:ascii="Times New Roman" w:cs="Times New Roman"/>
                      <w:bCs/>
                      <w:color w:val="auto"/>
                      <w:sz w:val="21"/>
                      <w:szCs w:val="21"/>
                    </w:rPr>
                    <w:t>本项目排放的废气不涉及</w:t>
                  </w:r>
                  <w:r>
                    <w:rPr>
                      <w:rFonts w:ascii="Times New Roman" w:cs="Times New Roman"/>
                      <w:color w:val="auto"/>
                      <w:sz w:val="21"/>
                      <w:szCs w:val="21"/>
                    </w:rPr>
                    <w:t>有毒有害污染物</w:t>
                  </w:r>
                </w:p>
              </w:tc>
              <w:tc>
                <w:tcPr>
                  <w:tcW w:w="841" w:type="dxa"/>
                  <w:shd w:val="clear" w:color="auto" w:fill="FFFFFF" w:themeFill="background1"/>
                  <w:vAlign w:val="center"/>
                </w:tcPr>
                <w:p>
                  <w:pPr>
                    <w:pStyle w:val="120"/>
                    <w:jc w:val="center"/>
                    <w:rPr>
                      <w:rFonts w:hint="default" w:ascii="Times New Roman" w:hAnsi="Times New Roman" w:eastAsia="宋体" w:cs="Times New Roman"/>
                      <w:bCs/>
                      <w:color w:val="auto"/>
                      <w:sz w:val="21"/>
                      <w:szCs w:val="21"/>
                      <w:lang w:eastAsia="zh-CN"/>
                    </w:rPr>
                  </w:pPr>
                  <w:r>
                    <w:rPr>
                      <w:rFonts w:ascii="Times New Roman" w:cs="Times New Roman"/>
                      <w:bCs/>
                      <w:color w:val="auto"/>
                      <w:sz w:val="21"/>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01" w:type="dxa"/>
                  <w:vAlign w:val="center"/>
                </w:tcPr>
                <w:p>
                  <w:pPr>
                    <w:pStyle w:val="12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地表水</w:t>
                  </w:r>
                </w:p>
              </w:tc>
              <w:tc>
                <w:tcPr>
                  <w:tcW w:w="3119"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新增工业废水直排建设项目（槽罐车外送污水处理厂的除外）新增废水直排的污水集中处理厂</w:t>
                  </w:r>
                </w:p>
              </w:tc>
              <w:tc>
                <w:tcPr>
                  <w:tcW w:w="2410"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本项目废水纳管排放</w:t>
                  </w:r>
                </w:p>
              </w:tc>
              <w:tc>
                <w:tcPr>
                  <w:tcW w:w="841" w:type="dxa"/>
                  <w:shd w:val="clear" w:color="auto" w:fill="FFFFFF" w:themeFill="background1"/>
                  <w:vAlign w:val="center"/>
                </w:tcPr>
                <w:p>
                  <w:pPr>
                    <w:pStyle w:val="12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01" w:type="dxa"/>
                  <w:vAlign w:val="center"/>
                </w:tcPr>
                <w:p>
                  <w:pPr>
                    <w:pStyle w:val="12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环境风险</w:t>
                  </w:r>
                </w:p>
              </w:tc>
              <w:tc>
                <w:tcPr>
                  <w:tcW w:w="3119"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有毒有害和易燃易爆危险物质存储量超过临界量的建设项目</w:t>
                  </w:r>
                </w:p>
              </w:tc>
              <w:tc>
                <w:tcPr>
                  <w:tcW w:w="2410"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本项目风险物质存储量不超过临界值</w:t>
                  </w:r>
                </w:p>
              </w:tc>
              <w:tc>
                <w:tcPr>
                  <w:tcW w:w="841" w:type="dxa"/>
                  <w:vAlign w:val="center"/>
                </w:tcPr>
                <w:p>
                  <w:pPr>
                    <w:pStyle w:val="12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01" w:type="dxa"/>
                  <w:vAlign w:val="center"/>
                </w:tcPr>
                <w:p>
                  <w:pPr>
                    <w:pStyle w:val="12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生态</w:t>
                  </w:r>
                </w:p>
              </w:tc>
              <w:tc>
                <w:tcPr>
                  <w:tcW w:w="3119"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取水口下游500米范围内有重要水生生物的自然产卵场、索饵场、越冬场和洄游通道的新增河道取水的污染类建设项目</w:t>
                  </w:r>
                </w:p>
              </w:tc>
              <w:tc>
                <w:tcPr>
                  <w:tcW w:w="2410"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本项目不涉及</w:t>
                  </w:r>
                </w:p>
              </w:tc>
              <w:tc>
                <w:tcPr>
                  <w:tcW w:w="841" w:type="dxa"/>
                  <w:vAlign w:val="center"/>
                </w:tcPr>
                <w:p>
                  <w:pPr>
                    <w:pStyle w:val="12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001" w:type="dxa"/>
                  <w:vAlign w:val="center"/>
                </w:tcPr>
                <w:p>
                  <w:pPr>
                    <w:pStyle w:val="12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海洋</w:t>
                  </w:r>
                </w:p>
              </w:tc>
              <w:tc>
                <w:tcPr>
                  <w:tcW w:w="3119"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直接向海排放污染物的海洋工程建设项目</w:t>
                  </w:r>
                </w:p>
              </w:tc>
              <w:tc>
                <w:tcPr>
                  <w:tcW w:w="2410" w:type="dxa"/>
                  <w:vAlign w:val="center"/>
                </w:tcPr>
                <w:p>
                  <w:pPr>
                    <w:pStyle w:val="12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本项目不涉及</w:t>
                  </w:r>
                </w:p>
              </w:tc>
              <w:tc>
                <w:tcPr>
                  <w:tcW w:w="841" w:type="dxa"/>
                  <w:vAlign w:val="center"/>
                </w:tcPr>
                <w:p>
                  <w:pPr>
                    <w:pStyle w:val="12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7371" w:type="dxa"/>
                  <w:gridSpan w:val="4"/>
                  <w:vAlign w:val="center"/>
                </w:tcPr>
                <w:p>
                  <w:pPr>
                    <w:pStyle w:val="120"/>
                    <w:jc w:val="left"/>
                    <w:rPr>
                      <w:rFonts w:hint="default" w:ascii="Times New Roman" w:hAnsi="Times New Roman" w:cs="Times New Roman"/>
                      <w:color w:val="auto"/>
                      <w:sz w:val="21"/>
                      <w:szCs w:val="21"/>
                    </w:rPr>
                  </w:pPr>
                  <w:r>
                    <w:rPr>
                      <w:rFonts w:hint="eastAsia" w:ascii="Times New Roman" w:cs="Times New Roman"/>
                      <w:bCs/>
                      <w:color w:val="auto"/>
                      <w:sz w:val="21"/>
                      <w:szCs w:val="21"/>
                      <w:lang w:val="en-US" w:eastAsia="zh-CN"/>
                    </w:rPr>
                    <w:t>注：</w:t>
                  </w:r>
                  <w:r>
                    <w:rPr>
                      <w:rFonts w:hint="default" w:ascii="Times New Roman" w:cs="Times New Roman"/>
                      <w:bCs/>
                      <w:color w:val="auto"/>
                      <w:sz w:val="21"/>
                      <w:szCs w:val="21"/>
                      <w:lang w:val="en-US" w:eastAsia="zh-CN"/>
                    </w:rPr>
                    <w:t>1.</w:t>
                  </w:r>
                  <w:r>
                    <w:rPr>
                      <w:rFonts w:hint="eastAsia" w:ascii="Times New Roman" w:cs="Times New Roman"/>
                      <w:bCs/>
                      <w:color w:val="auto"/>
                      <w:sz w:val="21"/>
                      <w:szCs w:val="21"/>
                      <w:lang w:val="en-US" w:eastAsia="zh-CN"/>
                    </w:rPr>
                    <w:t>废气中有毒有害污染物指纳入《有毒有害大气污染物名录》的污染物（不包括无排放标准的污染物）。</w:t>
                  </w:r>
                  <w:r>
                    <w:rPr>
                      <w:rFonts w:hint="default" w:ascii="Times New Roman" w:cs="Times New Roman"/>
                      <w:bCs/>
                      <w:color w:val="auto"/>
                      <w:sz w:val="21"/>
                      <w:szCs w:val="21"/>
                      <w:lang w:val="en-US" w:eastAsia="zh-CN"/>
                    </w:rPr>
                    <w:t>2.</w:t>
                  </w:r>
                  <w:r>
                    <w:rPr>
                      <w:rFonts w:hint="eastAsia" w:ascii="Times New Roman" w:cs="Times New Roman"/>
                      <w:bCs/>
                      <w:color w:val="auto"/>
                      <w:sz w:val="21"/>
                      <w:szCs w:val="21"/>
                      <w:lang w:val="en-US" w:eastAsia="zh-CN"/>
                    </w:rPr>
                    <w:t>环境空气保护目标指自然保护区、风景名胜区、居住区、文化区和农村地区中人群较集中的区域。</w:t>
                  </w:r>
                  <w:r>
                    <w:rPr>
                      <w:rFonts w:hint="default" w:ascii="Times New Roman" w:cs="Times New Roman"/>
                      <w:bCs/>
                      <w:color w:val="auto"/>
                      <w:sz w:val="21"/>
                      <w:szCs w:val="21"/>
                      <w:lang w:val="en-US" w:eastAsia="zh-CN"/>
                    </w:rPr>
                    <w:t>3.</w:t>
                  </w:r>
                  <w:r>
                    <w:rPr>
                      <w:rFonts w:hint="eastAsia" w:ascii="Times New Roman" w:cs="Times New Roman"/>
                      <w:bCs/>
                      <w:color w:val="auto"/>
                      <w:sz w:val="21"/>
                      <w:szCs w:val="21"/>
                      <w:lang w:val="en-US" w:eastAsia="zh-CN"/>
                    </w:rPr>
                    <w:t>临界量及其计算方法可参考《建设项目环境风险评价技术导则》（</w:t>
                  </w:r>
                  <w:r>
                    <w:rPr>
                      <w:rFonts w:hint="default" w:ascii="Times New Roman" w:cs="Times New Roman"/>
                      <w:bCs/>
                      <w:color w:val="auto"/>
                      <w:sz w:val="21"/>
                      <w:szCs w:val="21"/>
                      <w:lang w:val="en-US" w:eastAsia="zh-CN"/>
                    </w:rPr>
                    <w:t>HJ169</w:t>
                  </w:r>
                  <w:r>
                    <w:rPr>
                      <w:rFonts w:hint="eastAsia" w:ascii="Times New Roman" w:cs="Times New Roman"/>
                      <w:bCs/>
                      <w:color w:val="auto"/>
                      <w:sz w:val="21"/>
                      <w:szCs w:val="21"/>
                      <w:lang w:val="en-US" w:eastAsia="zh-CN"/>
                    </w:rPr>
                    <w:t>）附录</w:t>
                  </w:r>
                  <w:r>
                    <w:rPr>
                      <w:rFonts w:hint="default" w:ascii="Times New Roman" w:cs="Times New Roman"/>
                      <w:bCs/>
                      <w:color w:val="auto"/>
                      <w:sz w:val="21"/>
                      <w:szCs w:val="21"/>
                      <w:lang w:val="en-US" w:eastAsia="zh-CN"/>
                    </w:rPr>
                    <w:t>B</w:t>
                  </w:r>
                  <w:r>
                    <w:rPr>
                      <w:rFonts w:hint="eastAsia" w:ascii="Times New Roman" w:cs="Times New Roman"/>
                      <w:bCs/>
                      <w:color w:val="auto"/>
                      <w:sz w:val="21"/>
                      <w:szCs w:val="21"/>
                      <w:lang w:val="en-US" w:eastAsia="zh-CN"/>
                    </w:rPr>
                    <w:t>、附录</w:t>
                  </w:r>
                  <w:r>
                    <w:rPr>
                      <w:rFonts w:hint="default" w:ascii="Times New Roman" w:cs="Times New Roman"/>
                      <w:bCs/>
                      <w:color w:val="auto"/>
                      <w:sz w:val="21"/>
                      <w:szCs w:val="21"/>
                      <w:lang w:val="en-US" w:eastAsia="zh-CN"/>
                    </w:rPr>
                    <w:t>C</w:t>
                  </w:r>
                  <w:r>
                    <w:rPr>
                      <w:rFonts w:hint="eastAsia" w:ascii="Times New Roman" w:cs="Times New Roman"/>
                      <w:bCs/>
                      <w:color w:val="auto"/>
                      <w:sz w:val="21"/>
                      <w:szCs w:val="21"/>
                      <w:lang w:val="en-US" w:eastAsia="zh-CN"/>
                    </w:rPr>
                    <w:t>。</w:t>
                  </w:r>
                </w:p>
              </w:tc>
            </w:tr>
          </w:tbl>
          <w:p>
            <w:pPr>
              <w:pStyle w:val="120"/>
              <w:keepNext w:val="0"/>
              <w:keepLines w:val="0"/>
              <w:pageBreakBefore w:val="0"/>
              <w:widowControl w:val="0"/>
              <w:kinsoku/>
              <w:wordWrap/>
              <w:overflowPunct/>
              <w:topLinePunct w:val="0"/>
              <w:autoSpaceDE w:val="0"/>
              <w:autoSpaceDN w:val="0"/>
              <w:bidi w:val="0"/>
              <w:adjustRightInd w:val="0"/>
              <w:snapToGrid/>
              <w:spacing w:line="120" w:lineRule="exact"/>
              <w:textAlignment w:val="auto"/>
              <w:rPr>
                <w:rFonts w:hint="default" w:ascii="Times New Roman" w:hAnsi="Times New Roman" w:cs="Times New Roman"/>
                <w:bCs/>
                <w:color w:val="auto"/>
              </w:rPr>
            </w:pPr>
          </w:p>
          <w:p>
            <w:pPr>
              <w:pStyle w:val="120"/>
              <w:spacing w:line="360" w:lineRule="auto"/>
              <w:ind w:firstLine="480" w:firstLineChars="200"/>
              <w:rPr>
                <w:rFonts w:hint="default" w:ascii="Times New Roman" w:hAnsi="Times New Roman" w:cs="Times New Roman"/>
                <w:bCs/>
                <w:color w:val="auto"/>
              </w:rPr>
            </w:pPr>
            <w:r>
              <w:rPr>
                <w:rFonts w:hint="default" w:ascii="Times New Roman" w:hAnsi="Times New Roman" w:cs="Times New Roman"/>
                <w:bCs/>
                <w:color w:val="auto"/>
              </w:rPr>
              <w:t>因此，本项目需设置</w:t>
            </w:r>
            <w:r>
              <w:rPr>
                <w:rFonts w:hint="default" w:ascii="Times New Roman" w:hAnsi="Times New Roman" w:cs="Times New Roman"/>
                <w:bCs/>
                <w:color w:val="auto"/>
                <w:lang w:val="en-US" w:eastAsia="zh-CN"/>
              </w:rPr>
              <w:t>大气</w:t>
            </w:r>
            <w:r>
              <w:rPr>
                <w:rFonts w:hint="default" w:ascii="Times New Roman" w:hAnsi="Times New Roman" w:cs="Times New Roman"/>
                <w:bCs/>
                <w:color w:val="auto"/>
              </w:rPr>
              <w:t>专项评价。</w:t>
            </w:r>
          </w:p>
          <w:p>
            <w:pPr>
              <w:pStyle w:val="120"/>
              <w:keepNext w:val="0"/>
              <w:keepLines w:val="0"/>
              <w:pageBreakBefore w:val="0"/>
              <w:widowControl w:val="0"/>
              <w:kinsoku/>
              <w:wordWrap/>
              <w:overflowPunct/>
              <w:topLinePunct w:val="0"/>
              <w:autoSpaceDE w:val="0"/>
              <w:autoSpaceDN w:val="0"/>
              <w:bidi w:val="0"/>
              <w:adjustRightInd w:val="0"/>
              <w:snapToGrid/>
              <w:spacing w:line="120" w:lineRule="exact"/>
              <w:textAlignment w:val="auto"/>
              <w:rPr>
                <w:rFonts w:hint="default" w:ascii="Times New Roman" w:hAnsi="Times New Roman" w:cs="Times New Roman"/>
                <w:bCs/>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738"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规划情况</w:t>
            </w:r>
          </w:p>
        </w:tc>
        <w:tc>
          <w:tcPr>
            <w:tcW w:w="7647" w:type="dxa"/>
            <w:gridSpan w:val="4"/>
            <w:vAlign w:val="center"/>
          </w:tcPr>
          <w:p>
            <w:pPr>
              <w:pStyle w:val="120"/>
              <w:keepNext w:val="0"/>
              <w:keepLines w:val="0"/>
              <w:pageBreakBefore w:val="0"/>
              <w:widowControl w:val="0"/>
              <w:kinsoku/>
              <w:wordWrap/>
              <w:overflowPunct/>
              <w:topLinePunct w:val="0"/>
              <w:autoSpaceDE w:val="0"/>
              <w:autoSpaceDN w:val="0"/>
              <w:bidi w:val="0"/>
              <w:adjustRightInd w:val="0"/>
              <w:snapToGrid/>
              <w:spacing w:line="384" w:lineRule="auto"/>
              <w:ind w:right="60" w:rightChars="25"/>
              <w:jc w:val="center"/>
              <w:textAlignment w:val="auto"/>
              <w:rPr>
                <w:rFonts w:hint="default" w:ascii="Times New Roman" w:cs="Times New Roman"/>
                <w:color w:val="auto"/>
                <w:lang w:val="en-US" w:eastAsia="zh-CN"/>
              </w:rPr>
            </w:pPr>
            <w:r>
              <w:rPr>
                <w:rFonts w:hint="eastAsia" w:ascii="Times New Roman" w:cs="Times New Roman"/>
                <w:color w:val="auto"/>
                <w:lang w:val="en-US" w:eastAsia="zh-CN"/>
              </w:rPr>
              <w:t>无</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right="60" w:rightChars="25"/>
              <w:jc w:val="center"/>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本项目不在</w:t>
            </w:r>
            <w:r>
              <w:rPr>
                <w:rFonts w:hint="default" w:ascii="Times New Roman" w:hAnsi="Times New Roman" w:eastAsia="宋体" w:cs="Times New Roman"/>
                <w:color w:val="auto"/>
                <w:lang w:val="en-US" w:eastAsia="zh-CN"/>
              </w:rPr>
              <w:t>浙江德清经济开发区核心区（含新材料产业园）</w:t>
            </w:r>
            <w:r>
              <w:rPr>
                <w:rFonts w:hint="eastAsia" w:ascii="Times New Roman" w:cs="Times New Roman"/>
                <w:color w:val="auto"/>
                <w:lang w:val="en-US" w:eastAsia="zh-CN"/>
              </w:rPr>
              <w:t>范围内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875" w:hRule="atLeast"/>
          <w:jc w:val="center"/>
        </w:trPr>
        <w:tc>
          <w:tcPr>
            <w:tcW w:w="1140" w:type="dxa"/>
            <w:gridSpan w:val="2"/>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规划环境</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影响评价</w:t>
            </w:r>
          </w:p>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情况</w:t>
            </w:r>
          </w:p>
        </w:tc>
        <w:tc>
          <w:tcPr>
            <w:tcW w:w="7647" w:type="dxa"/>
            <w:gridSpan w:val="4"/>
            <w:vAlign w:val="center"/>
          </w:tcPr>
          <w:p>
            <w:pPr>
              <w:pStyle w:val="120"/>
              <w:keepNext w:val="0"/>
              <w:keepLines w:val="0"/>
              <w:pageBreakBefore w:val="0"/>
              <w:widowControl w:val="0"/>
              <w:kinsoku/>
              <w:wordWrap/>
              <w:overflowPunct/>
              <w:topLinePunct w:val="0"/>
              <w:autoSpaceDE w:val="0"/>
              <w:autoSpaceDN w:val="0"/>
              <w:bidi w:val="0"/>
              <w:adjustRightInd w:val="0"/>
              <w:snapToGrid/>
              <w:spacing w:line="384" w:lineRule="auto"/>
              <w:ind w:right="60" w:rightChars="25"/>
              <w:jc w:val="center"/>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wBefore w:w="1" w:type="dxa"/>
          <w:trHeight w:val="1060" w:hRule="atLeast"/>
          <w:jc w:val="center"/>
        </w:trPr>
        <w:tc>
          <w:tcPr>
            <w:tcW w:w="1140" w:type="dxa"/>
            <w:gridSpan w:val="2"/>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规划及规划环境影响评价符合性分析</w:t>
            </w:r>
          </w:p>
        </w:tc>
        <w:tc>
          <w:tcPr>
            <w:tcW w:w="7647" w:type="dxa"/>
            <w:gridSpan w:val="4"/>
            <w:vAlign w:val="center"/>
          </w:tcPr>
          <w:p>
            <w:pPr>
              <w:pStyle w:val="40"/>
              <w:spacing w:line="240" w:lineRule="auto"/>
              <w:jc w:val="center"/>
              <w:rPr>
                <w:rFonts w:hint="eastAsia" w:ascii="Times New Roman" w:hAnsi="Times New Roman" w:eastAsia="宋体" w:cs="Times New Roman"/>
                <w:b/>
                <w:color w:val="FF0000"/>
                <w:lang w:val="en-US" w:eastAsia="zh-CN"/>
              </w:rPr>
            </w:pPr>
            <w:r>
              <w:rPr>
                <w:rFonts w:hint="eastAsia" w:ascii="Times New Roman" w:hAnsi="Times New Roman" w:eastAsia="宋体" w:cs="Times New Roman"/>
                <w:color w:val="auto"/>
                <w:sz w:val="24"/>
                <w:szCs w:val="24"/>
                <w:lang w:val="en-US" w:eastAsia="zh-CN" w:bidi="ar-S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 w:type="dxa"/>
          <w:trHeight w:val="3180" w:hRule="atLeast"/>
          <w:jc w:val="center"/>
        </w:trPr>
        <w:tc>
          <w:tcPr>
            <w:tcW w:w="432" w:type="dxa"/>
            <w:gridSpan w:val="2"/>
            <w:vAlign w:val="center"/>
          </w:tcPr>
          <w:p>
            <w:pPr>
              <w:jc w:val="center"/>
              <w:rPr>
                <w:rFonts w:hint="default" w:ascii="Times New Roman" w:hAnsi="Times New Roman" w:cs="Times New Roman"/>
                <w:b/>
                <w:color w:val="FF0000"/>
                <w:szCs w:val="24"/>
              </w:rPr>
            </w:pPr>
            <w:bookmarkStart w:id="11" w:name="_Toc65834462"/>
            <w:bookmarkStart w:id="12" w:name="_Toc65835258"/>
            <w:r>
              <w:rPr>
                <w:rFonts w:hint="default" w:ascii="Times New Roman" w:hAnsi="Times New Roman" w:cs="Times New Roman"/>
                <w:b/>
                <w:color w:val="auto"/>
                <w:szCs w:val="24"/>
              </w:rPr>
              <w:t>其他符合性分析</w:t>
            </w:r>
          </w:p>
        </w:tc>
        <w:tc>
          <w:tcPr>
            <w:tcW w:w="8355" w:type="dxa"/>
            <w:gridSpan w:val="4"/>
            <w:vAlign w:val="center"/>
          </w:tcPr>
          <w:p>
            <w:pPr>
              <w:spacing w:line="360" w:lineRule="auto"/>
              <w:ind w:right="60" w:rightChars="25" w:firstLine="241" w:firstLineChars="100"/>
              <w:rPr>
                <w:rFonts w:hint="default" w:ascii="Times New Roman" w:hAnsi="Times New Roman" w:cs="Times New Roman"/>
                <w:b/>
                <w:color w:val="auto"/>
              </w:rPr>
            </w:pPr>
            <w:r>
              <w:rPr>
                <w:rFonts w:hint="default" w:ascii="Times New Roman" w:hAnsi="Times New Roman" w:cs="Times New Roman"/>
                <w:b/>
                <w:color w:val="auto"/>
              </w:rPr>
              <w:t>1、《建设项目环境保护管理条例》“四性五不批”符合性分析</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根据《建设项目环境保护管理条例》（国务院令第682号，2017年7月16日修正版），本项目“四性五不准”符合性分析如表1-</w:t>
            </w:r>
            <w:r>
              <w:rPr>
                <w:rFonts w:hint="eastAsia" w:ascii="Times New Roman" w:cs="Times New Roman"/>
                <w:color w:val="auto"/>
                <w:lang w:val="en-US" w:eastAsia="zh-CN"/>
              </w:rPr>
              <w:t>2</w:t>
            </w:r>
            <w:r>
              <w:rPr>
                <w:rFonts w:hint="default" w:ascii="Times New Roman" w:hAnsi="Times New Roman" w:cs="Times New Roman"/>
                <w:color w:val="auto"/>
              </w:rPr>
              <w:t>。</w:t>
            </w:r>
          </w:p>
          <w:p>
            <w:pPr>
              <w:pStyle w:val="120"/>
              <w:spacing w:line="360" w:lineRule="auto"/>
              <w:jc w:val="center"/>
              <w:rPr>
                <w:rFonts w:hint="default" w:ascii="Times New Roman" w:hAnsi="Times New Roman" w:cs="Times New Roman"/>
                <w:b/>
                <w:bCs/>
                <w:color w:val="auto"/>
              </w:rPr>
            </w:pPr>
            <w:r>
              <w:rPr>
                <w:rFonts w:hint="default" w:ascii="Times New Roman" w:hAnsi="Times New Roman" w:cs="Times New Roman"/>
                <w:b/>
                <w:bCs/>
                <w:color w:val="auto"/>
              </w:rPr>
              <w:t>表1-</w:t>
            </w:r>
            <w:r>
              <w:rPr>
                <w:rFonts w:hint="eastAsia" w:ascii="Times New Roman" w:cs="Times New Roman"/>
                <w:b/>
                <w:bCs/>
                <w:color w:val="auto"/>
                <w:lang w:val="en-US" w:eastAsia="zh-CN"/>
              </w:rPr>
              <w:t>2</w:t>
            </w:r>
            <w:r>
              <w:rPr>
                <w:rFonts w:hint="default" w:ascii="Times New Roman" w:hAnsi="Times New Roman" w:cs="Times New Roman"/>
                <w:b/>
                <w:bCs/>
                <w:color w:val="auto"/>
                <w:lang w:val="en-US" w:eastAsia="zh-CN"/>
              </w:rPr>
              <w:t xml:space="preserve">  </w:t>
            </w:r>
            <w:r>
              <w:rPr>
                <w:rFonts w:hint="default" w:ascii="Times New Roman" w:hAnsi="Times New Roman" w:cs="Times New Roman"/>
                <w:b/>
                <w:bCs/>
                <w:color w:val="auto"/>
              </w:rPr>
              <w:t>“四性五不批”要求符合性分析</w:t>
            </w:r>
          </w:p>
          <w:tbl>
            <w:tblPr>
              <w:tblStyle w:val="29"/>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1"/>
              <w:gridCol w:w="2832"/>
              <w:gridCol w:w="3910"/>
              <w:gridCol w:w="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blHeader/>
                <w:jc w:val="center"/>
              </w:trPr>
              <w:tc>
                <w:tcPr>
                  <w:tcW w:w="2937" w:type="dxa"/>
                  <w:gridSpan w:val="2"/>
                  <w:vAlign w:val="center"/>
                </w:tcPr>
                <w:p>
                  <w:pPr>
                    <w:snapToGrid w:val="0"/>
                    <w:jc w:val="center"/>
                    <w:outlineLvl w:val="3"/>
                    <w:rPr>
                      <w:rFonts w:hint="default" w:ascii="Times New Roman" w:hAnsi="Times New Roman" w:cs="Times New Roman"/>
                      <w:b/>
                      <w:bCs/>
                      <w:color w:val="auto"/>
                      <w:sz w:val="21"/>
                      <w:szCs w:val="21"/>
                      <w:lang w:val="zh-CN"/>
                    </w:rPr>
                  </w:pPr>
                  <w:r>
                    <w:rPr>
                      <w:rFonts w:hint="default" w:ascii="Times New Roman" w:hAnsi="Times New Roman" w:cs="Times New Roman"/>
                      <w:b/>
                      <w:bCs/>
                      <w:color w:val="auto"/>
                      <w:sz w:val="21"/>
                      <w:szCs w:val="21"/>
                      <w:lang w:val="zh-CN"/>
                    </w:rPr>
                    <w:t>建设项目环境保护管理条例</w:t>
                  </w:r>
                </w:p>
              </w:tc>
              <w:tc>
                <w:tcPr>
                  <w:tcW w:w="3586" w:type="dxa"/>
                  <w:vAlign w:val="center"/>
                </w:tcPr>
                <w:p>
                  <w:pPr>
                    <w:snapToGrid w:val="0"/>
                    <w:jc w:val="center"/>
                    <w:outlineLvl w:val="3"/>
                    <w:rPr>
                      <w:rFonts w:hint="default" w:ascii="Times New Roman" w:hAnsi="Times New Roman" w:cs="Times New Roman"/>
                      <w:b/>
                      <w:bCs/>
                      <w:color w:val="auto"/>
                      <w:sz w:val="21"/>
                      <w:szCs w:val="21"/>
                      <w:lang w:val="zh-CN"/>
                    </w:rPr>
                  </w:pPr>
                  <w:r>
                    <w:rPr>
                      <w:rFonts w:hint="default" w:ascii="Times New Roman" w:hAnsi="Times New Roman" w:cs="Times New Roman"/>
                      <w:b/>
                      <w:bCs/>
                      <w:color w:val="auto"/>
                      <w:sz w:val="21"/>
                      <w:szCs w:val="21"/>
                      <w:lang w:val="zh-CN"/>
                    </w:rPr>
                    <w:t>符合性分析</w:t>
                  </w:r>
                </w:p>
              </w:tc>
              <w:tc>
                <w:tcPr>
                  <w:tcW w:w="756" w:type="dxa"/>
                </w:tcPr>
                <w:p>
                  <w:pPr>
                    <w:snapToGrid w:val="0"/>
                    <w:jc w:val="center"/>
                    <w:outlineLvl w:val="3"/>
                    <w:rPr>
                      <w:rFonts w:hint="default" w:ascii="Times New Roman" w:hAnsi="Times New Roman" w:cs="Times New Roman"/>
                      <w:b/>
                      <w:bCs/>
                      <w:color w:val="auto"/>
                      <w:sz w:val="21"/>
                      <w:szCs w:val="21"/>
                      <w:lang w:val="zh-CN"/>
                    </w:rPr>
                  </w:pPr>
                  <w:r>
                    <w:rPr>
                      <w:rFonts w:hint="default" w:ascii="Times New Roman" w:hAnsi="Times New Roman" w:cs="Times New Roman"/>
                      <w:b/>
                      <w:bCs/>
                      <w:color w:val="auto"/>
                      <w:sz w:val="21"/>
                      <w:szCs w:val="21"/>
                      <w:lang w:val="zh-CN"/>
                    </w:rPr>
                    <w:t>是否符合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jc w:val="center"/>
              </w:trPr>
              <w:tc>
                <w:tcPr>
                  <w:tcW w:w="340" w:type="dxa"/>
                  <w:vMerge w:val="restart"/>
                  <w:vAlign w:val="center"/>
                </w:tcPr>
                <w:p>
                  <w:pPr>
                    <w:snapToGrid w:val="0"/>
                    <w:jc w:val="center"/>
                    <w:outlineLvl w:val="3"/>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四性</w:t>
                  </w:r>
                </w:p>
              </w:tc>
              <w:tc>
                <w:tcPr>
                  <w:tcW w:w="2597"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建设项目的环境可行性</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本项目符合产业政策、达标排放、选址规划、生态规划、总量控制原则及环境质量要求。</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340" w:type="dxa"/>
                  <w:vMerge w:val="continue"/>
                  <w:vAlign w:val="center"/>
                </w:tcPr>
                <w:p>
                  <w:pPr>
                    <w:snapToGrid w:val="0"/>
                    <w:jc w:val="center"/>
                    <w:outlineLvl w:val="3"/>
                    <w:rPr>
                      <w:rFonts w:hint="default" w:ascii="Times New Roman" w:hAnsi="Times New Roman" w:cs="Times New Roman"/>
                      <w:color w:val="auto"/>
                      <w:sz w:val="21"/>
                      <w:szCs w:val="21"/>
                    </w:rPr>
                  </w:pPr>
                </w:p>
              </w:tc>
              <w:tc>
                <w:tcPr>
                  <w:tcW w:w="2597"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环境影响分析预测评估的可靠性</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本评价严格遵循相关国家法律、相关地方法规、相关技术规范、相关产业政策，从实际出发，环境环境影响分析预测评估是可靠的。</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1" w:hRule="atLeast"/>
                <w:jc w:val="center"/>
              </w:trPr>
              <w:tc>
                <w:tcPr>
                  <w:tcW w:w="340" w:type="dxa"/>
                  <w:vMerge w:val="continue"/>
                  <w:vAlign w:val="center"/>
                </w:tcPr>
                <w:p>
                  <w:pPr>
                    <w:snapToGrid w:val="0"/>
                    <w:jc w:val="center"/>
                    <w:outlineLvl w:val="3"/>
                    <w:rPr>
                      <w:rFonts w:hint="default" w:ascii="Times New Roman" w:hAnsi="Times New Roman" w:cs="Times New Roman"/>
                      <w:color w:val="FF0000"/>
                      <w:sz w:val="21"/>
                      <w:szCs w:val="21"/>
                    </w:rPr>
                  </w:pPr>
                </w:p>
              </w:tc>
              <w:tc>
                <w:tcPr>
                  <w:tcW w:w="2597"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环境保护措施的有效性</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本项目营运期各类污染物成分均不复杂，属常规污染物，对于这些污染物的治理技术目前已比较成熟，因此从技术上分析，只要切实落实本环评报告提出的各项污染防治措施，各类污染物均可得到有效控制并能做到达标排放或者不对外直接排放，因此其环境保护措施使可靠合理的。</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jc w:val="center"/>
              </w:trPr>
              <w:tc>
                <w:tcPr>
                  <w:tcW w:w="340" w:type="dxa"/>
                  <w:vMerge w:val="continue"/>
                  <w:vAlign w:val="center"/>
                </w:tcPr>
                <w:p>
                  <w:pPr>
                    <w:snapToGrid w:val="0"/>
                    <w:jc w:val="center"/>
                    <w:outlineLvl w:val="3"/>
                    <w:rPr>
                      <w:rFonts w:hint="default" w:ascii="Times New Roman" w:hAnsi="Times New Roman" w:cs="Times New Roman"/>
                      <w:color w:val="FF0000"/>
                      <w:sz w:val="21"/>
                      <w:szCs w:val="21"/>
                    </w:rPr>
                  </w:pPr>
                </w:p>
              </w:tc>
              <w:tc>
                <w:tcPr>
                  <w:tcW w:w="2597"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环境影响评价结论的科学性</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本环评结论客观、过程公开、评价公正，并综合考虑建设项目实施后对各种环境因素可能造成的影响，环评结论是科学的。</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4" w:hRule="atLeast"/>
                <w:jc w:val="center"/>
              </w:trPr>
              <w:tc>
                <w:tcPr>
                  <w:tcW w:w="340" w:type="dxa"/>
                  <w:vMerge w:val="restart"/>
                  <w:vAlign w:val="center"/>
                </w:tcPr>
                <w:p>
                  <w:pPr>
                    <w:snapToGrid w:val="0"/>
                    <w:jc w:val="center"/>
                    <w:outlineLvl w:val="3"/>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五不批</w:t>
                  </w:r>
                </w:p>
              </w:tc>
              <w:tc>
                <w:tcPr>
                  <w:tcW w:w="2597"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建设项目类型及其选址、布局、规模等不符合环境保护法律法规和相关法定规划</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项</w:t>
                  </w:r>
                  <w:r>
                    <w:rPr>
                      <w:rFonts w:hint="default" w:ascii="Times New Roman" w:hAnsi="Times New Roman" w:cs="Times New Roman"/>
                      <w:color w:val="auto"/>
                      <w:sz w:val="21"/>
                      <w:szCs w:val="21"/>
                      <w:lang w:val="zh-CN"/>
                    </w:rPr>
                    <w:t>目</w:t>
                  </w:r>
                  <w:r>
                    <w:rPr>
                      <w:rFonts w:hint="default" w:ascii="Times New Roman" w:hAnsi="Times New Roman" w:eastAsia="宋体" w:cs="Times New Roman"/>
                      <w:color w:val="auto"/>
                      <w:sz w:val="21"/>
                      <w:szCs w:val="21"/>
                      <w:lang w:val="zh-CN"/>
                    </w:rPr>
                    <w:t>位于</w:t>
                  </w:r>
                  <w:r>
                    <w:rPr>
                      <w:rFonts w:hint="eastAsia" w:cs="Times New Roman"/>
                      <w:color w:val="auto"/>
                      <w:sz w:val="21"/>
                      <w:szCs w:val="21"/>
                      <w:lang w:val="zh-CN" w:eastAsia="zh-CN"/>
                    </w:rPr>
                    <w:t>德清县钟管镇横塘桥路2号</w:t>
                  </w:r>
                  <w:r>
                    <w:rPr>
                      <w:rFonts w:hint="default" w:ascii="Times New Roman" w:hAnsi="Times New Roman" w:eastAsia="宋体" w:cs="Times New Roman"/>
                      <w:color w:val="auto"/>
                      <w:sz w:val="21"/>
                      <w:szCs w:val="21"/>
                      <w:lang w:val="zh-CN"/>
                    </w:rPr>
                    <w:t>，不在环</w:t>
                  </w:r>
                  <w:r>
                    <w:rPr>
                      <w:rFonts w:hint="default" w:ascii="Times New Roman" w:hAnsi="Times New Roman" w:cs="Times New Roman"/>
                      <w:color w:val="auto"/>
                      <w:sz w:val="21"/>
                      <w:szCs w:val="21"/>
                      <w:lang w:val="zh-CN"/>
                    </w:rPr>
                    <w:t>境准入负面</w:t>
                  </w:r>
                  <w:r>
                    <w:rPr>
                      <w:rFonts w:hint="default" w:ascii="Times New Roman" w:hAnsi="Times New Roman" w:cs="Times New Roman"/>
                      <w:color w:val="auto"/>
                      <w:sz w:val="21"/>
                      <w:szCs w:val="21"/>
                    </w:rPr>
                    <w:t>清单中。项目符合总量控制制度要求，</w:t>
                  </w:r>
                  <w:r>
                    <w:rPr>
                      <w:rFonts w:hint="default" w:ascii="Times New Roman" w:hAnsi="Times New Roman" w:cs="Times New Roman"/>
                      <w:color w:val="auto"/>
                      <w:sz w:val="21"/>
                      <w:szCs w:val="21"/>
                      <w:lang w:val="zh-CN"/>
                    </w:rPr>
                    <w:t>满足环境保护法律法规和相关法定规划。</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0" w:type="dxa"/>
                  <w:vMerge w:val="continue"/>
                  <w:vAlign w:val="center"/>
                </w:tcPr>
                <w:p>
                  <w:pPr>
                    <w:snapToGrid w:val="0"/>
                    <w:jc w:val="center"/>
                    <w:outlineLvl w:val="3"/>
                    <w:rPr>
                      <w:rFonts w:hint="default" w:ascii="Times New Roman" w:hAnsi="Times New Roman" w:cs="Times New Roman"/>
                      <w:color w:val="auto"/>
                      <w:sz w:val="21"/>
                      <w:szCs w:val="21"/>
                    </w:rPr>
                  </w:pPr>
                </w:p>
              </w:tc>
              <w:tc>
                <w:tcPr>
                  <w:tcW w:w="2597"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所在区域环境质量未达到国家或者地方环境质量标准，且建设项目拟采取的措施不能满足区域环境质量改善目标管理要求</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建设项目拟采取的措施能满足区域环境质量改善目标管理要求。</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5" w:hRule="atLeast"/>
                <w:jc w:val="center"/>
              </w:trPr>
              <w:tc>
                <w:tcPr>
                  <w:tcW w:w="340" w:type="dxa"/>
                  <w:vMerge w:val="continue"/>
                  <w:vAlign w:val="center"/>
                </w:tcPr>
                <w:p>
                  <w:pPr>
                    <w:snapToGrid w:val="0"/>
                    <w:jc w:val="center"/>
                    <w:outlineLvl w:val="3"/>
                    <w:rPr>
                      <w:rFonts w:hint="default" w:ascii="Times New Roman" w:hAnsi="Times New Roman" w:cs="Times New Roman"/>
                      <w:color w:val="auto"/>
                      <w:sz w:val="21"/>
                      <w:szCs w:val="21"/>
                    </w:rPr>
                  </w:pPr>
                </w:p>
              </w:tc>
              <w:tc>
                <w:tcPr>
                  <w:tcW w:w="2597"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建设项目采取的污染防治措施无法确保污染物排放达到国家和地方排放标准，或者未采取必要措施预防和控制生态破坏</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项目采取的污染防治措施可确保污染物排放达到国家和地方排放标准。</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1" w:hRule="atLeast"/>
                <w:jc w:val="center"/>
              </w:trPr>
              <w:tc>
                <w:tcPr>
                  <w:tcW w:w="340" w:type="dxa"/>
                  <w:vMerge w:val="continue"/>
                  <w:vAlign w:val="center"/>
                </w:tcPr>
                <w:p>
                  <w:pPr>
                    <w:snapToGrid w:val="0"/>
                    <w:jc w:val="center"/>
                    <w:outlineLvl w:val="3"/>
                    <w:rPr>
                      <w:rFonts w:hint="default" w:ascii="Times New Roman" w:hAnsi="Times New Roman" w:cs="Times New Roman"/>
                      <w:color w:val="FF0000"/>
                      <w:sz w:val="21"/>
                      <w:szCs w:val="21"/>
                    </w:rPr>
                  </w:pPr>
                </w:p>
              </w:tc>
              <w:tc>
                <w:tcPr>
                  <w:tcW w:w="2597"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改建、扩建和技术改造项目，未针对项目原有环境污染和生态破坏提出有效防治措施</w:t>
                  </w:r>
                </w:p>
              </w:tc>
              <w:tc>
                <w:tcPr>
                  <w:tcW w:w="3586" w:type="dxa"/>
                  <w:vAlign w:val="center"/>
                </w:tcPr>
                <w:p>
                  <w:pPr>
                    <w:snapToGrid w:val="0"/>
                    <w:jc w:val="left"/>
                    <w:outlineLvl w:val="3"/>
                    <w:rPr>
                      <w:rFonts w:hint="default" w:ascii="Times New Roman" w:hAnsi="Times New Roman" w:eastAsia="宋体" w:cs="Times New Roman"/>
                      <w:color w:val="auto"/>
                      <w:sz w:val="21"/>
                      <w:szCs w:val="21"/>
                      <w:lang w:val="en-US" w:eastAsia="zh-CN"/>
                    </w:rPr>
                  </w:pPr>
                  <w:r>
                    <w:rPr>
                      <w:color w:val="auto"/>
                      <w:sz w:val="21"/>
                      <w:szCs w:val="21"/>
                      <w:lang w:val="zh-CN"/>
                    </w:rPr>
                    <w:t>对项目原有环境污染和生态破坏提出有效防治措施</w:t>
                  </w:r>
                  <w:r>
                    <w:rPr>
                      <w:color w:val="auto"/>
                      <w:sz w:val="21"/>
                      <w:szCs w:val="21"/>
                    </w:rPr>
                    <w:t>。</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3" w:hRule="atLeast"/>
                <w:jc w:val="center"/>
              </w:trPr>
              <w:tc>
                <w:tcPr>
                  <w:tcW w:w="340" w:type="dxa"/>
                  <w:vMerge w:val="continue"/>
                  <w:vAlign w:val="center"/>
                </w:tcPr>
                <w:p>
                  <w:pPr>
                    <w:snapToGrid w:val="0"/>
                    <w:jc w:val="center"/>
                    <w:outlineLvl w:val="3"/>
                    <w:rPr>
                      <w:rFonts w:hint="default" w:ascii="Times New Roman" w:hAnsi="Times New Roman" w:cs="Times New Roman"/>
                      <w:color w:val="FF0000"/>
                      <w:sz w:val="21"/>
                      <w:szCs w:val="21"/>
                    </w:rPr>
                  </w:pPr>
                </w:p>
              </w:tc>
              <w:tc>
                <w:tcPr>
                  <w:tcW w:w="2597"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建设项目的环境影响报告书、环境影响报告表的基础资料数据明显不实，内容存在重大缺陷、遗漏，或者环境影响评价结论不明确、不合理。</w:t>
                  </w:r>
                </w:p>
              </w:tc>
              <w:tc>
                <w:tcPr>
                  <w:tcW w:w="3586" w:type="dxa"/>
                  <w:vAlign w:val="center"/>
                </w:tcPr>
                <w:p>
                  <w:pPr>
                    <w:snapToGrid w:val="0"/>
                    <w:jc w:val="left"/>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建设项目的编制环境影响报告表的基础资料数据真实，内容不存在重大缺陷、遗漏，且环境影响评价结论明确、合理。</w:t>
                  </w:r>
                </w:p>
              </w:tc>
              <w:tc>
                <w:tcPr>
                  <w:tcW w:w="756" w:type="dxa"/>
                  <w:vAlign w:val="center"/>
                </w:tcPr>
                <w:p>
                  <w:pPr>
                    <w:snapToGrid w:val="0"/>
                    <w:jc w:val="center"/>
                    <w:outlineLvl w:val="3"/>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符合审批要求</w:t>
                  </w:r>
                </w:p>
              </w:tc>
            </w:tr>
          </w:tbl>
          <w:p>
            <w:pPr>
              <w:keepNext w:val="0"/>
              <w:keepLines w:val="0"/>
              <w:pageBreakBefore w:val="0"/>
              <w:widowControl w:val="0"/>
              <w:kinsoku/>
              <w:wordWrap/>
              <w:overflowPunct/>
              <w:topLinePunct w:val="0"/>
              <w:autoSpaceDE/>
              <w:autoSpaceDN/>
              <w:bidi w:val="0"/>
              <w:adjustRightInd/>
              <w:snapToGrid/>
              <w:spacing w:line="336" w:lineRule="auto"/>
              <w:ind w:right="60" w:rightChars="25" w:firstLine="241" w:firstLineChars="100"/>
              <w:textAlignment w:val="auto"/>
              <w:rPr>
                <w:rFonts w:hint="default" w:ascii="Times New Roman" w:hAnsi="Times New Roman" w:cs="Times New Roman"/>
                <w:b/>
                <w:color w:val="FF0000"/>
              </w:rPr>
            </w:pPr>
          </w:p>
          <w:p>
            <w:pPr>
              <w:keepNext w:val="0"/>
              <w:keepLines w:val="0"/>
              <w:pageBreakBefore w:val="0"/>
              <w:widowControl w:val="0"/>
              <w:kinsoku/>
              <w:wordWrap/>
              <w:overflowPunct/>
              <w:topLinePunct w:val="0"/>
              <w:autoSpaceDE/>
              <w:autoSpaceDN/>
              <w:bidi w:val="0"/>
              <w:adjustRightInd/>
              <w:snapToGrid/>
              <w:spacing w:line="336" w:lineRule="auto"/>
              <w:ind w:right="60" w:rightChars="25" w:firstLine="241" w:firstLineChars="100"/>
              <w:textAlignment w:val="auto"/>
              <w:rPr>
                <w:rFonts w:hint="default" w:ascii="Times New Roman" w:hAnsi="Times New Roman" w:cs="Times New Roman"/>
                <w:b/>
                <w:color w:val="auto"/>
              </w:rPr>
            </w:pPr>
            <w:r>
              <w:rPr>
                <w:rFonts w:hint="default" w:ascii="Times New Roman" w:hAnsi="Times New Roman" w:cs="Times New Roman"/>
                <w:b/>
                <w:color w:val="auto"/>
              </w:rPr>
              <w:t>2、《关于以改善环境质量为核心加强环境影响评价管理的通知》中“三线一单”要求符合性分析</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eastAsiaTheme="minorEastAsia"/>
                <w:color w:val="auto"/>
              </w:rPr>
              <w:t>①生态</w:t>
            </w:r>
            <w:r>
              <w:rPr>
                <w:rFonts w:hint="default" w:ascii="Times New Roman" w:hAnsi="Times New Roman" w:cs="Times New Roman"/>
                <w:color w:val="auto"/>
              </w:rPr>
              <w:t>保护红线</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rPr>
              <w:t>根据《浙江省生态保护红线》（浙政发[2018]30号文），本项目所在地不在划定的水源涵养、生物多样性维护、水土保持等生态保护红线范围内，故本项目符合生态保护红线要求。</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rPr>
              <w:t>②环境质量底线</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cs="Times New Roman"/>
                <w:color w:val="FF0000"/>
                <w:lang w:val="en-US" w:eastAsia="zh-CN"/>
              </w:rPr>
            </w:pPr>
            <w:r>
              <w:rPr>
                <w:rFonts w:ascii="Times New Roman" w:cs="Times New Roman"/>
                <w:color w:val="auto"/>
              </w:rPr>
              <w:t>本项目所在区域空气质量</w:t>
            </w:r>
            <w:r>
              <w:rPr>
                <w:rFonts w:hint="eastAsia" w:ascii="Times New Roman" w:cs="Times New Roman"/>
                <w:color w:val="auto"/>
              </w:rPr>
              <w:t>目前为不达标区，根据《湖州市大气环境质量限期达标规划》中明确的空气质量达标的主要路径，实现2025年环境空气质量全部达标，</w:t>
            </w:r>
            <w:r>
              <w:rPr>
                <w:rFonts w:ascii="Times New Roman" w:cs="Times New Roman"/>
                <w:color w:val="auto"/>
              </w:rPr>
              <w:t>地表水环境质量为《地表水环境质量标准》（GB3838-2002）Ⅲ类，声环境质量为《声环境质量标准》（GB3096-2008）</w:t>
            </w:r>
            <w:r>
              <w:rPr>
                <w:rFonts w:hint="eastAsia" w:ascii="Times New Roman" w:cs="Times New Roman"/>
                <w:color w:val="auto"/>
              </w:rPr>
              <w:t>3</w:t>
            </w:r>
            <w:r>
              <w:rPr>
                <w:rFonts w:ascii="Times New Roman" w:cs="Times New Roman"/>
                <w:color w:val="auto"/>
              </w:rPr>
              <w:t>类。本项目环境空气、水环境、声环境质量均能够满足相应的标准要求，项目</w:t>
            </w:r>
            <w:r>
              <w:rPr>
                <w:rFonts w:hint="eastAsia" w:ascii="Times New Roman" w:cs="Times New Roman"/>
                <w:color w:val="auto"/>
              </w:rPr>
              <w:t>废气、废水、噪声对周围环境影响均较小，固体废弃物按本环评报告的要求收集处理后，可得到妥善处置。因此</w:t>
            </w:r>
            <w:r>
              <w:rPr>
                <w:rFonts w:ascii="Times New Roman" w:cs="Times New Roman"/>
                <w:color w:val="auto"/>
              </w:rPr>
              <w:t>对周围环境影响很小，不会造成区域环境质量降级现象，不触及环境质量底线。</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rPr>
              <w:t>③资源利用上</w:t>
            </w:r>
            <w:r>
              <w:rPr>
                <w:rFonts w:hint="default" w:ascii="Times New Roman" w:hAnsi="Times New Roman" w:cs="Times New Roman"/>
                <w:color w:val="auto"/>
                <w:lang w:val="en-US" w:eastAsia="zh-CN"/>
              </w:rPr>
              <w:t>限</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本项目</w:t>
            </w:r>
            <w:r>
              <w:rPr>
                <w:rFonts w:hint="eastAsia" w:ascii="Times New Roman" w:cs="Times New Roman"/>
                <w:color w:val="auto"/>
                <w:lang w:val="en-US" w:eastAsia="zh-CN"/>
              </w:rPr>
              <w:t>利用</w:t>
            </w:r>
            <w:r>
              <w:rPr>
                <w:rFonts w:hint="default" w:ascii="Times New Roman" w:hAnsi="Times New Roman" w:cs="Times New Roman"/>
                <w:color w:val="auto"/>
                <w:lang w:val="en-US" w:eastAsia="zh-CN"/>
              </w:rPr>
              <w:t>闲置工业厂房进行生产，不占用农田、耕地等土地资料；营运过程中消耗一定量的电、水等，项目资源消耗量相对区域资源利用总量较少，电力由国网德清供电公司供应，水由德清县水务公司供应，因此符合资源利用上限要求。</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rPr>
              <w:t>④</w:t>
            </w:r>
            <w:r>
              <w:rPr>
                <w:rFonts w:hint="default" w:ascii="Times New Roman" w:hAnsi="Times New Roman" w:cs="Times New Roman"/>
                <w:color w:val="auto"/>
                <w:lang w:val="en-US" w:eastAsia="zh-CN"/>
              </w:rPr>
              <w:t>生态环境</w:t>
            </w:r>
            <w:r>
              <w:rPr>
                <w:rFonts w:hint="default" w:ascii="Times New Roman" w:hAnsi="Times New Roman" w:cs="Times New Roman"/>
                <w:color w:val="auto"/>
              </w:rPr>
              <w:t>准入清单</w:t>
            </w:r>
          </w:p>
          <w:p>
            <w:pPr>
              <w:pStyle w:val="120"/>
              <w:keepNext w:val="0"/>
              <w:keepLines w:val="0"/>
              <w:pageBreakBefore w:val="0"/>
              <w:widowControl w:val="0"/>
              <w:kinsoku/>
              <w:wordWrap/>
              <w:overflowPunct/>
              <w:topLinePunct w:val="0"/>
              <w:autoSpaceDE w:val="0"/>
              <w:autoSpaceDN w:val="0"/>
              <w:bidi w:val="0"/>
              <w:adjustRightInd w:val="0"/>
              <w:snapToGrid/>
              <w:spacing w:line="384" w:lineRule="auto"/>
              <w:ind w:left="60" w:leftChars="25" w:right="60" w:rightChars="25" w:firstLine="480" w:firstLineChars="200"/>
              <w:textAlignment w:val="auto"/>
              <w:rPr>
                <w:rFonts w:hint="default" w:ascii="Times New Roman" w:hAnsi="Times New Roman" w:eastAsia="宋体" w:cs="Times New Roman"/>
                <w:color w:val="auto"/>
                <w:kern w:val="0"/>
                <w:sz w:val="24"/>
                <w:lang w:bidi="ar"/>
              </w:rPr>
            </w:pPr>
            <w:r>
              <w:rPr>
                <w:rFonts w:hint="default" w:ascii="Times New Roman" w:hAnsi="Times New Roman" w:eastAsia="宋体" w:cs="Times New Roman"/>
                <w:color w:val="auto"/>
                <w:kern w:val="0"/>
                <w:sz w:val="24"/>
                <w:lang w:bidi="ar"/>
              </w:rPr>
              <w:t>根据《德清县“三线一单”生态环境分区管控方案》</w:t>
            </w:r>
            <w:r>
              <w:rPr>
                <w:rFonts w:hint="eastAsia" w:ascii="Times New Roman" w:cs="Times New Roman"/>
                <w:color w:val="auto"/>
                <w:kern w:val="0"/>
                <w:sz w:val="24"/>
                <w:lang w:val="en-US" w:eastAsia="zh-CN" w:bidi="ar"/>
              </w:rPr>
              <w:t>及更新方案</w:t>
            </w:r>
            <w:r>
              <w:rPr>
                <w:rFonts w:hint="default" w:ascii="Times New Roman" w:hAnsi="Times New Roman" w:eastAsia="宋体" w:cs="Times New Roman"/>
                <w:color w:val="auto"/>
                <w:kern w:val="0"/>
                <w:sz w:val="24"/>
                <w:lang w:bidi="ar"/>
              </w:rPr>
              <w:t>，本项目位于“</w:t>
            </w:r>
            <w:r>
              <w:rPr>
                <w:rFonts w:hint="default" w:ascii="Times New Roman" w:hAnsi="Times New Roman" w:eastAsia="宋体" w:cs="Times New Roman"/>
                <w:color w:val="auto"/>
                <w:kern w:val="0"/>
                <w:sz w:val="24"/>
                <w:lang w:val="en-US" w:eastAsia="zh-CN" w:bidi="ar"/>
              </w:rPr>
              <w:t>湖州市德清县经济开发区产业集聚重点管控单元（ZH33052120004）</w:t>
            </w:r>
            <w:r>
              <w:rPr>
                <w:rFonts w:hint="default" w:ascii="Times New Roman" w:hAnsi="Times New Roman" w:eastAsia="宋体" w:cs="Times New Roman"/>
                <w:color w:val="auto"/>
                <w:kern w:val="0"/>
                <w:sz w:val="24"/>
                <w:lang w:bidi="ar"/>
              </w:rPr>
              <w:t>”，属于产业集聚重点管控单元，具体管控要求及符合性分析见表1-</w:t>
            </w:r>
            <w:r>
              <w:rPr>
                <w:rFonts w:hint="eastAsia" w:ascii="Times New Roman" w:cs="Times New Roman"/>
                <w:color w:val="auto"/>
                <w:kern w:val="0"/>
                <w:sz w:val="24"/>
                <w:lang w:val="en-US" w:eastAsia="zh-CN" w:bidi="ar"/>
              </w:rPr>
              <w:t>3</w:t>
            </w:r>
            <w:r>
              <w:rPr>
                <w:rFonts w:hint="default" w:ascii="Times New Roman" w:hAnsi="Times New Roman" w:eastAsia="宋体" w:cs="Times New Roman"/>
                <w:color w:val="auto"/>
                <w:kern w:val="0"/>
                <w:sz w:val="24"/>
                <w:lang w:bidi="ar"/>
              </w:rPr>
              <w:t>：</w:t>
            </w:r>
          </w:p>
          <w:p>
            <w:pPr>
              <w:pStyle w:val="120"/>
              <w:spacing w:line="360" w:lineRule="auto"/>
              <w:jc w:val="center"/>
              <w:rPr>
                <w:rFonts w:hint="default" w:ascii="Times New Roman" w:hAnsi="Times New Roman" w:cs="Times New Roman"/>
                <w:b/>
                <w:bCs/>
                <w:color w:val="auto"/>
              </w:rPr>
            </w:pPr>
            <w:r>
              <w:rPr>
                <w:rFonts w:hint="default" w:ascii="Times New Roman" w:hAnsi="Times New Roman" w:cs="Times New Roman"/>
                <w:b/>
                <w:bCs/>
                <w:color w:val="auto"/>
              </w:rPr>
              <w:t>表1-</w:t>
            </w:r>
            <w:r>
              <w:rPr>
                <w:rFonts w:hint="eastAsia" w:ascii="Times New Roman" w:cs="Times New Roman"/>
                <w:b/>
                <w:bCs/>
                <w:color w:val="auto"/>
                <w:lang w:val="en-US" w:eastAsia="zh-CN"/>
              </w:rPr>
              <w:t>3</w:t>
            </w:r>
            <w:r>
              <w:rPr>
                <w:rFonts w:hint="default" w:ascii="Times New Roman" w:hAnsi="Times New Roman" w:cs="Times New Roman"/>
                <w:b/>
                <w:bCs/>
                <w:color w:val="auto"/>
                <w:lang w:val="en-US" w:eastAsia="zh-CN"/>
              </w:rPr>
              <w:t xml:space="preserve">  </w:t>
            </w:r>
            <w:r>
              <w:rPr>
                <w:rFonts w:hint="default" w:ascii="Times New Roman" w:hAnsi="Times New Roman" w:cs="Times New Roman"/>
                <w:b/>
                <w:bCs/>
                <w:color w:val="auto"/>
              </w:rPr>
              <w:t>管控单元要求及符合性分析</w:t>
            </w:r>
          </w:p>
          <w:tbl>
            <w:tblPr>
              <w:tblStyle w:val="29"/>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3351"/>
              <w:gridCol w:w="2949"/>
              <w:gridCol w:w="8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744" w:type="dxa"/>
                  <w:vAlign w:val="center"/>
                </w:tcPr>
                <w:p>
                  <w:pPr>
                    <w:pStyle w:val="8"/>
                    <w:ind w:firstLine="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内容</w:t>
                  </w:r>
                </w:p>
              </w:tc>
              <w:tc>
                <w:tcPr>
                  <w:tcW w:w="3351" w:type="dxa"/>
                  <w:vAlign w:val="center"/>
                </w:tcPr>
                <w:p>
                  <w:pPr>
                    <w:pStyle w:val="8"/>
                    <w:ind w:firstLine="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管控措施</w:t>
                  </w:r>
                </w:p>
              </w:tc>
              <w:tc>
                <w:tcPr>
                  <w:tcW w:w="2949" w:type="dxa"/>
                  <w:vAlign w:val="center"/>
                </w:tcPr>
                <w:p>
                  <w:pPr>
                    <w:pStyle w:val="8"/>
                    <w:ind w:firstLine="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本项目情况</w:t>
                  </w:r>
                </w:p>
              </w:tc>
              <w:tc>
                <w:tcPr>
                  <w:tcW w:w="893" w:type="dxa"/>
                  <w:vAlign w:val="center"/>
                </w:tcPr>
                <w:p>
                  <w:pPr>
                    <w:pStyle w:val="8"/>
                    <w:ind w:firstLine="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744"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空间布局约束</w:t>
                  </w:r>
                </w:p>
              </w:tc>
              <w:tc>
                <w:tcPr>
                  <w:tcW w:w="3351" w:type="dxa"/>
                  <w:vAlign w:val="center"/>
                </w:tcPr>
                <w:p>
                  <w:pPr>
                    <w:keepNext w:val="0"/>
                    <w:keepLines w:val="0"/>
                    <w:widowControl/>
                    <w:suppressLineNumbers w:val="0"/>
                    <w:jc w:val="left"/>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kern w:val="0"/>
                      <w:sz w:val="20"/>
                      <w:szCs w:val="20"/>
                      <w:lang w:val="en-US" w:eastAsia="zh-CN" w:bidi="ar"/>
                    </w:rPr>
                    <w:t>除化工集中区和县域内现有三类企业搬迁外（搬迁不新增排放总量），禁止新建其他三类工业项目，鼓励对三类工业项目进行淘汰和提升改造。</w:t>
                  </w:r>
                  <w:r>
                    <w:rPr>
                      <w:rFonts w:hint="eastAsia" w:cs="Times New Roman"/>
                      <w:color w:val="auto"/>
                      <w:kern w:val="0"/>
                      <w:sz w:val="20"/>
                      <w:szCs w:val="20"/>
                      <w:lang w:val="en-US" w:eastAsia="zh-CN" w:bidi="ar"/>
                    </w:rPr>
                    <w:t>加强“两高”项目源头防控。综合条件较好的重点行业率先开展节能降碳技术改造。合理规划布局居住、医疗卫生、文化教育等功能区块，与工业区块、工业企业之间</w:t>
                  </w:r>
                  <w:r>
                    <w:rPr>
                      <w:rFonts w:hint="default" w:ascii="Times New Roman" w:hAnsi="Times New Roman" w:eastAsia="宋体" w:cs="Times New Roman"/>
                      <w:color w:val="auto"/>
                      <w:kern w:val="0"/>
                      <w:sz w:val="20"/>
                      <w:szCs w:val="20"/>
                      <w:lang w:val="en-US" w:eastAsia="zh-CN" w:bidi="ar"/>
                    </w:rPr>
                    <w:t>设置防护绿地、生态绿地等隔离带。土壤污染重点监管单位新（改、扩）建项目用地应当符合国家或地方有关建设用地土壤风险管控标准。</w:t>
                  </w:r>
                  <w:r>
                    <w:rPr>
                      <w:rFonts w:hint="eastAsia" w:cs="Times New Roman"/>
                      <w:color w:val="auto"/>
                      <w:kern w:val="0"/>
                      <w:sz w:val="20"/>
                      <w:szCs w:val="20"/>
                      <w:lang w:val="en-US" w:eastAsia="zh-CN" w:bidi="ar"/>
                    </w:rPr>
                    <w:t>重点行业按照规范要求开展建设项目碳排放评价。</w:t>
                  </w:r>
                </w:p>
              </w:tc>
              <w:tc>
                <w:tcPr>
                  <w:tcW w:w="2949" w:type="dxa"/>
                  <w:vAlign w:val="center"/>
                </w:tcPr>
                <w:p>
                  <w:pPr>
                    <w:pStyle w:val="8"/>
                    <w:ind w:firstLine="0"/>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本项目属于二类工业项目</w:t>
                  </w:r>
                  <w:r>
                    <w:rPr>
                      <w:rFonts w:hint="eastAsia" w:cs="Times New Roman"/>
                      <w:color w:val="auto"/>
                      <w:sz w:val="21"/>
                      <w:szCs w:val="21"/>
                      <w:lang w:eastAsia="zh-CN"/>
                    </w:rPr>
                    <w:t>；</w:t>
                  </w:r>
                  <w:r>
                    <w:rPr>
                      <w:rFonts w:hint="eastAsia" w:cs="Times New Roman"/>
                      <w:color w:val="auto"/>
                      <w:sz w:val="21"/>
                      <w:szCs w:val="21"/>
                      <w:lang w:val="en-US" w:eastAsia="zh-CN"/>
                    </w:rPr>
                    <w:t>不属于两高项目；</w:t>
                  </w:r>
                  <w:r>
                    <w:rPr>
                      <w:rFonts w:hint="default" w:ascii="Times New Roman" w:hAnsi="Times New Roman" w:cs="Times New Roman"/>
                      <w:color w:val="auto"/>
                      <w:sz w:val="21"/>
                      <w:szCs w:val="21"/>
                      <w:lang w:val="en-US" w:eastAsia="zh-CN"/>
                    </w:rPr>
                    <w:t>钟管</w:t>
                  </w:r>
                  <w:r>
                    <w:rPr>
                      <w:rFonts w:hint="default" w:ascii="Times New Roman" w:hAnsi="Times New Roman" w:eastAsia="宋体" w:cs="Times New Roman"/>
                      <w:color w:val="auto"/>
                      <w:sz w:val="21"/>
                      <w:szCs w:val="21"/>
                    </w:rPr>
                    <w:t>镇有关部门已在居住区和工业区、工业企业间设置了防护绿地、生态绿地等隔离带；本公司未列入土壤污染重点监管单位，且项目所在地土壤环境能够达到国家或地方有关建设用地土壤风险管控标准。</w:t>
                  </w:r>
                </w:p>
              </w:tc>
              <w:tc>
                <w:tcPr>
                  <w:tcW w:w="893"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9" w:hRule="atLeast"/>
                <w:jc w:val="center"/>
              </w:trPr>
              <w:tc>
                <w:tcPr>
                  <w:tcW w:w="744"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污染物排放管控</w:t>
                  </w:r>
                </w:p>
              </w:tc>
              <w:tc>
                <w:tcPr>
                  <w:tcW w:w="3351" w:type="dxa"/>
                  <w:vAlign w:val="center"/>
                </w:tcPr>
                <w:p>
                  <w:pPr>
                    <w:pStyle w:val="8"/>
                    <w:ind w:firstLine="0"/>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实施污染物总量控制制度，严格执行地区削减目标。新建二类、三类工业项目污染物排放水平要达到同行业国内先进水平。推进工业集聚区“零直排区”建设，所有企业实现雨污分流，现有工业集聚区内工业企业废水必须经预处理达到集中处理要求，方可进入污水集中处理设施。</w:t>
                  </w:r>
                </w:p>
              </w:tc>
              <w:tc>
                <w:tcPr>
                  <w:tcW w:w="2949" w:type="dxa"/>
                  <w:vAlign w:val="center"/>
                </w:tcPr>
                <w:p>
                  <w:pPr>
                    <w:pStyle w:val="8"/>
                    <w:ind w:firstLine="0"/>
                    <w:jc w:val="left"/>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钟管</w:t>
                  </w:r>
                  <w:r>
                    <w:rPr>
                      <w:rFonts w:hint="default" w:ascii="Times New Roman" w:hAnsi="Times New Roman" w:eastAsia="宋体" w:cs="Times New Roman"/>
                      <w:color w:val="auto"/>
                      <w:sz w:val="21"/>
                      <w:szCs w:val="21"/>
                    </w:rPr>
                    <w:t>镇已严格实施与执行了污染物总量控制制度和地区削减目标；本项目属于二类工业项目，其污染物排放量相对不大，总体而言污染物排放水平能够达到同行业国内先进水平；项目所在地污水管网已接通，同时厂区将实行雨污分流制，生活污水经预处理达到集中处理要求后纳管排入</w:t>
                  </w:r>
                  <w:r>
                    <w:rPr>
                      <w:rFonts w:hint="default" w:ascii="Times New Roman" w:hAnsi="Times New Roman" w:cs="Times New Roman"/>
                      <w:color w:val="auto"/>
                      <w:sz w:val="21"/>
                      <w:szCs w:val="21"/>
                      <w:lang w:eastAsia="zh-CN"/>
                    </w:rPr>
                    <w:t>德清鸿晟水务科技有限公司</w:t>
                  </w:r>
                  <w:r>
                    <w:rPr>
                      <w:rFonts w:hint="default" w:ascii="Times New Roman" w:hAnsi="Times New Roman" w:eastAsia="宋体" w:cs="Times New Roman"/>
                      <w:color w:val="auto"/>
                      <w:sz w:val="21"/>
                      <w:szCs w:val="21"/>
                    </w:rPr>
                    <w:t>集中处理。</w:t>
                  </w:r>
                </w:p>
              </w:tc>
              <w:tc>
                <w:tcPr>
                  <w:tcW w:w="893"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3" w:hRule="atLeast"/>
                <w:jc w:val="center"/>
              </w:trPr>
              <w:tc>
                <w:tcPr>
                  <w:tcW w:w="744"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环境风险防控</w:t>
                  </w:r>
                </w:p>
              </w:tc>
              <w:tc>
                <w:tcPr>
                  <w:tcW w:w="3351" w:type="dxa"/>
                  <w:vAlign w:val="center"/>
                </w:tcPr>
                <w:p>
                  <w:pPr>
                    <w:pStyle w:val="8"/>
                    <w:ind w:firstLine="0"/>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严格控制石油加工、化学原料和化学制品制造、医药制造、化学纤维制造、有色金属冶炼、纺织印染等项目环境风险。</w:t>
                  </w:r>
                  <w:r>
                    <w:rPr>
                      <w:rFonts w:hint="eastAsia" w:cs="Times New Roman"/>
                      <w:color w:val="auto"/>
                      <w:sz w:val="21"/>
                      <w:szCs w:val="21"/>
                      <w:lang w:val="en-US" w:eastAsia="zh-CN"/>
                    </w:rPr>
                    <w:t>重点管控新污染物环境风险。</w:t>
                  </w:r>
                  <w:r>
                    <w:rPr>
                      <w:rFonts w:hint="default" w:ascii="Times New Roman" w:hAnsi="Times New Roman" w:eastAsia="宋体" w:cs="Times New Roman"/>
                      <w:color w:val="auto"/>
                      <w:sz w:val="21"/>
                      <w:szCs w:val="21"/>
                    </w:rPr>
                    <w:t>定期评估沿江河湖库工业企业、工业集聚区环境和健康风险，落实防控措施。强化工业集聚区应急预案和风险防控体系建设，防范重点企业环境风险。</w:t>
                  </w:r>
                </w:p>
              </w:tc>
              <w:tc>
                <w:tcPr>
                  <w:tcW w:w="2949" w:type="dxa"/>
                  <w:vAlign w:val="center"/>
                </w:tcPr>
                <w:p>
                  <w:pPr>
                    <w:pStyle w:val="8"/>
                    <w:ind w:firstLine="0"/>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不属于石油加工、化学原料和化学制品制造、医药制造、化学纤维制造、有色金属冶炼、纺织印染项目，企业将积极配合区域风险防控体系建设，加强自身环境风险防范设施、应急物资配备、隐患排查机制等建设，提高环境风险防控水平。</w:t>
                  </w:r>
                </w:p>
              </w:tc>
              <w:tc>
                <w:tcPr>
                  <w:tcW w:w="893"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0" w:hRule="atLeast"/>
                <w:jc w:val="center"/>
              </w:trPr>
              <w:tc>
                <w:tcPr>
                  <w:tcW w:w="744"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资源开发效率要求</w:t>
                  </w:r>
                </w:p>
              </w:tc>
              <w:tc>
                <w:tcPr>
                  <w:tcW w:w="3351" w:type="dxa"/>
                  <w:vAlign w:val="center"/>
                </w:tcPr>
                <w:p>
                  <w:pPr>
                    <w:pStyle w:val="8"/>
                    <w:ind w:firstLine="0"/>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推进工业集聚区生态化改造，强化企业清洁生产改造，推进节水型企业、节水型工业园区建设、落实煤炭消耗减量替代要求，提高资源能源利用效率。</w:t>
                  </w:r>
                </w:p>
              </w:tc>
              <w:tc>
                <w:tcPr>
                  <w:tcW w:w="2949" w:type="dxa"/>
                  <w:vAlign w:val="center"/>
                </w:tcPr>
                <w:p>
                  <w:pPr>
                    <w:pStyle w:val="8"/>
                    <w:ind w:firstLine="0"/>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本项目用水需求不大，能源主要使用电等清洁能源。</w:t>
                  </w:r>
                </w:p>
              </w:tc>
              <w:tc>
                <w:tcPr>
                  <w:tcW w:w="893"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bl>
          <w:p>
            <w:pPr>
              <w:pStyle w:val="120"/>
              <w:spacing w:line="360" w:lineRule="auto"/>
              <w:ind w:left="60" w:leftChars="25" w:right="60" w:rightChars="25" w:firstLine="482" w:firstLineChars="200"/>
              <w:rPr>
                <w:rFonts w:hint="default" w:ascii="Times New Roman" w:hAnsi="Times New Roman" w:cs="Times New Roman"/>
                <w:color w:val="auto"/>
              </w:rPr>
            </w:pPr>
            <w:r>
              <w:rPr>
                <w:rFonts w:hint="default" w:ascii="Times New Roman" w:hAnsi="Times New Roman" w:cs="Times New Roman"/>
                <w:b/>
                <w:bCs/>
                <w:color w:val="auto"/>
              </w:rPr>
              <w:t>符合性分析：</w:t>
            </w:r>
            <w:r>
              <w:rPr>
                <w:rFonts w:hint="default" w:ascii="Times New Roman" w:hAnsi="Times New Roman" w:cs="Times New Roman"/>
                <w:color w:val="auto"/>
              </w:rPr>
              <w:t>本项目符合“三线一单”管控措施的要求。</w:t>
            </w:r>
          </w:p>
          <w:p>
            <w:pPr>
              <w:pStyle w:val="120"/>
              <w:keepNext w:val="0"/>
              <w:keepLines w:val="0"/>
              <w:pageBreakBefore w:val="0"/>
              <w:widowControl w:val="0"/>
              <w:kinsoku/>
              <w:wordWrap/>
              <w:overflowPunct/>
              <w:topLinePunct w:val="0"/>
              <w:autoSpaceDE w:val="0"/>
              <w:autoSpaceDN w:val="0"/>
              <w:bidi w:val="0"/>
              <w:adjustRightInd w:val="0"/>
              <w:snapToGrid/>
              <w:spacing w:line="240" w:lineRule="auto"/>
              <w:ind w:left="60" w:leftChars="25" w:right="60" w:rightChars="25" w:firstLine="300" w:firstLineChars="200"/>
              <w:textAlignment w:val="auto"/>
              <w:rPr>
                <w:rFonts w:hint="default" w:ascii="Times New Roman" w:hAnsi="Times New Roman" w:cs="Times New Roman"/>
                <w:color w:val="FF0000"/>
                <w:sz w:val="15"/>
                <w:szCs w:val="15"/>
              </w:rPr>
            </w:pPr>
          </w:p>
          <w:p>
            <w:pPr>
              <w:spacing w:line="360" w:lineRule="auto"/>
              <w:ind w:right="60" w:rightChars="25" w:firstLine="241" w:firstLineChars="100"/>
              <w:rPr>
                <w:rFonts w:hint="default" w:ascii="Times New Roman" w:hAnsi="Times New Roman" w:cs="Times New Roman"/>
                <w:b/>
                <w:color w:val="auto"/>
              </w:rPr>
            </w:pPr>
            <w:r>
              <w:rPr>
                <w:rFonts w:hint="default" w:ascii="Times New Roman" w:hAnsi="Times New Roman" w:cs="Times New Roman"/>
                <w:b/>
                <w:color w:val="auto"/>
              </w:rPr>
              <w:t>3、“三区三线”符合性分析</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自然资源部办公厅关于浙江等省(市)启用“三区三线”划定成果作为报批建设项目用地用海依据的函》(自然资办函[2022]2080号)及《自然资源部办公厅关于依据“三区三线”划定成果报批建设项目用地用海有关事宜的函》(自然资办函[2022]2072号)，三区三线中“三区”是指城镇空间、农业空间、生态空间三种类型的国土空间。“三线”分别对应在城镇空间、农业空间、生态空间划定的城镇开发边界、永久基本农田、生态保护红线三条控制线。</w:t>
            </w:r>
          </w:p>
          <w:p>
            <w:pPr>
              <w:pStyle w:val="120"/>
              <w:spacing w:line="360" w:lineRule="auto"/>
              <w:ind w:left="60" w:leftChars="25" w:right="60" w:rightChars="25" w:firstLine="482" w:firstLineChars="200"/>
              <w:rPr>
                <w:rFonts w:hint="default" w:ascii="Times New Roman" w:hAnsi="Times New Roman" w:cs="Times New Roman"/>
                <w:color w:val="auto"/>
              </w:rPr>
            </w:pPr>
            <w:r>
              <w:rPr>
                <w:rFonts w:hint="default" w:ascii="Times New Roman" w:hAnsi="Times New Roman" w:cs="Times New Roman"/>
                <w:b/>
                <w:bCs/>
                <w:color w:val="auto"/>
              </w:rPr>
              <w:t>符合性分析：</w:t>
            </w:r>
            <w:r>
              <w:rPr>
                <w:rFonts w:hint="default" w:ascii="Times New Roman" w:hAnsi="Times New Roman" w:cs="Times New Roman"/>
                <w:color w:val="auto"/>
              </w:rPr>
              <w:t>本项目位于</w:t>
            </w:r>
            <w:r>
              <w:rPr>
                <w:rFonts w:hint="eastAsia" w:ascii="Times New Roman" w:cs="Times New Roman"/>
                <w:color w:val="auto"/>
                <w:szCs w:val="24"/>
                <w:lang w:eastAsia="zh-CN"/>
              </w:rPr>
              <w:t>德清县钟管镇横塘桥路2号</w:t>
            </w:r>
            <w:r>
              <w:rPr>
                <w:rFonts w:hint="default" w:ascii="Times New Roman" w:hAnsi="Times New Roman" w:cs="Times New Roman"/>
                <w:color w:val="auto"/>
              </w:rPr>
              <w:t>，属于“三区三线”中集中建设区（具体见附图</w:t>
            </w:r>
            <w:r>
              <w:rPr>
                <w:rFonts w:hint="default" w:ascii="Times New Roman" w:hAnsi="Times New Roman" w:cs="Times New Roman"/>
                <w:color w:val="auto"/>
                <w:lang w:val="en-US" w:eastAsia="zh-CN"/>
              </w:rPr>
              <w:t>9</w:t>
            </w:r>
            <w:r>
              <w:rPr>
                <w:rFonts w:hint="default" w:ascii="Times New Roman" w:hAnsi="Times New Roman" w:cs="Times New Roman"/>
                <w:color w:val="auto"/>
              </w:rPr>
              <w:t>）。</w:t>
            </w:r>
          </w:p>
          <w:p>
            <w:pPr>
              <w:pStyle w:val="120"/>
              <w:spacing w:line="240" w:lineRule="auto"/>
              <w:ind w:left="60" w:leftChars="25" w:right="60" w:rightChars="25" w:firstLine="480" w:firstLineChars="200"/>
              <w:rPr>
                <w:rFonts w:hint="default" w:ascii="Times New Roman" w:hAnsi="Times New Roman" w:cs="Times New Roman"/>
                <w:color w:val="FF0000"/>
              </w:rPr>
            </w:pPr>
          </w:p>
          <w:p>
            <w:pPr>
              <w:spacing w:line="360" w:lineRule="auto"/>
              <w:ind w:right="60" w:rightChars="25" w:firstLine="241" w:firstLineChars="100"/>
              <w:rPr>
                <w:rFonts w:hint="default" w:ascii="Times New Roman" w:hAnsi="Times New Roman" w:cs="Times New Roman"/>
                <w:b/>
                <w:color w:val="auto"/>
              </w:rPr>
            </w:pPr>
            <w:r>
              <w:rPr>
                <w:rFonts w:hint="default" w:ascii="Times New Roman" w:hAnsi="Times New Roman" w:cs="Times New Roman"/>
                <w:b/>
                <w:color w:val="auto"/>
              </w:rPr>
              <w:t>4、《浙江省建设项目环境保护管理办法（2021年修正）》：建设项目应当符合生态保护红线、环境质量底线、资源利用上线和生态环境准入清单管控的要求等符合性分析</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根据《浙江省建设项目环境保护管理办法》（2021年修正）：建设项目应当符合生态保护红线、环境质量底线、资源利用上线和生态环境准入清单管控的要求；排放污染物应当符合国家、省规定的污染物排放标准和重点污染物排放总量控制要求。建设项目还应当符合国土空间规划、国家和省产业政策等要求。具体分析如下：</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eastAsiaTheme="minorEastAsia"/>
                <w:color w:val="auto"/>
              </w:rPr>
              <w:t>①</w:t>
            </w:r>
            <w:r>
              <w:rPr>
                <w:rFonts w:hint="default" w:ascii="Times New Roman" w:hAnsi="Times New Roman" w:cs="Times New Roman"/>
                <w:color w:val="auto"/>
              </w:rPr>
              <w:t>生态保护红线、环境质量底线、资源利用上线和生态环境准入清单管控符合性分析：根据前文“三线一单符合性分析”，本项目建设符合“三线一单”管控的要求。</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②国家、省规定的污染物排放标准符合性分析：项目产生的污染物经有效治理后，能够做到达标排放。</w:t>
            </w:r>
          </w:p>
          <w:p>
            <w:pPr>
              <w:pStyle w:val="120"/>
              <w:spacing w:line="360" w:lineRule="auto"/>
              <w:ind w:left="60" w:leftChars="25" w:right="60" w:rightChars="25" w:firstLine="480" w:firstLineChars="200"/>
              <w:rPr>
                <w:rFonts w:hint="default" w:ascii="Times New Roman" w:hAnsi="Times New Roman" w:eastAsia="宋体" w:cs="Times New Roman"/>
                <w:color w:val="auto"/>
                <w:sz w:val="24"/>
                <w:szCs w:val="24"/>
                <w:lang w:eastAsia="zh-CN"/>
              </w:rPr>
            </w:pPr>
            <w:r>
              <w:rPr>
                <w:rFonts w:hint="default" w:ascii="Times New Roman" w:hAnsi="Times New Roman" w:cs="Times New Roman"/>
                <w:color w:val="auto"/>
              </w:rPr>
              <w:t>③重点污染物排放总量控制要求符合性分析：项目建成后排放的污染物中，纳入总量控制指标的主要污染物为COD</w:t>
            </w:r>
            <w:r>
              <w:rPr>
                <w:rFonts w:hint="default" w:ascii="Times New Roman" w:hAnsi="Times New Roman" w:cs="Times New Roman"/>
                <w:color w:val="auto"/>
                <w:sz w:val="24"/>
                <w:szCs w:val="24"/>
                <w:vertAlign w:val="subscript"/>
              </w:rPr>
              <w:t>Cr</w:t>
            </w:r>
            <w:r>
              <w:rPr>
                <w:rFonts w:hint="default" w:ascii="Times New Roman" w:hAnsi="Times New Roman" w:cs="Times New Roman"/>
                <w:color w:val="auto"/>
                <w:sz w:val="24"/>
                <w:szCs w:val="24"/>
              </w:rPr>
              <w:t>、NH</w:t>
            </w:r>
            <w:r>
              <w:rPr>
                <w:rFonts w:hint="default" w:ascii="Times New Roman" w:hAnsi="Times New Roman" w:cs="Times New Roman"/>
                <w:color w:val="auto"/>
                <w:sz w:val="24"/>
                <w:szCs w:val="24"/>
                <w:vertAlign w:val="subscript"/>
              </w:rPr>
              <w:t>3</w:t>
            </w:r>
            <w:r>
              <w:rPr>
                <w:rFonts w:hint="default" w:ascii="Times New Roman" w:hAnsi="Times New Roman" w:cs="Times New Roman"/>
                <w:color w:val="auto"/>
                <w:sz w:val="24"/>
                <w:szCs w:val="24"/>
              </w:rPr>
              <w:t>-N、</w:t>
            </w:r>
            <w:r>
              <w:rPr>
                <w:rFonts w:hint="eastAsia" w:ascii="Times New Roman" w:cs="Times New Roman"/>
                <w:color w:val="auto"/>
                <w:sz w:val="24"/>
                <w:szCs w:val="24"/>
                <w:lang w:val="en-US" w:eastAsia="zh-CN"/>
              </w:rPr>
              <w:t>颗粒物</w:t>
            </w:r>
            <w:r>
              <w:rPr>
                <w:rFonts w:hint="eastAsia" w:ascii="Times New Roman" w:hAnsi="Times New Roman" w:cs="Times New Roman"/>
                <w:color w:val="auto"/>
                <w:sz w:val="24"/>
                <w:szCs w:val="24"/>
                <w:lang w:eastAsia="zh-CN"/>
              </w:rPr>
              <w:t>、</w:t>
            </w:r>
            <w:r>
              <w:rPr>
                <w:rFonts w:hint="default" w:ascii="Times New Roman" w:hAnsi="Times New Roman" w:eastAsia="宋体" w:cs="Times New Roman"/>
                <w:color w:val="auto"/>
                <w:kern w:val="0"/>
                <w:sz w:val="24"/>
                <w:szCs w:val="24"/>
                <w:lang w:val="en-US" w:eastAsia="zh-CN" w:bidi="ar"/>
              </w:rPr>
              <w:t>VOCs</w:t>
            </w:r>
            <w:r>
              <w:rPr>
                <w:rFonts w:hint="default" w:ascii="Times New Roman" w:hAnsi="Times New Roman" w:cs="Times New Roman"/>
                <w:color w:val="auto"/>
                <w:sz w:val="24"/>
                <w:szCs w:val="24"/>
              </w:rPr>
              <w:t>，</w:t>
            </w:r>
            <w:r>
              <w:rPr>
                <w:rFonts w:hint="default" w:ascii="Times New Roman" w:hAnsi="Times New Roman" w:cs="Times New Roman"/>
                <w:color w:val="auto"/>
                <w:sz w:val="24"/>
                <w:szCs w:val="24"/>
                <w:lang w:val="en-US" w:eastAsia="zh-CN"/>
              </w:rPr>
              <w:t>生活污水</w:t>
            </w:r>
            <w:r>
              <w:rPr>
                <w:rFonts w:hint="default" w:ascii="Times New Roman" w:hAnsi="Times New Roman" w:eastAsia="宋体" w:cs="Times New Roman"/>
                <w:color w:val="auto"/>
                <w:sz w:val="24"/>
                <w:szCs w:val="24"/>
              </w:rPr>
              <w:t>纳入</w:t>
            </w:r>
            <w:r>
              <w:rPr>
                <w:rFonts w:hint="default" w:ascii="Times New Roman" w:hAnsi="Times New Roman" w:cs="Times New Roman"/>
                <w:color w:val="auto"/>
                <w:sz w:val="24"/>
                <w:szCs w:val="24"/>
                <w:lang w:eastAsia="zh-CN"/>
              </w:rPr>
              <w:t>德清鸿晟水务科技有限公司</w:t>
            </w:r>
            <w:r>
              <w:rPr>
                <w:rFonts w:hint="default" w:ascii="Times New Roman" w:hAnsi="Times New Roman" w:eastAsia="宋体" w:cs="Times New Roman"/>
                <w:color w:val="auto"/>
                <w:sz w:val="24"/>
                <w:szCs w:val="24"/>
              </w:rPr>
              <w:t>，</w:t>
            </w:r>
            <w:r>
              <w:rPr>
                <w:rFonts w:hint="default" w:ascii="Times New Roman" w:hAnsi="Times New Roman" w:cs="Times New Roman"/>
                <w:color w:val="auto"/>
                <w:sz w:val="24"/>
                <w:szCs w:val="24"/>
              </w:rPr>
              <w:t>新增COD</w:t>
            </w:r>
            <w:r>
              <w:rPr>
                <w:rFonts w:hint="default" w:ascii="Times New Roman" w:hAnsi="Times New Roman" w:cs="Times New Roman"/>
                <w:color w:val="auto"/>
                <w:sz w:val="24"/>
                <w:szCs w:val="24"/>
                <w:vertAlign w:val="subscript"/>
              </w:rPr>
              <w:t>Cr</w:t>
            </w:r>
            <w:r>
              <w:rPr>
                <w:rFonts w:hint="default" w:ascii="Times New Roman" w:hAnsi="Times New Roman" w:cs="Times New Roman"/>
                <w:color w:val="auto"/>
                <w:sz w:val="24"/>
                <w:szCs w:val="24"/>
              </w:rPr>
              <w:t>和NH</w:t>
            </w:r>
            <w:r>
              <w:rPr>
                <w:rFonts w:hint="default" w:ascii="Times New Roman" w:hAnsi="Times New Roman" w:cs="Times New Roman"/>
                <w:color w:val="auto"/>
                <w:sz w:val="24"/>
                <w:szCs w:val="24"/>
                <w:vertAlign w:val="subscript"/>
              </w:rPr>
              <w:t>3</w:t>
            </w:r>
            <w:r>
              <w:rPr>
                <w:rFonts w:hint="default" w:ascii="Times New Roman" w:hAnsi="Times New Roman" w:cs="Times New Roman"/>
                <w:color w:val="auto"/>
                <w:sz w:val="24"/>
                <w:szCs w:val="24"/>
              </w:rPr>
              <w:t>-N排放总量</w:t>
            </w:r>
            <w:r>
              <w:rPr>
                <w:rFonts w:hint="default" w:ascii="Times New Roman" w:hAnsi="Times New Roman" w:cs="Times New Roman"/>
                <w:color w:val="auto"/>
                <w:sz w:val="24"/>
                <w:szCs w:val="24"/>
                <w:lang w:val="en-US" w:eastAsia="zh-CN"/>
              </w:rPr>
              <w:t>无需进行削减替代</w:t>
            </w:r>
            <w:r>
              <w:rPr>
                <w:rFonts w:hint="default" w:ascii="Times New Roman" w:hAnsi="Times New Roman" w:cs="Times New Roman"/>
                <w:color w:val="auto"/>
                <w:sz w:val="24"/>
                <w:szCs w:val="24"/>
              </w:rPr>
              <w:t>。</w:t>
            </w:r>
            <w:r>
              <w:rPr>
                <w:rFonts w:hint="default" w:ascii="Times New Roman" w:hAnsi="Times New Roman" w:eastAsia="宋体" w:cs="Times New Roman"/>
                <w:color w:val="auto"/>
                <w:kern w:val="0"/>
                <w:sz w:val="24"/>
                <w:szCs w:val="24"/>
                <w:lang w:val="en-US" w:eastAsia="zh-CN" w:bidi="ar"/>
              </w:rPr>
              <w:t>VOCs</w:t>
            </w:r>
            <w:r>
              <w:rPr>
                <w:rFonts w:hint="default" w:ascii="Times New Roman" w:hAnsi="Times New Roman" w:cs="Times New Roman"/>
                <w:color w:val="auto"/>
                <w:kern w:val="0"/>
                <w:sz w:val="24"/>
                <w:szCs w:val="24"/>
                <w:lang w:val="en-US" w:eastAsia="zh-CN" w:bidi="ar"/>
              </w:rPr>
              <w:t>从</w:t>
            </w:r>
            <w:r>
              <w:rPr>
                <w:rFonts w:hint="eastAsia" w:cs="Times New Roman"/>
                <w:color w:val="auto"/>
                <w:szCs w:val="24"/>
                <w:lang w:eastAsia="zh-CN"/>
              </w:rPr>
              <w:t>浙江鑫桦钢管有限公司</w:t>
            </w:r>
            <w:r>
              <w:rPr>
                <w:rFonts w:hint="default" w:ascii="Times New Roman" w:hAnsi="Times New Roman" w:cs="Times New Roman"/>
                <w:color w:val="auto"/>
                <w:kern w:val="0"/>
                <w:sz w:val="24"/>
                <w:szCs w:val="24"/>
                <w:lang w:val="en-US" w:eastAsia="zh-CN" w:bidi="ar"/>
              </w:rPr>
              <w:t>原有项目中</w:t>
            </w:r>
            <w:r>
              <w:rPr>
                <w:rFonts w:hint="eastAsia" w:ascii="Times New Roman" w:cs="Times New Roman"/>
                <w:color w:val="auto"/>
                <w:kern w:val="0"/>
                <w:sz w:val="24"/>
                <w:szCs w:val="24"/>
                <w:lang w:val="en-US" w:eastAsia="zh-CN" w:bidi="ar"/>
              </w:rPr>
              <w:t>“以新带老”</w:t>
            </w:r>
            <w:r>
              <w:rPr>
                <w:rFonts w:hint="default" w:ascii="Times New Roman" w:hAnsi="Times New Roman" w:cs="Times New Roman"/>
                <w:color w:val="auto"/>
                <w:kern w:val="0"/>
                <w:sz w:val="24"/>
                <w:szCs w:val="24"/>
                <w:lang w:val="en-US" w:eastAsia="zh-CN" w:bidi="ar"/>
              </w:rPr>
              <w:t>进行</w:t>
            </w:r>
            <w:r>
              <w:rPr>
                <w:rFonts w:hint="eastAsia" w:ascii="Times New Roman" w:cs="Times New Roman"/>
                <w:color w:val="auto"/>
                <w:kern w:val="0"/>
                <w:sz w:val="24"/>
                <w:szCs w:val="24"/>
                <w:lang w:val="en-US" w:eastAsia="zh-CN" w:bidi="ar"/>
              </w:rPr>
              <w:t>削减</w:t>
            </w:r>
            <w:r>
              <w:rPr>
                <w:rFonts w:hint="default" w:ascii="Times New Roman" w:hAnsi="Times New Roman" w:cs="Times New Roman"/>
                <w:color w:val="auto"/>
                <w:kern w:val="0"/>
                <w:sz w:val="24"/>
                <w:szCs w:val="24"/>
                <w:lang w:val="en-US" w:eastAsia="zh-CN" w:bidi="ar"/>
              </w:rPr>
              <w:t>替代</w:t>
            </w:r>
            <w:r>
              <w:rPr>
                <w:rFonts w:hint="eastAsia" w:ascii="Times New Roman" w:cs="Times New Roman"/>
                <w:color w:val="auto"/>
                <w:kern w:val="0"/>
                <w:sz w:val="24"/>
                <w:szCs w:val="24"/>
                <w:lang w:val="en-US" w:eastAsia="zh-CN" w:bidi="ar"/>
              </w:rPr>
              <w:t>。</w:t>
            </w:r>
            <w:r>
              <w:rPr>
                <w:rFonts w:hint="eastAsia" w:ascii="Times New Roman" w:cs="Times New Roman"/>
                <w:color w:val="auto"/>
                <w:sz w:val="24"/>
                <w:szCs w:val="24"/>
                <w:lang w:val="en-US" w:eastAsia="zh-CN"/>
              </w:rPr>
              <w:t>颗粒物</w:t>
            </w:r>
            <w:r>
              <w:rPr>
                <w:rFonts w:hint="default" w:ascii="Times New Roman" w:hAnsi="Times New Roman" w:cs="Times New Roman"/>
                <w:color w:val="auto"/>
              </w:rPr>
              <w:t>按照1:</w:t>
            </w:r>
            <w:r>
              <w:rPr>
                <w:rFonts w:hint="eastAsia" w:ascii="Times New Roman" w:cs="Times New Roman"/>
                <w:color w:val="auto"/>
                <w:lang w:val="en-US" w:eastAsia="zh-CN"/>
              </w:rPr>
              <w:t>1</w:t>
            </w:r>
            <w:r>
              <w:rPr>
                <w:rFonts w:hint="default" w:ascii="Times New Roman" w:hAnsi="Times New Roman" w:cs="Times New Roman"/>
                <w:color w:val="auto"/>
              </w:rPr>
              <w:t>进行区域削减替代</w:t>
            </w:r>
            <w:r>
              <w:rPr>
                <w:rFonts w:hint="default" w:ascii="Times New Roman" w:hAnsi="Times New Roman" w:cs="Times New Roman"/>
                <w:bCs/>
                <w:color w:val="auto"/>
              </w:rPr>
              <w:t>。</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④国土空间规划符合性分析：本项目选址地块属于工业用地，符合相关规划要求。</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⑤国家和省产业政策符合性分析：根据《产业结构调整指导目录（20</w:t>
            </w:r>
            <w:r>
              <w:rPr>
                <w:rFonts w:hint="default" w:ascii="Times New Roman" w:hAnsi="Times New Roman" w:cs="Times New Roman"/>
                <w:color w:val="auto"/>
                <w:lang w:val="en-US" w:eastAsia="zh-CN"/>
              </w:rPr>
              <w:t>24</w:t>
            </w:r>
            <w:r>
              <w:rPr>
                <w:rFonts w:hint="default" w:ascii="Times New Roman" w:hAnsi="Times New Roman" w:cs="Times New Roman"/>
                <w:color w:val="auto"/>
              </w:rPr>
              <w:t>年本）》，拟建项目未被列入鼓励类、淘汰类或限制类，即为允许类。因此本项目的建设符合国家产业政策。</w:t>
            </w:r>
          </w:p>
          <w:p>
            <w:pPr>
              <w:pStyle w:val="120"/>
              <w:spacing w:line="240" w:lineRule="auto"/>
              <w:ind w:left="60" w:leftChars="25" w:right="60" w:rightChars="25" w:firstLine="480" w:firstLineChars="200"/>
              <w:rPr>
                <w:rFonts w:hint="default" w:ascii="Times New Roman" w:hAnsi="Times New Roman" w:cs="Times New Roman"/>
                <w:color w:val="auto"/>
              </w:rPr>
            </w:pPr>
          </w:p>
          <w:p>
            <w:pPr>
              <w:spacing w:line="360" w:lineRule="auto"/>
              <w:ind w:right="60" w:rightChars="25" w:firstLine="241" w:firstLineChars="100"/>
              <w:rPr>
                <w:rFonts w:hint="default" w:ascii="Times New Roman" w:hAnsi="Times New Roman" w:cs="Times New Roman"/>
                <w:b/>
                <w:color w:val="auto"/>
              </w:rPr>
            </w:pPr>
            <w:r>
              <w:rPr>
                <w:rFonts w:hint="default" w:ascii="Times New Roman" w:hAnsi="Times New Roman" w:cs="Times New Roman"/>
                <w:b/>
                <w:color w:val="auto"/>
              </w:rPr>
              <w:t>5、《太湖流域管理条例》的符合性分析</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lang w:val="en-US" w:eastAsia="zh-CN"/>
              </w:rPr>
              <w:t>根据《太湖流域管理条例》，其相关管理要求如下：</w:t>
            </w:r>
          </w:p>
          <w:p>
            <w:pPr>
              <w:pStyle w:val="120"/>
              <w:spacing w:line="360" w:lineRule="auto"/>
              <w:ind w:left="60" w:leftChars="25" w:right="60" w:rightChars="25" w:firstLine="480" w:firstLineChars="200"/>
              <w:rPr>
                <w:rFonts w:hint="default" w:ascii="Times New Roman" w:hAnsi="Times New Roman" w:cs="Times New Roman"/>
                <w:color w:val="FF0000"/>
              </w:rPr>
            </w:pPr>
            <w:r>
              <w:rPr>
                <w:rFonts w:hint="default" w:ascii="Times New Roman" w:hAnsi="Times New Roman" w:cs="Times New Roman"/>
                <w:color w:val="auto"/>
                <w:lang w:val="en-US" w:eastAsia="zh-CN"/>
              </w:rPr>
              <w:t>第二十八条 排污单位排放水污染物，不得超过经核定的水污染物排放总量，并应当按照规定设置便于检查、采样的规范化排污口，悬挂标志牌；不得私设暗管或者采取其他规避监管的方式排放水污染物。</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lang w:val="en-US" w:eastAsia="zh-CN"/>
              </w:rPr>
              <w:t>禁止在太湖流域设置不符合国家产业政策和水环境综合治理要求的造纸、制革、酒精、淀粉、冶金、酿造、印染、电镀等排放水污染物的生产项目，现有的生产项目不能实现达标排放的，应当依法关闭。</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lang w:val="en-US" w:eastAsia="zh-CN"/>
              </w:rPr>
              <w:t>在太湖流域新设企业应当符合国家规定的清洁生产要求，现有的企业尚未达到清洁生产要求的，应当按照清洁生产规划要求进行技术改造，两省一市人民政府应当加强监督检查。</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第二十九条 新孟河、望虞河以外的其他主要入太湖河道，自河口1万米上溯至5万米河道岸线内及其岸线两侧各1000米范围内，禁止下列行为：</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（一）新建、扩建化工、医药生产项目；</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（二）新建、扩建污水集中处理设施排污口以外的排污口；</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（三）扩大水产养殖规模。</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第三十条：太湖岸线内和岸线周边5000m范围内，淀山湖岸线内和岸线周边2000m范围内，太浦河、新孟河、望虞河岸线内和岸线两侧各1000m范围内，其他主要入太湖河道自河口上溯至1万米河道岸线内及其岸线两侧各1000m范围内，禁止下列行为：</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（一）设置剧毒物质、危险化学品的贮存、输送设施和废物回收场、垃圾场；</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（二）设置水上餐饮经营设施；</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（三）新建、扩建高尔夫球场；</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（四）新建、扩建畜禽养殖场；</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（五）新建、扩建向水体排放污染物的建设项目；</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（六）本条例第二十九条规定的行为。</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第三十四条 太湖流域县级以上地方人民政府应当合理规划建设公共污水管网和污水集中处理设施，实现雨水、污水分流。自本条例施行之日起5年内，太湖流域县级以上地方人民政府所在城镇和重点建制镇的生活污水应当全部纳入公共污水管网并经污水集中处理设施处理。</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太湖流域县级人民政府应当为本行政区域内的农村居民点配备污水、垃圾收集设施，并对收集的污水、垃圾进行集中处理。</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第三十五条 太湖流域新建污水集中处理设施，应当符合脱氮除磷深度处理要求；现有的污水集中处理设施不符合脱氮除磷深度处理要求的，当地市、县人民政府应当自本条例施行之日起1年内组织进行技术改造。</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太湖流域市、县人民政府应当统筹规划建设污泥处理设施，并指导污水集中处理单位对处理污水产生的污泥等废弃物进行无害化处理，避免二次污染。</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0" w:firstLineChars="200"/>
              <w:textAlignment w:val="auto"/>
              <w:rPr>
                <w:rFonts w:hint="default" w:ascii="Times New Roman" w:hAnsi="Times New Roman" w:cs="Times New Roman"/>
                <w:color w:val="auto"/>
              </w:rPr>
            </w:pPr>
            <w:r>
              <w:rPr>
                <w:rFonts w:hint="default" w:ascii="Times New Roman" w:hAnsi="Times New Roman" w:cs="Times New Roman"/>
                <w:color w:val="auto"/>
                <w:lang w:val="en-US" w:eastAsia="zh-CN"/>
              </w:rPr>
              <w:t>国家鼓励污水集中处理单位配套建设再生水利用设施。</w:t>
            </w:r>
          </w:p>
          <w:p>
            <w:pPr>
              <w:pStyle w:val="120"/>
              <w:keepNext w:val="0"/>
              <w:keepLines w:val="0"/>
              <w:pageBreakBefore w:val="0"/>
              <w:widowControl w:val="0"/>
              <w:kinsoku/>
              <w:wordWrap/>
              <w:overflowPunct/>
              <w:topLinePunct w:val="0"/>
              <w:autoSpaceDE w:val="0"/>
              <w:autoSpaceDN w:val="0"/>
              <w:bidi w:val="0"/>
              <w:adjustRightInd w:val="0"/>
              <w:snapToGrid/>
              <w:spacing w:line="353" w:lineRule="auto"/>
              <w:ind w:left="60" w:leftChars="25" w:right="60" w:rightChars="25" w:firstLine="482" w:firstLineChars="200"/>
              <w:textAlignment w:val="auto"/>
              <w:rPr>
                <w:rFonts w:hint="default" w:ascii="Times New Roman" w:hAnsi="Times New Roman" w:cs="Times New Roman"/>
                <w:color w:val="auto"/>
                <w:lang w:val="en-US" w:eastAsia="zh-CN"/>
              </w:rPr>
            </w:pPr>
            <w:r>
              <w:rPr>
                <w:rFonts w:hint="default" w:ascii="Times New Roman" w:hAnsi="Times New Roman" w:cs="Times New Roman"/>
                <w:b/>
                <w:bCs/>
                <w:color w:val="auto"/>
              </w:rPr>
              <w:t>符合性分析：</w:t>
            </w:r>
            <w:r>
              <w:rPr>
                <w:rFonts w:hint="default" w:ascii="Times New Roman" w:hAnsi="Times New Roman" w:cs="Times New Roman"/>
                <w:color w:val="auto"/>
                <w:lang w:val="en-US" w:eastAsia="zh-CN"/>
              </w:rPr>
              <w:t>本项目位于</w:t>
            </w:r>
            <w:r>
              <w:rPr>
                <w:rFonts w:hint="eastAsia" w:ascii="Times New Roman" w:cs="Times New Roman"/>
                <w:color w:val="auto"/>
                <w:szCs w:val="24"/>
                <w:lang w:eastAsia="zh-CN"/>
              </w:rPr>
              <w:t>德清县钟管镇横塘桥路2号</w:t>
            </w:r>
            <w:r>
              <w:rPr>
                <w:rFonts w:hint="default" w:ascii="Times New Roman" w:hAnsi="Times New Roman" w:cs="Times New Roman"/>
                <w:color w:val="auto"/>
                <w:lang w:val="en-US" w:eastAsia="zh-CN"/>
              </w:rPr>
              <w:t>，不在《太湖流域管理条例》中自河口1万米上溯至5万米河道岸线内及其岸线两侧各1000m范围内，也不属于太湖岸线内和岸线周边5000m范围内，不属于《太湖流域管理条例》中第二十九条、第三十条中禁止的行为，不属于不符合国家产业政策和水环境综合治理要求的造纸、制革、酒精、淀粉、冶金、酿造、印染、电镀等排放水污染物的生产项目；营运期废水纳管至德清鸿晟水务科技有限公司作集中处理，全厂不设置入河、湖、漾排污口；厂区将实行雨、污分流，德清鸿晟水务科技有限公司已设置深度脱氮除磷工艺，尾水能够做到稳定达标排放，污泥也能够做到妥善处置。综上所述，本项目的建设符合《太湖流域管理条例》中的相应要求。</w:t>
            </w:r>
          </w:p>
          <w:p>
            <w:pPr>
              <w:pStyle w:val="120"/>
              <w:keepNext w:val="0"/>
              <w:keepLines w:val="0"/>
              <w:pageBreakBefore w:val="0"/>
              <w:widowControl w:val="0"/>
              <w:kinsoku/>
              <w:wordWrap/>
              <w:overflowPunct/>
              <w:topLinePunct w:val="0"/>
              <w:autoSpaceDE w:val="0"/>
              <w:autoSpaceDN w:val="0"/>
              <w:bidi w:val="0"/>
              <w:adjustRightInd w:val="0"/>
              <w:snapToGrid/>
              <w:spacing w:line="200" w:lineRule="exact"/>
              <w:ind w:left="60" w:leftChars="25" w:right="60" w:rightChars="25" w:firstLine="260" w:firstLineChars="200"/>
              <w:textAlignment w:val="auto"/>
              <w:rPr>
                <w:rFonts w:hint="default" w:ascii="Times New Roman" w:hAnsi="Times New Roman" w:cs="Times New Roman"/>
                <w:color w:val="FF0000"/>
                <w:sz w:val="13"/>
                <w:szCs w:val="13"/>
              </w:rPr>
            </w:pPr>
          </w:p>
          <w:p>
            <w:pPr>
              <w:spacing w:line="360" w:lineRule="auto"/>
              <w:ind w:right="60" w:rightChars="25" w:firstLine="241" w:firstLineChars="100"/>
              <w:rPr>
                <w:rFonts w:hint="default" w:ascii="Times New Roman" w:hAnsi="Times New Roman" w:cs="Times New Roman"/>
                <w:b/>
                <w:color w:val="auto"/>
                <w:lang w:val="en-US" w:eastAsia="zh-CN"/>
              </w:rPr>
            </w:pPr>
            <w:r>
              <w:rPr>
                <w:rFonts w:hint="default" w:ascii="Times New Roman" w:hAnsi="Times New Roman" w:cs="Times New Roman"/>
                <w:b/>
                <w:color w:val="auto"/>
                <w:lang w:val="en-US" w:eastAsia="zh-CN"/>
              </w:rPr>
              <w:t>6、《太湖流域水环境综合治理总体方案》</w:t>
            </w:r>
          </w:p>
          <w:p>
            <w:pPr>
              <w:pStyle w:val="120"/>
              <w:spacing w:line="360" w:lineRule="auto"/>
              <w:ind w:left="60" w:leftChars="25" w:right="60" w:rightChars="25" w:firstLine="480" w:firstLineChars="200"/>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2022年6月23日，国家发展改革委联合自然资源部、生态环境部、住房城乡建设部、水利部、农业农村部印发了《太湖流域水环境综合治理总体方案》（发改地区（2022）959号），对照该总体方案，项目符合性分析见表1-</w:t>
            </w:r>
            <w:r>
              <w:rPr>
                <w:rFonts w:hint="eastAsia" w:ascii="Times New Roman" w:cs="Times New Roman"/>
                <w:color w:val="auto"/>
                <w:lang w:val="en-US" w:eastAsia="zh-CN"/>
              </w:rPr>
              <w:t>4</w:t>
            </w:r>
            <w:r>
              <w:rPr>
                <w:rFonts w:hint="default" w:ascii="Times New Roman" w:hAnsi="Times New Roman" w:cs="Times New Roman"/>
                <w:color w:val="auto"/>
                <w:lang w:val="en-US" w:eastAsia="zh-CN"/>
              </w:rPr>
              <w:t>。由表可知，项目符合总体方案要求。</w:t>
            </w:r>
          </w:p>
          <w:p>
            <w:pPr>
              <w:pStyle w:val="120"/>
              <w:spacing w:line="360" w:lineRule="auto"/>
              <w:jc w:val="center"/>
              <w:rPr>
                <w:rFonts w:hint="default" w:ascii="Times New Roman" w:hAnsi="Times New Roman" w:eastAsia="宋体" w:cs="Times New Roman"/>
                <w:b/>
                <w:bCs/>
                <w:color w:val="auto"/>
                <w:lang w:val="en-US"/>
              </w:rPr>
            </w:pPr>
            <w:r>
              <w:rPr>
                <w:rFonts w:hint="default" w:ascii="Times New Roman" w:hAnsi="Times New Roman" w:eastAsia="宋体" w:cs="Times New Roman"/>
                <w:b/>
                <w:bCs/>
                <w:color w:val="auto"/>
              </w:rPr>
              <w:t>表1-</w:t>
            </w:r>
            <w:r>
              <w:rPr>
                <w:rFonts w:hint="eastAsia" w:ascii="Times New Roman" w:cs="Times New Roman"/>
                <w:b/>
                <w:bCs/>
                <w:color w:val="auto"/>
                <w:lang w:val="en-US" w:eastAsia="zh-CN"/>
              </w:rPr>
              <w:t>4</w:t>
            </w:r>
            <w:r>
              <w:rPr>
                <w:rFonts w:hint="default" w:ascii="Times New Roman" w:hAnsi="Times New Roman" w:eastAsia="宋体" w:cs="Times New Roman"/>
                <w:b/>
                <w:bCs/>
                <w:color w:val="auto"/>
                <w:lang w:val="en-US" w:eastAsia="zh-CN"/>
              </w:rPr>
              <w:t xml:space="preserve">  《太湖流域水环境综合治理总体方案》符合性分析</w:t>
            </w:r>
          </w:p>
          <w:tbl>
            <w:tblPr>
              <w:tblStyle w:val="29"/>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44"/>
              <w:gridCol w:w="2175"/>
              <w:gridCol w:w="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5044"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具体要求</w:t>
                  </w:r>
                </w:p>
              </w:tc>
              <w:tc>
                <w:tcPr>
                  <w:tcW w:w="2175"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项目情况</w:t>
                  </w:r>
                </w:p>
              </w:tc>
              <w:tc>
                <w:tcPr>
                  <w:tcW w:w="718"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504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督促企业依法持证排污、按证排污，严格落实总磷许可排放浓度和许可排放量要求。持续强化涉水行业污染整治，基于水生态环境质量改善需要，大力推进印染、化工、造纸、钢铁、电镀、食品（啤酒、味精）等重点行业企业废水深度处理。实施工业园区限值限量管理，全面推进工业园区污水管网排查整治和污水收集处理设施建设，加快实施管网混错接改造、管网更新、破损修复改造等，依法推动园区生产废水应纳尽纳。推进化工园区雨污分流改造和初期雨水收集处理，鼓励有条件的园区实施化工企业废水分类收集、分质处理、一企一管、明管输送、实时监测。</w:t>
                  </w:r>
                </w:p>
              </w:tc>
              <w:tc>
                <w:tcPr>
                  <w:tcW w:w="2175"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企业依法持证排污、按证排污，不涉及总磷排放。项目不属于所列涉水重点行业。项目厂区实行雨污分流，污水经预处理后纳管至德清鸿晟水务科技有限公司集中处理。</w:t>
                  </w:r>
                </w:p>
              </w:tc>
              <w:tc>
                <w:tcPr>
                  <w:tcW w:w="718"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5044" w:type="dxa"/>
                  <w:vAlign w:val="center"/>
                </w:tcPr>
                <w:p>
                  <w:pP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严禁落地国家和本地产业结构调整目录明确的限制类、淘汰类工艺、装备、产品与项目，依法推动污染企业退出。继续推进城市建成区内造纸、印染、化工等污染较重企业有序搬迁改造或依法关闭，推动环太湖生态环境敏感区内不符合产业发展政策、存在重大安全隐患且不具备整治条件的企业依法关闭或搬迁至合规工业园。推进太湖流域等重要饮用水水源地300米范围内重点排污企业逐步退出。除战略性新兴产业项目外，太湖流域原则上不再审批其他生产性新增氮磷污染物的工业类建设项目。</w:t>
                  </w:r>
                </w:p>
              </w:tc>
              <w:tc>
                <w:tcPr>
                  <w:tcW w:w="2175"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项目未列入《产业结构调整指导目录（2024年本）》中的限制类、淘汰类。项目不在太湖流域等重要饮用水水源地300米范围内。本项目废水经预处理后纳管至德清鸿晟水务科技有限公司集中处理。</w:t>
                  </w:r>
                </w:p>
              </w:tc>
              <w:tc>
                <w:tcPr>
                  <w:tcW w:w="718" w:type="dxa"/>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符合</w:t>
                  </w:r>
                </w:p>
              </w:tc>
            </w:tr>
          </w:tbl>
          <w:p>
            <w:pPr>
              <w:spacing w:line="360" w:lineRule="auto"/>
              <w:ind w:right="60" w:rightChars="25" w:firstLine="241" w:firstLineChars="100"/>
              <w:rPr>
                <w:rFonts w:hint="default" w:ascii="Times New Roman" w:hAnsi="Times New Roman" w:cs="Times New Roman"/>
                <w:b/>
                <w:color w:val="auto"/>
              </w:rPr>
            </w:pPr>
            <w:r>
              <w:rPr>
                <w:rFonts w:hint="default" w:ascii="Times New Roman" w:hAnsi="Times New Roman" w:cs="Times New Roman"/>
                <w:b/>
                <w:color w:val="auto"/>
                <w:lang w:val="en-US" w:eastAsia="zh-CN"/>
              </w:rPr>
              <w:t>7</w:t>
            </w:r>
            <w:r>
              <w:rPr>
                <w:rFonts w:hint="default" w:ascii="Times New Roman" w:hAnsi="Times New Roman" w:cs="Times New Roman"/>
                <w:b/>
                <w:color w:val="auto"/>
              </w:rPr>
              <w:t>、《长江经济带发展负面清单指南（试行，2022年版）》浙江省实施细则的符合性分析</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浙江省推动长江经济带发展领导小组办公室发布《&lt;长江经济带发展负面清单指南（试行，2022年版）〉浙江省实施细则》，对照实施细则的准入要求，其中与本项目相关条例符合性分析见表1-</w:t>
            </w:r>
            <w:r>
              <w:rPr>
                <w:rFonts w:hint="eastAsia" w:ascii="Times New Roman" w:cs="Times New Roman"/>
                <w:color w:val="auto"/>
                <w:lang w:val="en-US" w:eastAsia="zh-CN"/>
              </w:rPr>
              <w:t>5</w:t>
            </w:r>
            <w:r>
              <w:rPr>
                <w:rFonts w:hint="default" w:ascii="Times New Roman" w:hAnsi="Times New Roman" w:cs="Times New Roman"/>
                <w:color w:val="auto"/>
              </w:rPr>
              <w:t>。</w:t>
            </w:r>
          </w:p>
          <w:p>
            <w:pPr>
              <w:pStyle w:val="120"/>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cs="Times New Roman"/>
                <w:b/>
                <w:bCs/>
                <w:color w:val="auto"/>
              </w:rPr>
            </w:pPr>
            <w:r>
              <w:rPr>
                <w:rFonts w:hint="default" w:ascii="Times New Roman" w:hAnsi="Times New Roman" w:cs="Times New Roman"/>
                <w:b/>
                <w:bCs/>
                <w:color w:val="auto"/>
              </w:rPr>
              <w:t>表1-</w:t>
            </w:r>
            <w:r>
              <w:rPr>
                <w:rFonts w:hint="eastAsia" w:ascii="Times New Roman" w:cs="Times New Roman"/>
                <w:b/>
                <w:bCs/>
                <w:color w:val="auto"/>
                <w:lang w:val="en-US" w:eastAsia="zh-CN"/>
              </w:rPr>
              <w:t>5</w:t>
            </w:r>
            <w:r>
              <w:rPr>
                <w:rFonts w:hint="default" w:ascii="Times New Roman" w:hAnsi="Times New Roman" w:cs="Times New Roman"/>
                <w:b/>
                <w:bCs/>
                <w:color w:val="auto"/>
                <w:lang w:val="en-US" w:eastAsia="zh-CN"/>
              </w:rPr>
              <w:t xml:space="preserve">  </w:t>
            </w:r>
            <w:r>
              <w:rPr>
                <w:rFonts w:hint="default" w:ascii="Times New Roman" w:hAnsi="Times New Roman" w:cs="Times New Roman"/>
                <w:b/>
                <w:bCs/>
                <w:color w:val="auto"/>
              </w:rPr>
              <w:t>本项目与《&lt;长江经济带发展负面清单指南（试行，2022年版）〉浙江省实施细则》的对照分析表</w:t>
            </w:r>
          </w:p>
          <w:tbl>
            <w:tblPr>
              <w:tblStyle w:val="29"/>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4984"/>
              <w:gridCol w:w="1558"/>
              <w:gridCol w:w="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677"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4984"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具体要求</w:t>
                  </w:r>
                </w:p>
              </w:tc>
              <w:tc>
                <w:tcPr>
                  <w:tcW w:w="1558"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项目实际情况</w:t>
                  </w:r>
                </w:p>
              </w:tc>
              <w:tc>
                <w:tcPr>
                  <w:tcW w:w="718"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五条禁止在自然保护地的岸线和河段范围内投资建设不符合《浙江省自然保护地建设项目准入负面清单（试行）》的项目。禁止在自然保护地的岸线和河段范围内采石、采砂、采土、砍伐及其他严重改变地形地貌、破坏自然生态、影响自然景观的开发利用行为。禁止在I级林地、一级国家级公益林内建设项目。自然保护地由省林业局会同相关管理机构界定。</w:t>
                  </w:r>
                </w:p>
              </w:tc>
              <w:tc>
                <w:tcPr>
                  <w:tcW w:w="1558"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本项目不涉及</w:t>
                  </w:r>
                </w:p>
              </w:tc>
              <w:tc>
                <w:tcPr>
                  <w:tcW w:w="718"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六条禁止在饮用水水源一级保护区、二级保护区、准保护区的岸线和河段范围内投资建设不符合《浙江省饮用水源保护条例》的项目。饮用水水源一级保护区、二级保护区、准保护区由省生态环境厅会同相关管理机构界定。</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本项目不在饮用水水源一级保护区、二级保护区、准保护区范围内</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八条在国家湿地公园的岸线和河段范围内：（一）禁止挖沙、采矿；（二）禁止任何不符合主体功能定位的投资建设项目；（三）禁止开（围）垦、填埋或者排干湿地；（四）禁止截断湿地水源；（五）禁止倾倒有毒有害物质、废弃物、垃圾；（六）禁止破坏野生动物栖息地和迁徙通道、鱼类洄游通道，禁止滥采滥捕野生动植物；（七）禁止引入外来物种；（八）禁止擅自放牧、捕捞、取土、取水、排污、放生；（九）禁止其他破坏湿地及其生态功能的活动。</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本项目不在国家湿地公园的岸线和河段范围内</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第九条禁止违法利用、占用长江流域河湖岸线。</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本项目不涉及</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第十条禁止在《长江岸线保护和开发利用总体规划》划定的岸线保护区和保留区内投资建设除事关公共安全及公众利益的防洪护岸、河道治理、供水、生态环境保护、国家重要基础设施以外的项目。</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本项目不在其划定的岸线保护区和保留区内</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第十一条禁止在《全国重要江河湖泊水功能区划》划定的河段及湖泊保护区、保留区内投资建设不利于水资源及自然生态保护的项目。</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本项目不在其划定河段及湖泊保护区内</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7</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第十二条禁止未经许可在长江支流及湖泊新设、改设或扩大排污口。</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本项目不设直接排污口</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8</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十七条禁止新建、扩建法律法规和相关政策明令禁止的落后产能项目，对列入《产业结构调整指导目录》淘汰类中的落后生产工艺装备、落后产品投资项目，列入《外商投资准入特别管理措施（负面清单）》的外商投资项目，一律不得核准、备案。禁止向落后产能项目和严重过剩产能行业项目供应土地。</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本项目不属于落后产能项目，且通过当地经济部门备案同意</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9</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第十九条禁止新建、扩建不符合要求的高耗能高排放项目。</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不属于高耗能高排放项目</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77"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p>
              </w:tc>
              <w:tc>
                <w:tcPr>
                  <w:tcW w:w="4984"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第二十条禁止在水库和河湖等水利工程管理范围内堆放物料，倾倒土、石、矿渣、垃圾等物质。</w:t>
                  </w:r>
                </w:p>
              </w:tc>
              <w:tc>
                <w:tcPr>
                  <w:tcW w:w="155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本项目不涉及</w:t>
                  </w:r>
                </w:p>
              </w:tc>
              <w:tc>
                <w:tcPr>
                  <w:tcW w:w="718" w:type="dxa"/>
                  <w:vAlign w:val="center"/>
                </w:tcPr>
                <w:p>
                  <w:pP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符合</w:t>
                  </w:r>
                </w:p>
              </w:tc>
            </w:tr>
          </w:tbl>
          <w:p>
            <w:pPr>
              <w:pStyle w:val="120"/>
              <w:spacing w:line="360" w:lineRule="auto"/>
              <w:ind w:left="60" w:leftChars="25" w:right="60" w:rightChars="25" w:firstLine="482" w:firstLineChars="200"/>
              <w:rPr>
                <w:rFonts w:hint="default" w:ascii="Times New Roman" w:hAnsi="Times New Roman" w:cs="Times New Roman"/>
                <w:color w:val="auto"/>
              </w:rPr>
            </w:pPr>
            <w:r>
              <w:rPr>
                <w:rFonts w:hint="default" w:ascii="Times New Roman" w:hAnsi="Times New Roman" w:cs="Times New Roman"/>
                <w:b/>
                <w:bCs/>
                <w:color w:val="auto"/>
              </w:rPr>
              <w:t>符合性分析：</w:t>
            </w:r>
            <w:r>
              <w:rPr>
                <w:rFonts w:hint="default" w:ascii="Times New Roman" w:hAnsi="Times New Roman" w:cs="Times New Roman"/>
                <w:color w:val="auto"/>
              </w:rPr>
              <w:t>项目符合《&lt;长江经济带发展负面清单指南（试行，2022年版）〉浙江省实施细则》中的准入要求。</w:t>
            </w:r>
          </w:p>
          <w:p>
            <w:pPr>
              <w:pStyle w:val="120"/>
              <w:spacing w:line="240" w:lineRule="auto"/>
              <w:ind w:left="60" w:leftChars="25" w:right="60" w:rightChars="25" w:firstLine="480" w:firstLineChars="200"/>
              <w:rPr>
                <w:rFonts w:hint="default" w:ascii="Times New Roman" w:hAnsi="Times New Roman" w:cs="Times New Roman"/>
                <w:color w:val="FF0000"/>
              </w:rPr>
            </w:pPr>
          </w:p>
          <w:p>
            <w:pPr>
              <w:spacing w:line="360" w:lineRule="auto"/>
              <w:ind w:right="60" w:rightChars="25" w:firstLine="241" w:firstLineChars="100"/>
              <w:rPr>
                <w:rFonts w:hint="default" w:ascii="Times New Roman" w:hAnsi="Times New Roman" w:cs="Times New Roman"/>
                <w:b/>
                <w:color w:val="auto"/>
              </w:rPr>
            </w:pPr>
            <w:r>
              <w:rPr>
                <w:rFonts w:hint="default" w:ascii="Times New Roman" w:hAnsi="Times New Roman" w:cs="Times New Roman"/>
                <w:b/>
                <w:color w:val="auto"/>
                <w:lang w:val="en-US" w:eastAsia="zh-CN"/>
              </w:rPr>
              <w:t>8</w:t>
            </w:r>
            <w:r>
              <w:rPr>
                <w:rFonts w:hint="default" w:ascii="Times New Roman" w:hAnsi="Times New Roman" w:cs="Times New Roman"/>
                <w:b/>
                <w:color w:val="auto"/>
              </w:rPr>
              <w:t>、《关于落实&lt;水污染防治行动计划&gt;实施区域差别化环境准入的指导意见》的符合性分析</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环境保护部、国家发展和改革委员会、住房和城乡建设部和水利部于2016年12月28日共同印发了《关于落实水污染防治行动计划实施区域差别化环境准入的指导意见》，其中的相关条款如下所述：</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优化开发区。对确有必要的符合区域功能定位的建设项目，在污染治理水平、环境标准等方面执行最严格的准入条件，清洁生产达到国际先进水平。保护河口和海岸湿地，加强城市重点水源地保护。</w:t>
            </w:r>
          </w:p>
          <w:p>
            <w:pPr>
              <w:pStyle w:val="120"/>
              <w:spacing w:line="360" w:lineRule="auto"/>
              <w:ind w:left="60" w:leftChars="25" w:right="60" w:rightChars="25" w:firstLine="480" w:firstLineChars="200"/>
              <w:rPr>
                <w:rFonts w:hint="default" w:ascii="Times New Roman" w:hAnsi="Times New Roman" w:cs="Times New Roman"/>
                <w:color w:val="auto"/>
              </w:rPr>
            </w:pPr>
            <w:r>
              <w:rPr>
                <w:rFonts w:hint="default" w:ascii="Times New Roman" w:hAnsi="Times New Roman" w:cs="Times New Roman"/>
                <w:color w:val="auto"/>
              </w:rPr>
              <w:t>长江三角洲地区。落实《长江经济带取水口排污口和应急水源布局规划》，沿江地区进一步严格石化、化工、印染、造纸等项目环境准入，对干流两岸一定范围内新建相关重污染项目不予环境准入，推进石化化工企业向尚有一定环境容量的沿海地区集中、绿色发展。对太湖流域新建原料化工、燃料、颜料及排放氮磷污染物的工业项目，不予环境准入；实施江、湖一体的氮、磷污染控制，防范和治理江、湖富营养化。严格沿江港口码头项目环境准入，强化环境风险防范措施。</w:t>
            </w:r>
          </w:p>
          <w:p>
            <w:pPr>
              <w:pStyle w:val="120"/>
              <w:spacing w:line="360" w:lineRule="auto"/>
              <w:ind w:left="60" w:leftChars="25" w:right="60" w:rightChars="25" w:firstLine="482" w:firstLineChars="200"/>
              <w:rPr>
                <w:rFonts w:hint="default" w:ascii="Times New Roman" w:hAnsi="Times New Roman" w:cs="Times New Roman"/>
                <w:color w:val="auto"/>
              </w:rPr>
            </w:pPr>
            <w:r>
              <w:rPr>
                <w:rFonts w:hint="default" w:ascii="Times New Roman" w:hAnsi="Times New Roman" w:cs="Times New Roman"/>
                <w:b/>
                <w:bCs/>
                <w:color w:val="auto"/>
              </w:rPr>
              <w:t>符合性分析：</w:t>
            </w:r>
            <w:r>
              <w:rPr>
                <w:rFonts w:hint="default" w:ascii="Times New Roman" w:hAnsi="Times New Roman" w:cs="Times New Roman"/>
                <w:color w:val="auto"/>
              </w:rPr>
              <w:t>本项目所在地属于长江三角洲地区、太湖流域，不属于新建原料化工、燃料、颜料及排放氮磷污染物的工业项目。综上所述，本项目建设符合《关于落实水污染防治行动计划实施区域差别化环境准入的指导意见》中的相应要求。</w:t>
            </w:r>
          </w:p>
          <w:p>
            <w:pPr>
              <w:pStyle w:val="120"/>
              <w:ind w:left="60" w:leftChars="25" w:right="60" w:rightChars="25" w:firstLine="480" w:firstLineChars="200"/>
              <w:rPr>
                <w:rFonts w:hint="default" w:ascii="Times New Roman" w:hAnsi="Times New Roman" w:cs="Times New Roman"/>
                <w:color w:val="FF0000"/>
              </w:rPr>
            </w:pPr>
          </w:p>
          <w:p>
            <w:pPr>
              <w:spacing w:line="360" w:lineRule="auto"/>
              <w:ind w:right="60" w:rightChars="25" w:firstLine="241" w:firstLineChars="100"/>
              <w:rPr>
                <w:b/>
                <w:color w:val="auto"/>
              </w:rPr>
            </w:pPr>
            <w:r>
              <w:rPr>
                <w:rFonts w:hint="eastAsia"/>
                <w:b/>
                <w:color w:val="auto"/>
                <w:lang w:val="en-US" w:eastAsia="zh-CN"/>
              </w:rPr>
              <w:t>9</w:t>
            </w:r>
            <w:r>
              <w:rPr>
                <w:rFonts w:hint="eastAsia"/>
                <w:b/>
                <w:color w:val="auto"/>
              </w:rPr>
              <w:t>、</w:t>
            </w:r>
            <w:r>
              <w:rPr>
                <w:b/>
                <w:color w:val="auto"/>
              </w:rPr>
              <w:t>《浙江省“十四五”挥发性有机物综合治理方案》</w:t>
            </w:r>
            <w:r>
              <w:rPr>
                <w:rFonts w:hint="eastAsia"/>
                <w:b/>
                <w:color w:val="auto"/>
              </w:rPr>
              <w:t>符合性分析</w:t>
            </w:r>
          </w:p>
          <w:p>
            <w:pPr>
              <w:pStyle w:val="120"/>
              <w:spacing w:line="360" w:lineRule="auto"/>
              <w:ind w:left="60" w:leftChars="25" w:right="60" w:rightChars="25" w:firstLine="480" w:firstLineChars="200"/>
              <w:rPr>
                <w:rFonts w:ascii="Times New Roman" w:cs="Times New Roman"/>
                <w:color w:val="auto"/>
              </w:rPr>
            </w:pPr>
            <w:r>
              <w:rPr>
                <w:rFonts w:ascii="Times New Roman" w:cs="Times New Roman"/>
                <w:color w:val="auto"/>
              </w:rPr>
              <w:t>本项目与《浙江省“十四五”挥发性有机物综合治理方案》符合性分析</w:t>
            </w:r>
            <w:r>
              <w:rPr>
                <w:rFonts w:hint="eastAsia" w:ascii="Times New Roman" w:cs="Times New Roman"/>
                <w:color w:val="auto"/>
              </w:rPr>
              <w:t>见下表1</w:t>
            </w:r>
            <w:r>
              <w:rPr>
                <w:rFonts w:ascii="Times New Roman" w:cs="Times New Roman"/>
                <w:color w:val="auto"/>
              </w:rPr>
              <w:t>-</w:t>
            </w:r>
            <w:r>
              <w:rPr>
                <w:rFonts w:hint="eastAsia" w:ascii="Times New Roman" w:cs="Times New Roman"/>
                <w:color w:val="auto"/>
                <w:lang w:val="en-US" w:eastAsia="zh-CN"/>
              </w:rPr>
              <w:t>6</w:t>
            </w:r>
            <w:r>
              <w:rPr>
                <w:rFonts w:hint="eastAsia" w:ascii="Times New Roman" w:cs="Times New Roman"/>
                <w:color w:val="auto"/>
              </w:rPr>
              <w:t>。</w:t>
            </w:r>
          </w:p>
          <w:p>
            <w:pPr>
              <w:pStyle w:val="120"/>
              <w:spacing w:line="360" w:lineRule="auto"/>
              <w:jc w:val="center"/>
              <w:rPr>
                <w:rFonts w:ascii="Times New Roman" w:cs="Times New Roman"/>
                <w:b/>
                <w:bCs/>
                <w:color w:val="FF0000"/>
                <w:lang w:val="zh-CN"/>
              </w:rPr>
            </w:pPr>
            <w:r>
              <w:rPr>
                <w:rFonts w:ascii="Times New Roman" w:cs="Times New Roman"/>
                <w:b/>
                <w:bCs/>
                <w:color w:val="auto"/>
                <w:lang w:val="zh-CN"/>
              </w:rPr>
              <w:t>表</w:t>
            </w:r>
            <w:r>
              <w:rPr>
                <w:rFonts w:ascii="Times New Roman" w:cs="Times New Roman"/>
                <w:b/>
                <w:bCs/>
                <w:color w:val="auto"/>
              </w:rPr>
              <w:t>1-</w:t>
            </w:r>
            <w:r>
              <w:rPr>
                <w:rFonts w:hint="eastAsia" w:ascii="Times New Roman" w:cs="Times New Roman"/>
                <w:b/>
                <w:bCs/>
                <w:color w:val="auto"/>
                <w:lang w:val="en-US" w:eastAsia="zh-CN"/>
              </w:rPr>
              <w:t xml:space="preserve">6  </w:t>
            </w:r>
            <w:r>
              <w:rPr>
                <w:b/>
                <w:bCs/>
                <w:color w:val="auto"/>
                <w:szCs w:val="21"/>
              </w:rPr>
              <w:t>《</w:t>
            </w:r>
            <w:r>
              <w:rPr>
                <w:rFonts w:hint="eastAsia"/>
                <w:b/>
                <w:bCs/>
                <w:color w:val="auto"/>
                <w:szCs w:val="21"/>
              </w:rPr>
              <w:t>浙江省“十四五”挥发性有机物综合治理方案</w:t>
            </w:r>
            <w:r>
              <w:rPr>
                <w:b/>
                <w:bCs/>
                <w:color w:val="auto"/>
                <w:szCs w:val="21"/>
              </w:rPr>
              <w:t>》</w:t>
            </w:r>
            <w:r>
              <w:rPr>
                <w:rFonts w:ascii="Times New Roman" w:cs="Times New Roman"/>
                <w:b/>
                <w:bCs/>
                <w:color w:val="auto"/>
                <w:lang w:val="zh-CN"/>
              </w:rPr>
              <w:t>符合性分析</w:t>
            </w:r>
          </w:p>
          <w:tbl>
            <w:tblPr>
              <w:tblStyle w:val="29"/>
              <w:tblW w:w="793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0"/>
              <w:gridCol w:w="2625"/>
              <w:gridCol w:w="5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tblHeader/>
                <w:jc w:val="center"/>
              </w:trPr>
              <w:tc>
                <w:tcPr>
                  <w:tcW w:w="4740" w:type="dxa"/>
                  <w:tcBorders>
                    <w:tl2br w:val="nil"/>
                    <w:tr2bl w:val="nil"/>
                  </w:tcBorders>
                  <w:vAlign w:val="center"/>
                </w:tcPr>
                <w:p>
                  <w:pPr>
                    <w:jc w:val="center"/>
                    <w:rPr>
                      <w:b/>
                      <w:bCs/>
                      <w:color w:val="auto"/>
                      <w:sz w:val="21"/>
                      <w:szCs w:val="21"/>
                    </w:rPr>
                  </w:pPr>
                  <w:r>
                    <w:rPr>
                      <w:b/>
                      <w:bCs/>
                      <w:color w:val="auto"/>
                      <w:sz w:val="21"/>
                      <w:szCs w:val="21"/>
                    </w:rPr>
                    <w:t>要求</w:t>
                  </w:r>
                </w:p>
              </w:tc>
              <w:tc>
                <w:tcPr>
                  <w:tcW w:w="2625" w:type="dxa"/>
                  <w:tcBorders>
                    <w:tl2br w:val="nil"/>
                    <w:tr2bl w:val="nil"/>
                  </w:tcBorders>
                  <w:vAlign w:val="center"/>
                </w:tcPr>
                <w:p>
                  <w:pPr>
                    <w:jc w:val="center"/>
                    <w:rPr>
                      <w:b/>
                      <w:bCs/>
                      <w:color w:val="auto"/>
                      <w:sz w:val="21"/>
                      <w:szCs w:val="21"/>
                    </w:rPr>
                  </w:pPr>
                  <w:r>
                    <w:rPr>
                      <w:b/>
                      <w:bCs/>
                      <w:color w:val="auto"/>
                      <w:sz w:val="21"/>
                      <w:szCs w:val="21"/>
                    </w:rPr>
                    <w:t>本项目</w:t>
                  </w:r>
                </w:p>
              </w:tc>
              <w:tc>
                <w:tcPr>
                  <w:tcW w:w="572" w:type="dxa"/>
                  <w:tcBorders>
                    <w:tl2br w:val="nil"/>
                    <w:tr2bl w:val="nil"/>
                  </w:tcBorders>
                  <w:vAlign w:val="center"/>
                </w:tcPr>
                <w:p>
                  <w:pPr>
                    <w:jc w:val="center"/>
                    <w:rPr>
                      <w:b/>
                      <w:bCs/>
                      <w:color w:val="auto"/>
                      <w:sz w:val="21"/>
                      <w:szCs w:val="21"/>
                    </w:rPr>
                  </w:pPr>
                  <w:r>
                    <w:rPr>
                      <w:rFonts w:hint="eastAsia"/>
                      <w:b/>
                      <w:bCs/>
                      <w:color w:val="auto"/>
                      <w:sz w:val="21"/>
                      <w:szCs w:val="21"/>
                    </w:rPr>
                    <w:t>结论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4740"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优化产业结构。引导石化、化工、工业涂装、包装印刷、合成革、化纤、纺织印染等重点行业合理布局，限制高VOCs排放化工类建设项目，禁止建设生产和使用VOCs含量限值不符合国家标准的涂料、油墨、胶粘剂、清洗剂等项目。贯彻落实《产业结构调整指导目录》《国家鼓励的有毒有害原料（产品）替代品目录》，依法依规淘汰涉VOCs排放工艺和装备，加大引导退出限制类工艺和装备力度，从源头减少涉VOCs污染物产生。</w:t>
                  </w:r>
                </w:p>
              </w:tc>
              <w:tc>
                <w:tcPr>
                  <w:tcW w:w="2625" w:type="dxa"/>
                  <w:tcBorders>
                    <w:tl2br w:val="nil"/>
                    <w:tr2bl w:val="nil"/>
                  </w:tcBorders>
                  <w:vAlign w:val="center"/>
                </w:tcPr>
                <w:p>
                  <w:pPr>
                    <w:keepNext w:val="0"/>
                    <w:keepLines w:val="0"/>
                    <w:widowControl/>
                    <w:suppressLineNumbers w:val="0"/>
                    <w:jc w:val="left"/>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本项目</w:t>
                  </w:r>
                  <w:r>
                    <w:rPr>
                      <w:rFonts w:hint="eastAsia" w:ascii="宋体" w:hAnsi="宋体" w:eastAsia="宋体" w:cs="宋体"/>
                      <w:color w:val="auto"/>
                      <w:kern w:val="0"/>
                      <w:sz w:val="21"/>
                      <w:szCs w:val="21"/>
                      <w:lang w:val="en-US" w:eastAsia="zh-CN" w:bidi="ar"/>
                    </w:rPr>
                    <w:t>不属于高</w:t>
                  </w:r>
                  <w:r>
                    <w:rPr>
                      <w:rFonts w:hint="default" w:ascii="Times New Roman" w:hAnsi="Times New Roman" w:eastAsia="宋体" w:cs="Times New Roman"/>
                      <w:color w:val="auto"/>
                      <w:kern w:val="0"/>
                      <w:sz w:val="21"/>
                      <w:szCs w:val="21"/>
                      <w:lang w:val="en-US" w:eastAsia="zh-CN" w:bidi="ar"/>
                    </w:rPr>
                    <w:t>VOCs</w:t>
                  </w:r>
                  <w:r>
                    <w:rPr>
                      <w:rFonts w:hint="eastAsia" w:ascii="宋体" w:hAnsi="宋体" w:eastAsia="宋体" w:cs="宋体"/>
                      <w:color w:val="auto"/>
                      <w:kern w:val="0"/>
                      <w:sz w:val="21"/>
                      <w:szCs w:val="21"/>
                      <w:lang w:val="en-US" w:eastAsia="zh-CN" w:bidi="ar"/>
                    </w:rPr>
                    <w:t>排放化工类建设项目</w:t>
                  </w:r>
                  <w:r>
                    <w:rPr>
                      <w:rFonts w:hint="eastAsia" w:ascii="Times New Roman" w:hAnsi="Times New Roman" w:eastAsia="宋体" w:cs="Times New Roman"/>
                      <w:color w:val="auto"/>
                      <w:sz w:val="21"/>
                      <w:szCs w:val="21"/>
                    </w:rPr>
                    <w:t>，使用</w:t>
                  </w:r>
                  <w:r>
                    <w:rPr>
                      <w:rFonts w:hint="eastAsia" w:ascii="Times New Roman" w:hAnsi="Times New Roman" w:eastAsia="宋体" w:cs="Times New Roman"/>
                      <w:color w:val="auto"/>
                      <w:sz w:val="21"/>
                      <w:szCs w:val="21"/>
                      <w:lang w:val="en-US" w:eastAsia="zh-CN"/>
                    </w:rPr>
                    <w:t>的</w:t>
                  </w:r>
                  <w:r>
                    <w:rPr>
                      <w:rFonts w:hint="eastAsia" w:cs="Times New Roman"/>
                      <w:color w:val="auto"/>
                      <w:sz w:val="21"/>
                      <w:szCs w:val="21"/>
                      <w:lang w:val="en-US" w:eastAsia="zh-CN"/>
                    </w:rPr>
                    <w:t>涂料</w:t>
                  </w:r>
                  <w:r>
                    <w:rPr>
                      <w:rFonts w:hint="eastAsia" w:ascii="Times New Roman" w:hAnsi="Times New Roman" w:eastAsia="宋体" w:cs="Times New Roman"/>
                      <w:color w:val="auto"/>
                      <w:sz w:val="21"/>
                      <w:szCs w:val="21"/>
                      <w:lang w:val="en-US" w:eastAsia="zh-CN"/>
                    </w:rPr>
                    <w:t>属于低挥发性</w:t>
                  </w:r>
                  <w:r>
                    <w:rPr>
                      <w:rFonts w:hint="eastAsia" w:ascii="Times New Roman" w:hAnsi="Times New Roman" w:eastAsia="宋体" w:cs="Times New Roman"/>
                      <w:color w:val="auto"/>
                      <w:sz w:val="21"/>
                      <w:szCs w:val="21"/>
                    </w:rPr>
                    <w:t>，符合《产业结构调整指导目录》、《国家鼓励的有毒有害原料（产品）替代品目录》；使用新型设备，不属于限制类工艺和装备。</w:t>
                  </w:r>
                </w:p>
              </w:tc>
              <w:tc>
                <w:tcPr>
                  <w:tcW w:w="572" w:type="dxa"/>
                  <w:tcBorders>
                    <w:tl2br w:val="nil"/>
                    <w:tr2bl w:val="nil"/>
                  </w:tcBorders>
                  <w:vAlign w:val="center"/>
                </w:tcPr>
                <w:p>
                  <w:pPr>
                    <w:jc w:val="center"/>
                    <w:rPr>
                      <w:color w:val="auto"/>
                      <w:sz w:val="21"/>
                      <w:szCs w:val="21"/>
                    </w:rPr>
                  </w:pPr>
                  <w:r>
                    <w:rPr>
                      <w:color w:val="auto"/>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4740"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严格环境准入。严格执行“三线一单”为核心的生态环境分区管控体系，制（修）订纺织印染（数码喷印）等行业绿色准入指导意见。严格执行建设项目新增VOCs排放量区域削减替代规定，削减措施原则上应优先来源于纳入排污许可管理的排污单位采取的治理措施，并与建设项目位于同一设区市。上一年度环境空气质量达标的区域，对石化等行业的建设项目VOCs排放量实行等量削减；上一年度环境空气质量不达标的区域，对石化等行业的建设项目VOCs排放量实行2倍量削减，直至达标后的下一年再恢复等量削减</w:t>
                  </w:r>
                </w:p>
              </w:tc>
              <w:tc>
                <w:tcPr>
                  <w:tcW w:w="2625"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本项目选址于</w:t>
                  </w:r>
                  <w:r>
                    <w:rPr>
                      <w:rFonts w:hint="eastAsia" w:cs="Times New Roman"/>
                      <w:color w:val="auto"/>
                      <w:sz w:val="21"/>
                      <w:szCs w:val="21"/>
                      <w:lang w:eastAsia="zh-CN"/>
                    </w:rPr>
                    <w:t>德清县钟管镇横塘桥路2号</w:t>
                  </w:r>
                  <w:r>
                    <w:rPr>
                      <w:rFonts w:hint="eastAsia" w:ascii="Times New Roman" w:hAnsi="Times New Roman" w:eastAsia="宋体" w:cs="Times New Roman"/>
                      <w:color w:val="auto"/>
                      <w:sz w:val="21"/>
                      <w:szCs w:val="21"/>
                    </w:rPr>
                    <w:t>，符合“三线一单”管控要求，</w:t>
                  </w:r>
                  <w:r>
                    <w:rPr>
                      <w:rFonts w:hint="default" w:ascii="Times New Roman" w:hAnsi="Times New Roman" w:eastAsia="宋体" w:cs="Times New Roman"/>
                      <w:color w:val="auto"/>
                      <w:sz w:val="21"/>
                      <w:szCs w:val="21"/>
                      <w:lang w:val="en-US" w:eastAsia="zh-CN"/>
                    </w:rPr>
                    <w:t>VOCs从</w:t>
                  </w:r>
                  <w:r>
                    <w:rPr>
                      <w:rFonts w:hint="eastAsia" w:ascii="Times New Roman" w:hAnsi="Times New Roman" w:eastAsia="宋体" w:cs="Times New Roman"/>
                      <w:color w:val="auto"/>
                      <w:sz w:val="21"/>
                      <w:szCs w:val="21"/>
                      <w:lang w:eastAsia="zh-CN"/>
                    </w:rPr>
                    <w:t>浙江鑫桦钢管有限公司</w:t>
                  </w:r>
                  <w:r>
                    <w:rPr>
                      <w:rFonts w:hint="default" w:ascii="Times New Roman" w:hAnsi="Times New Roman" w:eastAsia="宋体" w:cs="Times New Roman"/>
                      <w:color w:val="auto"/>
                      <w:sz w:val="21"/>
                      <w:szCs w:val="21"/>
                      <w:lang w:val="en-US" w:eastAsia="zh-CN"/>
                    </w:rPr>
                    <w:t>原有项目中</w:t>
                  </w:r>
                  <w:r>
                    <w:rPr>
                      <w:rFonts w:hint="eastAsia" w:ascii="Times New Roman" w:hAnsi="Times New Roman" w:eastAsia="宋体" w:cs="Times New Roman"/>
                      <w:color w:val="auto"/>
                      <w:sz w:val="21"/>
                      <w:szCs w:val="21"/>
                      <w:lang w:val="en-US" w:eastAsia="zh-CN"/>
                    </w:rPr>
                    <w:t>“以新带老”</w:t>
                  </w:r>
                  <w:r>
                    <w:rPr>
                      <w:rFonts w:hint="default" w:ascii="Times New Roman" w:hAnsi="Times New Roman" w:eastAsia="宋体" w:cs="Times New Roman"/>
                      <w:color w:val="auto"/>
                      <w:sz w:val="21"/>
                      <w:szCs w:val="21"/>
                      <w:lang w:val="en-US" w:eastAsia="zh-CN"/>
                    </w:rPr>
                    <w:t>进行</w:t>
                  </w:r>
                  <w:r>
                    <w:rPr>
                      <w:rFonts w:hint="eastAsia" w:ascii="Times New Roman" w:hAnsi="Times New Roman" w:eastAsia="宋体" w:cs="Times New Roman"/>
                      <w:color w:val="auto"/>
                      <w:sz w:val="21"/>
                      <w:szCs w:val="21"/>
                      <w:lang w:val="en-US" w:eastAsia="zh-CN"/>
                    </w:rPr>
                    <w:t>削减</w:t>
                  </w:r>
                  <w:r>
                    <w:rPr>
                      <w:rFonts w:hint="default" w:ascii="Times New Roman" w:hAnsi="Times New Roman" w:eastAsia="宋体" w:cs="Times New Roman"/>
                      <w:color w:val="auto"/>
                      <w:sz w:val="21"/>
                      <w:szCs w:val="21"/>
                      <w:lang w:val="en-US" w:eastAsia="zh-CN"/>
                    </w:rPr>
                    <w:t>替代</w:t>
                  </w:r>
                  <w:r>
                    <w:rPr>
                      <w:rFonts w:hint="eastAsia" w:eastAsia="宋体" w:cs="Times New Roman"/>
                      <w:color w:val="auto"/>
                      <w:sz w:val="21"/>
                      <w:szCs w:val="21"/>
                      <w:lang w:val="en-US" w:eastAsia="zh-CN"/>
                    </w:rPr>
                    <w:t>。</w:t>
                  </w:r>
                </w:p>
              </w:tc>
              <w:tc>
                <w:tcPr>
                  <w:tcW w:w="572" w:type="dxa"/>
                  <w:tcBorders>
                    <w:tl2br w:val="nil"/>
                    <w:tr2bl w:val="nil"/>
                  </w:tcBorders>
                  <w:vAlign w:val="center"/>
                </w:tcPr>
                <w:p>
                  <w:pPr>
                    <w:jc w:val="center"/>
                    <w:rPr>
                      <w:color w:val="auto"/>
                      <w:sz w:val="21"/>
                      <w:szCs w:val="21"/>
                    </w:rPr>
                  </w:pPr>
                  <w:r>
                    <w:rPr>
                      <w:color w:val="auto"/>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4740" w:type="dxa"/>
                  <w:tcBorders>
                    <w:tl2br w:val="nil"/>
                    <w:tr2bl w:val="nil"/>
                  </w:tcBorders>
                  <w:vAlign w:val="center"/>
                </w:tcPr>
                <w:p>
                  <w:pP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全面提升生产工艺绿色化水平。石化、化工等行业应采用原辅材料利用率高、废弃物产生量少的生产工艺，提升生产装备水平，采用密闭化、连续化、自动化、管道化等生产技术，鼓励工艺装置采取重力流布置，推广采用油品在线调和技术、密闭式循环水冷却系统等。工业涂装行业重点推进使用紧凑式涂装工艺，推广采用辊涂、静电喷涂、高压无气喷涂、空气辅助无气喷涂、热喷涂、超临界二氧化碳喷涂等技术，鼓励企业采用自动化、智能化喷涂设备替代人工喷涂，减少使用空气喷涂技术。包装印刷行业推广使用无溶剂复合、共挤出复合技术，鼓励采用水性凹印、醇水凹印、辐射固化凹印、柔版印刷、无水胶印等印刷工艺。鼓励生产工艺装备落后、在既有基础上整改困难的企业推倒重建，从车间布局、工艺装备等方面全面提升治理水平。</w:t>
                  </w:r>
                </w:p>
              </w:tc>
              <w:tc>
                <w:tcPr>
                  <w:tcW w:w="2625" w:type="dxa"/>
                  <w:tcBorders>
                    <w:tl2br w:val="nil"/>
                    <w:tr2bl w:val="nil"/>
                  </w:tcBorders>
                  <w:vAlign w:val="center"/>
                </w:tcPr>
                <w:p>
                  <w:pPr>
                    <w:rPr>
                      <w:rFonts w:hint="eastAsia" w:ascii="Times New Roman" w:hAnsi="Times New Roman" w:eastAsia="宋体" w:cs="Times New Roman"/>
                      <w:color w:val="auto"/>
                      <w:sz w:val="21"/>
                      <w:szCs w:val="21"/>
                    </w:rPr>
                  </w:pPr>
                  <w:r>
                    <w:rPr>
                      <w:rFonts w:hint="eastAsia" w:ascii="宋体" w:hAnsi="宋体" w:eastAsia="宋体" w:cs="宋体"/>
                      <w:color w:val="auto"/>
                      <w:kern w:val="0"/>
                      <w:sz w:val="21"/>
                      <w:szCs w:val="21"/>
                      <w:lang w:val="en-US" w:eastAsia="zh-CN" w:bidi="ar"/>
                    </w:rPr>
                    <w:t>本项目</w:t>
                  </w:r>
                  <w:r>
                    <w:rPr>
                      <w:rFonts w:hint="eastAsia" w:ascii="宋体" w:hAnsi="宋体" w:cs="宋体"/>
                      <w:color w:val="auto"/>
                      <w:kern w:val="0"/>
                      <w:sz w:val="21"/>
                      <w:szCs w:val="21"/>
                      <w:lang w:val="en-US" w:eastAsia="zh-CN" w:bidi="ar"/>
                    </w:rPr>
                    <w:t>全面</w:t>
                  </w:r>
                  <w:r>
                    <w:rPr>
                      <w:rFonts w:hint="eastAsia" w:ascii="宋体" w:hAnsi="宋体" w:eastAsia="宋体" w:cs="宋体"/>
                      <w:color w:val="auto"/>
                      <w:kern w:val="0"/>
                      <w:sz w:val="21"/>
                      <w:szCs w:val="21"/>
                      <w:lang w:val="en-US" w:eastAsia="zh-CN" w:bidi="ar"/>
                    </w:rPr>
                    <w:t>提升生产装备水平。项目采用静电喷涂技术。</w:t>
                  </w:r>
                </w:p>
              </w:tc>
              <w:tc>
                <w:tcPr>
                  <w:tcW w:w="572" w:type="dxa"/>
                  <w:tcBorders>
                    <w:tl2br w:val="nil"/>
                    <w:tr2bl w:val="nil"/>
                  </w:tcBorders>
                  <w:vAlign w:val="center"/>
                </w:tcPr>
                <w:p>
                  <w:pPr>
                    <w:jc w:val="center"/>
                    <w:rPr>
                      <w:rFonts w:hint="eastAsia" w:eastAsia="宋体"/>
                      <w:color w:val="auto"/>
                      <w:sz w:val="21"/>
                      <w:szCs w:val="21"/>
                      <w:lang w:val="en-US" w:eastAsia="zh-CN"/>
                    </w:rPr>
                  </w:pPr>
                  <w:r>
                    <w:rPr>
                      <w:rFonts w:hint="eastAsia"/>
                      <w:color w:val="auto"/>
                      <w:sz w:val="21"/>
                      <w:szCs w:val="21"/>
                      <w:lang w:val="en-US" w:eastAsia="zh-CN"/>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4740"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严格控制无组织排放。在保证安全前提下，加强含VOCs物料全方位、全链条、全环节密闭管理，做好VOCs物料储存、转移和输送、设备与管线组件泄漏、敞开液面逸散以及工艺过程等无组织排放环节的管理。生产应优先采用密闭设备、在密闭空间中操作或采用全密闭集气罩收集方式，原则上应保持微负压状态，并根据相关规范合理设置通风量；采用局部集气罩的，距集气罩开口面最远处的VOCs无组织排放位置控制风速应不低于0.3米/秒。对VOCs物料储罐和污水集输、储存、处理设施开展排查，督促企业按要求开展专项治理。</w:t>
                  </w:r>
                </w:p>
              </w:tc>
              <w:tc>
                <w:tcPr>
                  <w:tcW w:w="2625"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本项目严格控制无组织排放，生产将优先采用密闭设备，原则上保持微负压状态，并根据相关规范合理设置通风量；进出口位置设集气罩，距集气罩开口面最远处的</w:t>
                  </w:r>
                  <w:r>
                    <w:rPr>
                      <w:rFonts w:hint="default" w:ascii="Times New Roman" w:hAnsi="Times New Roman" w:eastAsia="宋体" w:cs="Times New Roman"/>
                      <w:color w:val="auto"/>
                      <w:sz w:val="21"/>
                      <w:szCs w:val="21"/>
                    </w:rPr>
                    <w:t>VOCs</w:t>
                  </w:r>
                  <w:r>
                    <w:rPr>
                      <w:rFonts w:hint="eastAsia" w:ascii="Times New Roman" w:hAnsi="Times New Roman" w:eastAsia="宋体" w:cs="Times New Roman"/>
                      <w:color w:val="auto"/>
                      <w:sz w:val="21"/>
                      <w:szCs w:val="21"/>
                    </w:rPr>
                    <w:t>无组织排放位置控制风速不低于</w:t>
                  </w:r>
                  <w:r>
                    <w:rPr>
                      <w:rFonts w:hint="default" w:ascii="Times New Roman" w:hAnsi="Times New Roman" w:eastAsia="宋体" w:cs="Times New Roman"/>
                      <w:color w:val="auto"/>
                      <w:sz w:val="21"/>
                      <w:szCs w:val="21"/>
                    </w:rPr>
                    <w:t>0.3</w:t>
                  </w:r>
                  <w:r>
                    <w:rPr>
                      <w:rFonts w:hint="eastAsia" w:ascii="Times New Roman" w:hAnsi="Times New Roman" w:eastAsia="宋体" w:cs="Times New Roman"/>
                      <w:color w:val="auto"/>
                      <w:sz w:val="21"/>
                      <w:szCs w:val="21"/>
                    </w:rPr>
                    <w:t>米</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rPr>
                    <w:t>秒。由专业单位对废气处理装置进行设计。</w:t>
                  </w:r>
                </w:p>
              </w:tc>
              <w:tc>
                <w:tcPr>
                  <w:tcW w:w="572" w:type="dxa"/>
                  <w:tcBorders>
                    <w:tl2br w:val="nil"/>
                    <w:tr2bl w:val="nil"/>
                  </w:tcBorders>
                  <w:vAlign w:val="center"/>
                </w:tcPr>
                <w:p>
                  <w:pPr>
                    <w:jc w:val="center"/>
                    <w:rPr>
                      <w:color w:val="auto"/>
                      <w:sz w:val="21"/>
                      <w:szCs w:val="21"/>
                    </w:rPr>
                  </w:pPr>
                  <w:r>
                    <w:rPr>
                      <w:rFonts w:hint="eastAsia"/>
                      <w:color w:val="auto"/>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4740"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建设适宜高效的治理设施。企业新建治理设施或对现有治理设施实施改造，应结合排放VOCs产生特征、生产工况等合理选择治理技术，对治理难度大、单一治理工艺难以稳定达标的，要采用多种技术的组合工艺。采用活性炭吸附技术的，吸附装置和活性炭应符合相关技术要求，并按要求足量添加、定期更换活性炭。组织开展使用光催化、光氧化、低温等离子、一次性活性炭或上述组合技术等VOCs治理设施排查，对达不到要求的，应当更换或升级改造，实现稳定达标排放。到2025年，完成5000家低效VOCs治理设施改造升级，石化行业的VOCs综合去除效率达到70%以上，化工、工业涂装、包装印刷、合成革等行业的VOCs综合去除效率达到60%以上。</w:t>
                  </w:r>
                </w:p>
              </w:tc>
              <w:tc>
                <w:tcPr>
                  <w:tcW w:w="2625"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根据企业提供的废气处理方案，</w:t>
                  </w:r>
                  <w:r>
                    <w:rPr>
                      <w:rFonts w:hint="eastAsia"/>
                      <w:color w:val="auto"/>
                      <w:sz w:val="21"/>
                      <w:szCs w:val="21"/>
                    </w:rPr>
                    <w:t>废气收集后采用</w:t>
                  </w:r>
                  <w:r>
                    <w:rPr>
                      <w:rFonts w:hint="eastAsia"/>
                      <w:color w:val="auto"/>
                      <w:sz w:val="21"/>
                      <w:szCs w:val="21"/>
                      <w:lang w:val="en-US" w:eastAsia="zh-CN"/>
                    </w:rPr>
                    <w:t>水喷淋+干式过滤+活性炭吸附-脱附催化燃烧装置或</w:t>
                  </w:r>
                  <w:r>
                    <w:rPr>
                      <w:rFonts w:hint="eastAsia"/>
                      <w:color w:val="auto"/>
                      <w:sz w:val="21"/>
                      <w:szCs w:val="21"/>
                    </w:rPr>
                    <w:t>两级活性炭吸附装置处理</w:t>
                  </w:r>
                  <w:r>
                    <w:rPr>
                      <w:rFonts w:hint="eastAsia" w:ascii="Times New Roman" w:hAnsi="Times New Roman" w:eastAsia="宋体" w:cs="Times New Roman"/>
                      <w:color w:val="auto"/>
                      <w:sz w:val="21"/>
                      <w:szCs w:val="21"/>
                    </w:rPr>
                    <w:t>，按要求足量添加、定期更换活性炭，去除效率达到6</w:t>
                  </w:r>
                  <w:r>
                    <w:rPr>
                      <w:rFonts w:hint="eastAsia" w:cs="Times New Roman"/>
                      <w:color w:val="auto"/>
                      <w:sz w:val="21"/>
                      <w:szCs w:val="21"/>
                      <w:lang w:val="en-US" w:eastAsia="zh-CN"/>
                    </w:rPr>
                    <w:t>0</w:t>
                  </w:r>
                  <w:r>
                    <w:rPr>
                      <w:rFonts w:hint="eastAsia" w:ascii="Times New Roman" w:hAnsi="Times New Roman" w:eastAsia="宋体" w:cs="Times New Roman"/>
                      <w:color w:val="auto"/>
                      <w:sz w:val="21"/>
                      <w:szCs w:val="21"/>
                    </w:rPr>
                    <w:t>%</w:t>
                  </w:r>
                  <w:r>
                    <w:rPr>
                      <w:rFonts w:hint="eastAsia" w:cs="Times New Roman"/>
                      <w:color w:val="auto"/>
                      <w:sz w:val="21"/>
                      <w:szCs w:val="21"/>
                      <w:lang w:val="en-US" w:eastAsia="zh-CN"/>
                    </w:rPr>
                    <w:t>以上</w:t>
                  </w:r>
                  <w:r>
                    <w:rPr>
                      <w:rFonts w:hint="eastAsia" w:ascii="Times New Roman" w:hAnsi="Times New Roman" w:eastAsia="宋体" w:cs="Times New Roman"/>
                      <w:color w:val="auto"/>
                      <w:sz w:val="21"/>
                      <w:szCs w:val="21"/>
                    </w:rPr>
                    <w:t>。</w:t>
                  </w:r>
                </w:p>
              </w:tc>
              <w:tc>
                <w:tcPr>
                  <w:tcW w:w="572" w:type="dxa"/>
                  <w:tcBorders>
                    <w:tl2br w:val="nil"/>
                    <w:tr2bl w:val="nil"/>
                  </w:tcBorders>
                  <w:vAlign w:val="center"/>
                </w:tcPr>
                <w:p>
                  <w:pPr>
                    <w:jc w:val="center"/>
                    <w:rPr>
                      <w:color w:val="auto"/>
                      <w:sz w:val="21"/>
                      <w:szCs w:val="21"/>
                    </w:rPr>
                  </w:pPr>
                  <w:r>
                    <w:rPr>
                      <w:rFonts w:hint="eastAsia"/>
                      <w:color w:val="auto"/>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4740" w:type="dxa"/>
                  <w:tcBorders>
                    <w:tl2br w:val="nil"/>
                    <w:tr2bl w:val="nil"/>
                  </w:tcBorders>
                  <w:vAlign w:val="center"/>
                </w:tcPr>
                <w:p>
                  <w:pP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加强治理设施运行管理。按照</w:t>
                  </w:r>
                  <w:r>
                    <w:rPr>
                      <w:rFonts w:hint="eastAsia" w:ascii="Times New Roman" w:hAnsi="Times New Roman" w:eastAsia="宋体" w:cs="Times New Roman"/>
                      <w:color w:val="auto"/>
                      <w:sz w:val="21"/>
                      <w:szCs w:val="21"/>
                    </w:rPr>
                    <w:t>治理设施较</w:t>
                  </w:r>
                  <w:r>
                    <w:rPr>
                      <w:rFonts w:hint="default" w:ascii="Times New Roman" w:hAnsi="Times New Roman" w:eastAsia="宋体" w:cs="Times New Roman"/>
                      <w:color w:val="auto"/>
                      <w:sz w:val="21"/>
                      <w:szCs w:val="21"/>
                    </w:rPr>
                    <w:t>生产设备</w:t>
                  </w:r>
                  <w:r>
                    <w:rPr>
                      <w:rFonts w:hint="eastAsia"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rPr>
                    <w:t>先启后停</w:t>
                  </w:r>
                  <w:r>
                    <w:rPr>
                      <w:rFonts w:hint="eastAsia"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rPr>
                    <w:t>的原则提升治理设施</w:t>
                  </w:r>
                  <w:r>
                    <w:rPr>
                      <w:rFonts w:hint="eastAsia" w:ascii="Times New Roman" w:hAnsi="Times New Roman" w:eastAsia="宋体" w:cs="Times New Roman"/>
                      <w:color w:val="auto"/>
                      <w:sz w:val="21"/>
                      <w:szCs w:val="21"/>
                    </w:rPr>
                    <w:t>投运</w:t>
                  </w:r>
                  <w:r>
                    <w:rPr>
                      <w:rFonts w:hint="default" w:ascii="Times New Roman" w:hAnsi="Times New Roman" w:eastAsia="宋体" w:cs="Times New Roman"/>
                      <w:color w:val="auto"/>
                      <w:sz w:val="21"/>
                      <w:szCs w:val="21"/>
                    </w:rPr>
                    <w:t>率。根据处理工艺要求，在</w:t>
                  </w:r>
                  <w:r>
                    <w:rPr>
                      <w:rFonts w:hint="eastAsia" w:ascii="Times New Roman" w:hAnsi="Times New Roman" w:eastAsia="宋体" w:cs="Times New Roman"/>
                      <w:color w:val="auto"/>
                      <w:sz w:val="21"/>
                      <w:szCs w:val="21"/>
                    </w:rPr>
                    <w:t>治理</w:t>
                  </w:r>
                  <w:r>
                    <w:rPr>
                      <w:rFonts w:hint="default" w:ascii="Times New Roman" w:hAnsi="Times New Roman" w:eastAsia="宋体" w:cs="Times New Roman"/>
                      <w:color w:val="auto"/>
                      <w:sz w:val="21"/>
                      <w:szCs w:val="21"/>
                    </w:rPr>
                    <w:t>设施达到正常运行条件后方可启动生产设备，在生产设备停止、残留VOCs收集处理完毕后，方可停运</w:t>
                  </w:r>
                  <w:r>
                    <w:rPr>
                      <w:rFonts w:hint="eastAsia" w:ascii="Times New Roman" w:hAnsi="Times New Roman" w:eastAsia="宋体" w:cs="Times New Roman"/>
                      <w:color w:val="auto"/>
                      <w:sz w:val="21"/>
                      <w:szCs w:val="21"/>
                    </w:rPr>
                    <w:t>治理</w:t>
                  </w:r>
                  <w:r>
                    <w:rPr>
                      <w:rFonts w:hint="default" w:ascii="Times New Roman" w:hAnsi="Times New Roman" w:eastAsia="宋体" w:cs="Times New Roman"/>
                      <w:color w:val="auto"/>
                      <w:sz w:val="21"/>
                      <w:szCs w:val="21"/>
                    </w:rPr>
                    <w:t>设施。VOCs</w:t>
                  </w:r>
                  <w:r>
                    <w:rPr>
                      <w:rFonts w:hint="eastAsia" w:ascii="Times New Roman" w:hAnsi="Times New Roman" w:eastAsia="宋体" w:cs="Times New Roman"/>
                      <w:color w:val="auto"/>
                      <w:sz w:val="21"/>
                      <w:szCs w:val="21"/>
                    </w:rPr>
                    <w:t>治理设施</w:t>
                  </w:r>
                  <w:r>
                    <w:rPr>
                      <w:rFonts w:hint="default" w:ascii="Times New Roman" w:hAnsi="Times New Roman" w:eastAsia="宋体" w:cs="Times New Roman"/>
                      <w:color w:val="auto"/>
                      <w:sz w:val="21"/>
                      <w:szCs w:val="21"/>
                    </w:rPr>
                    <w:t>发生故障或检修时，对应生产设备应停止运行，待检修完毕后投入使用；因安全等因素生产设备不能停止或不能及时停止运行的，应设置废气应急处理设施或采取其他替代措施。</w:t>
                  </w:r>
                </w:p>
              </w:tc>
              <w:tc>
                <w:tcPr>
                  <w:tcW w:w="2625" w:type="dxa"/>
                  <w:tcBorders>
                    <w:tl2br w:val="nil"/>
                    <w:tr2bl w:val="nil"/>
                  </w:tcBorders>
                  <w:vAlign w:val="center"/>
                </w:tcPr>
                <w:p>
                  <w:pP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本项目建成后企业将建立治理设施运行管理制度，加强管理，确保废气达标排放。</w:t>
                  </w:r>
                </w:p>
              </w:tc>
              <w:tc>
                <w:tcPr>
                  <w:tcW w:w="572" w:type="dxa"/>
                  <w:tcBorders>
                    <w:tl2br w:val="nil"/>
                    <w:tr2bl w:val="nil"/>
                  </w:tcBorders>
                  <w:vAlign w:val="center"/>
                </w:tcPr>
                <w:p>
                  <w:pPr>
                    <w:jc w:val="center"/>
                    <w:rPr>
                      <w:color w:val="auto"/>
                      <w:sz w:val="21"/>
                      <w:szCs w:val="21"/>
                    </w:rPr>
                  </w:pPr>
                  <w:r>
                    <w:rPr>
                      <w:color w:val="auto"/>
                      <w:sz w:val="21"/>
                      <w:szCs w:val="21"/>
                    </w:rPr>
                    <w:t>符合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4740" w:type="dxa"/>
                  <w:tcBorders>
                    <w:tl2br w:val="nil"/>
                    <w:tr2bl w:val="nil"/>
                  </w:tcBorders>
                  <w:vAlign w:val="center"/>
                </w:tcPr>
                <w:p>
                  <w:pPr>
                    <w:tabs>
                      <w:tab w:val="left" w:pos="3255"/>
                    </w:tabs>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规范应急旁路排放管理。推动取消石化、化工、工业涂装、包装印刷、纺织印染等行业非必要的含VOCs排放</w:t>
                  </w:r>
                  <w:r>
                    <w:rPr>
                      <w:rFonts w:hint="eastAsia" w:ascii="Times New Roman" w:hAnsi="Times New Roman" w:eastAsia="宋体" w:cs="Times New Roman"/>
                      <w:color w:val="auto"/>
                      <w:sz w:val="21"/>
                      <w:szCs w:val="21"/>
                      <w:lang w:val="en-US" w:eastAsia="zh-CN"/>
                    </w:rPr>
                    <w:t>的</w:t>
                  </w:r>
                  <w:r>
                    <w:rPr>
                      <w:rFonts w:hint="default" w:ascii="Times New Roman" w:hAnsi="Times New Roman" w:eastAsia="宋体" w:cs="Times New Roman"/>
                      <w:color w:val="auto"/>
                      <w:sz w:val="21"/>
                      <w:szCs w:val="21"/>
                      <w:lang w:val="en-US" w:eastAsia="zh-CN"/>
                    </w:rPr>
                    <w:t>旁路</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因安全等</w:t>
                  </w:r>
                  <w:r>
                    <w:rPr>
                      <w:rFonts w:hint="eastAsia" w:ascii="Times New Roman" w:hAnsi="Times New Roman" w:eastAsia="宋体" w:cs="Times New Roman"/>
                      <w:color w:val="auto"/>
                      <w:sz w:val="21"/>
                      <w:szCs w:val="21"/>
                      <w:lang w:val="en-US" w:eastAsia="zh-CN"/>
                    </w:rPr>
                    <w:t>因素确须保留的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企业</w:t>
                  </w:r>
                  <w:r>
                    <w:rPr>
                      <w:rFonts w:hint="default" w:ascii="Times New Roman" w:hAnsi="Times New Roman" w:eastAsia="宋体" w:cs="Times New Roman"/>
                      <w:color w:val="auto"/>
                      <w:sz w:val="21"/>
                      <w:szCs w:val="21"/>
                      <w:lang w:val="en-US" w:eastAsia="zh-CN"/>
                    </w:rPr>
                    <w:t>应</w:t>
                  </w:r>
                  <w:r>
                    <w:rPr>
                      <w:rFonts w:hint="eastAsia" w:ascii="Times New Roman" w:hAnsi="Times New Roman" w:eastAsia="宋体" w:cs="Times New Roman"/>
                      <w:color w:val="auto"/>
                      <w:sz w:val="21"/>
                      <w:szCs w:val="21"/>
                      <w:lang w:val="en-US" w:eastAsia="zh-CN"/>
                    </w:rPr>
                    <w:t>将保留的应急旁路报</w:t>
                  </w:r>
                  <w:r>
                    <w:rPr>
                      <w:rFonts w:hint="default" w:ascii="Times New Roman" w:hAnsi="Times New Roman" w:eastAsia="宋体" w:cs="Times New Roman"/>
                      <w:color w:val="auto"/>
                      <w:sz w:val="21"/>
                      <w:szCs w:val="21"/>
                      <w:lang w:val="en-US" w:eastAsia="zh-CN"/>
                    </w:rPr>
                    <w:t>当地生态环境部门。</w:t>
                  </w:r>
                  <w:r>
                    <w:rPr>
                      <w:rFonts w:hint="eastAsia" w:ascii="Times New Roman" w:hAnsi="Times New Roman" w:eastAsia="宋体" w:cs="Times New Roman"/>
                      <w:color w:val="auto"/>
                      <w:sz w:val="21"/>
                      <w:szCs w:val="21"/>
                      <w:lang w:val="en-US" w:eastAsia="zh-CN"/>
                    </w:rPr>
                    <w:t>应急</w:t>
                  </w:r>
                  <w:r>
                    <w:rPr>
                      <w:rFonts w:hint="default" w:ascii="Times New Roman" w:hAnsi="Times New Roman" w:eastAsia="宋体" w:cs="Times New Roman"/>
                      <w:color w:val="auto"/>
                      <w:sz w:val="21"/>
                      <w:szCs w:val="21"/>
                      <w:lang w:val="en-US" w:eastAsia="zh-CN"/>
                    </w:rPr>
                    <w:t>旁路在非紧急情况下保持关闭，并通过铅封、安装监控（如流量、温度、压差、阀门开度、视频等）设施等加强监管，开启后应做好台账记录并及时向当地生态环境部门报告。</w:t>
                  </w:r>
                </w:p>
              </w:tc>
              <w:tc>
                <w:tcPr>
                  <w:tcW w:w="2625" w:type="dxa"/>
                  <w:tcBorders>
                    <w:tl2br w:val="nil"/>
                    <w:tr2bl w:val="nil"/>
                  </w:tcBorders>
                  <w:vAlign w:val="center"/>
                </w:tcPr>
                <w:p>
                  <w:pPr>
                    <w:tabs>
                      <w:tab w:val="left" w:pos="3255"/>
                    </w:tabs>
                    <w:jc w:val="left"/>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项目建成后，企业承诺不设置含VOCs排放的旁路管道。</w:t>
                  </w:r>
                </w:p>
              </w:tc>
              <w:tc>
                <w:tcPr>
                  <w:tcW w:w="572" w:type="dxa"/>
                  <w:tcBorders>
                    <w:tl2br w:val="nil"/>
                    <w:tr2bl w:val="nil"/>
                  </w:tcBorders>
                  <w:vAlign w:val="center"/>
                </w:tcPr>
                <w:p>
                  <w:pPr>
                    <w:jc w:val="center"/>
                    <w:rPr>
                      <w:color w:val="auto"/>
                      <w:sz w:val="21"/>
                      <w:szCs w:val="21"/>
                    </w:rPr>
                  </w:pPr>
                  <w:r>
                    <w:rPr>
                      <w:rFonts w:hint="eastAsia"/>
                      <w:color w:val="auto"/>
                      <w:sz w:val="21"/>
                      <w:szCs w:val="21"/>
                    </w:rPr>
                    <w:t>符合</w:t>
                  </w:r>
                </w:p>
              </w:tc>
            </w:tr>
          </w:tbl>
          <w:p>
            <w:pPr>
              <w:pStyle w:val="120"/>
              <w:spacing w:line="360" w:lineRule="auto"/>
              <w:ind w:left="60" w:leftChars="25" w:right="60" w:rightChars="25" w:firstLine="482" w:firstLineChars="200"/>
              <w:rPr>
                <w:rFonts w:hint="default" w:ascii="Times New Roman" w:hAnsi="Times New Roman" w:eastAsia="宋体" w:cs="Times New Roman"/>
                <w:bCs/>
                <w:color w:val="auto"/>
                <w:lang w:val="en-US" w:eastAsia="zh-CN"/>
              </w:rPr>
            </w:pPr>
            <w:r>
              <w:rPr>
                <w:rFonts w:hint="default" w:ascii="Times New Roman" w:hAnsi="Times New Roman" w:cs="Times New Roman"/>
                <w:b/>
                <w:bCs/>
                <w:color w:val="auto"/>
              </w:rPr>
              <w:t>符合性分析：</w:t>
            </w:r>
            <w:r>
              <w:rPr>
                <w:rFonts w:ascii="Times New Roman" w:cs="Times New Roman"/>
                <w:color w:val="auto"/>
              </w:rPr>
              <w:t>本项目符合《浙江省“十四五”挥发性有机物综合治理方案》相关要求。</w:t>
            </w:r>
          </w:p>
          <w:p>
            <w:pPr>
              <w:pStyle w:val="120"/>
              <w:spacing w:line="360" w:lineRule="auto"/>
              <w:ind w:left="60" w:leftChars="25" w:right="60" w:rightChars="25" w:firstLine="480" w:firstLineChars="200"/>
              <w:rPr>
                <w:rFonts w:hint="default" w:ascii="Times New Roman" w:hAnsi="Times New Roman" w:eastAsia="宋体" w:cs="Times New Roman"/>
                <w:bCs/>
                <w:color w:val="FF0000"/>
                <w:lang w:val="en-US" w:eastAsia="zh-CN"/>
              </w:rPr>
            </w:pPr>
          </w:p>
          <w:p>
            <w:pPr>
              <w:spacing w:line="360" w:lineRule="auto"/>
              <w:ind w:right="60" w:rightChars="25" w:firstLine="241" w:firstLineChars="100"/>
              <w:rPr>
                <w:b/>
                <w:color w:val="auto"/>
              </w:rPr>
            </w:pPr>
            <w:r>
              <w:rPr>
                <w:rFonts w:hint="eastAsia"/>
                <w:b/>
                <w:color w:val="auto"/>
                <w:lang w:val="en-US" w:eastAsia="zh-CN"/>
              </w:rPr>
              <w:t>10</w:t>
            </w:r>
            <w:r>
              <w:rPr>
                <w:rFonts w:hint="eastAsia"/>
                <w:b/>
                <w:color w:val="auto"/>
              </w:rPr>
              <w:t>、《浙江省工业企业恶臭异味管控技术指南（试行）》符合性分析</w:t>
            </w:r>
          </w:p>
          <w:p>
            <w:pPr>
              <w:pStyle w:val="120"/>
              <w:spacing w:line="360" w:lineRule="auto"/>
              <w:ind w:left="60" w:leftChars="25" w:right="60" w:rightChars="25" w:firstLine="480" w:firstLineChars="200"/>
              <w:rPr>
                <w:rFonts w:ascii="Times New Roman" w:cs="Times New Roman"/>
                <w:color w:val="auto"/>
              </w:rPr>
            </w:pPr>
            <w:r>
              <w:rPr>
                <w:rFonts w:hint="eastAsia" w:ascii="Times New Roman" w:cs="Times New Roman"/>
                <w:color w:val="auto"/>
              </w:rPr>
              <w:t>对照《浙江省工业企业恶臭异味管控技术指南（试行）》中关于</w:t>
            </w:r>
            <w:r>
              <w:rPr>
                <w:rFonts w:hint="eastAsia" w:ascii="Times New Roman" w:cs="Times New Roman"/>
                <w:color w:val="auto"/>
                <w:lang w:val="en-US" w:eastAsia="zh-CN"/>
              </w:rPr>
              <w:t>工业涂装</w:t>
            </w:r>
            <w:r>
              <w:rPr>
                <w:rFonts w:ascii="宋体" w:hAnsi="宋体" w:eastAsia="宋体" w:cs="宋体"/>
                <w:color w:val="auto"/>
                <w:sz w:val="24"/>
                <w:szCs w:val="24"/>
              </w:rPr>
              <w:t>行业</w:t>
            </w:r>
            <w:r>
              <w:rPr>
                <w:rFonts w:hint="eastAsia" w:ascii="Times New Roman" w:cs="Times New Roman"/>
                <w:color w:val="auto"/>
              </w:rPr>
              <w:t>的相关要求，详见表1-</w:t>
            </w:r>
            <w:r>
              <w:rPr>
                <w:rFonts w:hint="eastAsia" w:ascii="Times New Roman" w:cs="Times New Roman"/>
                <w:color w:val="auto"/>
                <w:lang w:val="en-US" w:eastAsia="zh-CN"/>
              </w:rPr>
              <w:t>7</w:t>
            </w:r>
            <w:r>
              <w:rPr>
                <w:rFonts w:hint="eastAsia" w:ascii="Times New Roman" w:cs="Times New Roman"/>
                <w:color w:val="auto"/>
              </w:rPr>
              <w:t>。</w:t>
            </w:r>
          </w:p>
          <w:p>
            <w:pPr>
              <w:pStyle w:val="120"/>
              <w:spacing w:line="360" w:lineRule="auto"/>
              <w:jc w:val="center"/>
              <w:rPr>
                <w:rFonts w:ascii="Times New Roman" w:cs="Times New Roman"/>
                <w:b/>
                <w:bCs/>
                <w:color w:val="auto"/>
              </w:rPr>
            </w:pPr>
            <w:r>
              <w:rPr>
                <w:rFonts w:ascii="Times New Roman" w:cs="Times New Roman"/>
                <w:b/>
                <w:bCs/>
                <w:color w:val="auto"/>
              </w:rPr>
              <w:t>表1-</w:t>
            </w:r>
            <w:r>
              <w:rPr>
                <w:rFonts w:hint="eastAsia" w:ascii="Times New Roman" w:cs="Times New Roman"/>
                <w:b/>
                <w:bCs/>
                <w:color w:val="auto"/>
                <w:lang w:val="en-US" w:eastAsia="zh-CN"/>
              </w:rPr>
              <w:t>7</w:t>
            </w:r>
            <w:r>
              <w:rPr>
                <w:rFonts w:hint="eastAsia" w:ascii="Times New Roman" w:cs="Times New Roman"/>
                <w:b/>
                <w:bCs/>
                <w:color w:val="auto"/>
              </w:rPr>
              <w:t xml:space="preserve">  浙江省工业企业恶臭异味管控技术指南符合性分析一览表</w:t>
            </w:r>
          </w:p>
          <w:tbl>
            <w:tblPr>
              <w:tblStyle w:val="29"/>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3"/>
              <w:gridCol w:w="1418"/>
              <w:gridCol w:w="3936"/>
              <w:gridCol w:w="1511"/>
              <w:gridCol w:w="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413"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jc w:val="center"/>
                    <w:textAlignment w:val="auto"/>
                    <w:rPr>
                      <w:rFonts w:hint="eastAsia" w:eastAsia="宋体"/>
                      <w:b/>
                      <w:bCs/>
                      <w:color w:val="auto"/>
                      <w:sz w:val="21"/>
                      <w:szCs w:val="21"/>
                      <w:lang w:val="en-US" w:eastAsia="zh-CN"/>
                    </w:rPr>
                  </w:pPr>
                  <w:r>
                    <w:rPr>
                      <w:rFonts w:hint="eastAsia"/>
                      <w:b/>
                      <w:bCs/>
                      <w:color w:val="auto"/>
                      <w:sz w:val="21"/>
                      <w:szCs w:val="21"/>
                      <w:lang w:val="en-US" w:eastAsia="zh-CN"/>
                    </w:rPr>
                    <w:t>行业</w:t>
                  </w:r>
                </w:p>
              </w:tc>
              <w:tc>
                <w:tcPr>
                  <w:tcW w:w="1418"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firstLineChars="0"/>
                    <w:jc w:val="center"/>
                    <w:textAlignment w:val="auto"/>
                    <w:rPr>
                      <w:rFonts w:hint="eastAsia" w:ascii="Times New Roman" w:hAnsi="Times New Roman" w:eastAsia="宋体" w:cs="Times New Roman"/>
                      <w:b/>
                      <w:bCs/>
                      <w:color w:val="auto"/>
                      <w:kern w:val="0"/>
                      <w:sz w:val="21"/>
                      <w:szCs w:val="21"/>
                      <w:lang w:val="en-US" w:eastAsia="zh-CN" w:bidi="ar-SA"/>
                    </w:rPr>
                  </w:pPr>
                  <w:r>
                    <w:rPr>
                      <w:rFonts w:hint="eastAsia"/>
                      <w:b/>
                      <w:bCs/>
                      <w:color w:val="auto"/>
                      <w:sz w:val="21"/>
                      <w:szCs w:val="21"/>
                    </w:rPr>
                    <w:t>排查重点</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jc w:val="center"/>
                    <w:textAlignment w:val="auto"/>
                    <w:rPr>
                      <w:b/>
                      <w:bCs/>
                      <w:color w:val="auto"/>
                      <w:sz w:val="21"/>
                      <w:szCs w:val="21"/>
                    </w:rPr>
                  </w:pPr>
                  <w:r>
                    <w:rPr>
                      <w:rFonts w:hint="eastAsia"/>
                      <w:b/>
                      <w:bCs/>
                      <w:color w:val="auto"/>
                      <w:sz w:val="21"/>
                      <w:szCs w:val="21"/>
                    </w:rPr>
                    <w:t>防治措施</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jc w:val="center"/>
                    <w:textAlignment w:val="auto"/>
                    <w:rPr>
                      <w:b/>
                      <w:bCs/>
                      <w:color w:val="auto"/>
                      <w:sz w:val="21"/>
                      <w:szCs w:val="21"/>
                    </w:rPr>
                  </w:pPr>
                  <w:r>
                    <w:rPr>
                      <w:rFonts w:hint="eastAsia"/>
                      <w:b/>
                      <w:bCs/>
                      <w:color w:val="auto"/>
                      <w:sz w:val="21"/>
                      <w:szCs w:val="21"/>
                    </w:rPr>
                    <w:t>本项目拟采取的措施</w:t>
                  </w:r>
                </w:p>
              </w:tc>
              <w:tc>
                <w:tcPr>
                  <w:tcW w:w="659"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jc w:val="center"/>
                    <w:textAlignment w:val="auto"/>
                    <w:rPr>
                      <w:b/>
                      <w:bCs/>
                      <w:color w:val="auto"/>
                      <w:sz w:val="21"/>
                      <w:szCs w:val="21"/>
                    </w:rPr>
                  </w:pPr>
                  <w:r>
                    <w:rPr>
                      <w:rFonts w:hint="eastAsia"/>
                      <w:b/>
                      <w:bCs/>
                      <w:color w:val="auto"/>
                      <w:sz w:val="21"/>
                      <w:szCs w:val="21"/>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413" w:type="dxa"/>
                  <w:vMerge w:val="restart"/>
                  <w:vAlign w:val="center"/>
                </w:tcPr>
                <w:p>
                  <w:pPr>
                    <w:keepNext w:val="0"/>
                    <w:keepLines w:val="0"/>
                    <w:pageBreakBefore w:val="0"/>
                    <w:widowControl w:val="0"/>
                    <w:kinsoku/>
                    <w:wordWrap/>
                    <w:overflowPunct/>
                    <w:topLinePunct w:val="0"/>
                    <w:autoSpaceDE/>
                    <w:autoSpaceDN/>
                    <w:bidi w:val="0"/>
                    <w:snapToGrid/>
                    <w:spacing w:line="280" w:lineRule="exact"/>
                    <w:textAlignment w:val="auto"/>
                    <w:rPr>
                      <w:rFonts w:hint="default" w:eastAsia="宋体"/>
                      <w:color w:val="auto"/>
                      <w:sz w:val="21"/>
                      <w:szCs w:val="21"/>
                      <w:lang w:val="en-US" w:eastAsia="zh-CN"/>
                    </w:rPr>
                  </w:pPr>
                  <w:r>
                    <w:rPr>
                      <w:rFonts w:hint="eastAsia"/>
                      <w:color w:val="auto"/>
                      <w:sz w:val="21"/>
                      <w:szCs w:val="21"/>
                      <w:lang w:val="en-US" w:eastAsia="zh-CN"/>
                    </w:rPr>
                    <w:t>工业涂装行业</w:t>
                  </w: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rFonts w:ascii="Times New Roman" w:hAnsi="Times New Roman" w:eastAsia="宋体" w:cs="Times New Roman"/>
                      <w:color w:val="auto"/>
                      <w:kern w:val="2"/>
                      <w:sz w:val="21"/>
                      <w:szCs w:val="21"/>
                      <w:lang w:val="en-US" w:eastAsia="zh-CN" w:bidi="ar-SA"/>
                    </w:rPr>
                  </w:pPr>
                  <w:r>
                    <w:rPr>
                      <w:color w:val="auto"/>
                      <w:sz w:val="21"/>
                      <w:szCs w:val="21"/>
                    </w:rPr>
                    <w:t>高污染原辅料替代、生产工艺环保先进性</w:t>
                  </w:r>
                </w:p>
              </w:tc>
              <w:tc>
                <w:tcPr>
                  <w:tcW w:w="3936" w:type="dxa"/>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auto"/>
                      <w:sz w:val="21"/>
                      <w:szCs w:val="21"/>
                    </w:rPr>
                  </w:pPr>
                  <w:r>
                    <w:rPr>
                      <w:color w:val="auto"/>
                      <w:sz w:val="21"/>
                      <w:szCs w:val="21"/>
                    </w:rPr>
                    <w:t>①采用水性涂料、UV固化涂料、粉末喷涂、高固体分涂料等环保型涂料替代技术；②采用高压无气喷涂、静电喷涂、流水线自动涂装等环保性能较高涂装工艺；</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采用</w:t>
                  </w:r>
                  <w:r>
                    <w:rPr>
                      <w:color w:val="auto"/>
                      <w:sz w:val="21"/>
                      <w:szCs w:val="21"/>
                    </w:rPr>
                    <w:t>末喷涂</w:t>
                  </w:r>
                  <w:r>
                    <w:rPr>
                      <w:rFonts w:hint="eastAsia"/>
                      <w:color w:val="auto"/>
                      <w:sz w:val="21"/>
                      <w:szCs w:val="21"/>
                      <w:lang w:val="en-US" w:eastAsia="zh-CN"/>
                    </w:rPr>
                    <w:t>及</w:t>
                  </w:r>
                  <w:r>
                    <w:rPr>
                      <w:color w:val="auto"/>
                      <w:sz w:val="21"/>
                      <w:szCs w:val="21"/>
                    </w:rPr>
                    <w:t>高固体分涂料</w:t>
                  </w:r>
                  <w:r>
                    <w:rPr>
                      <w:rFonts w:hint="eastAsia"/>
                      <w:color w:val="auto"/>
                      <w:sz w:val="21"/>
                      <w:szCs w:val="21"/>
                    </w:rPr>
                    <w:t>，</w:t>
                  </w:r>
                  <w:r>
                    <w:rPr>
                      <w:rFonts w:hint="eastAsia"/>
                      <w:color w:val="auto"/>
                      <w:sz w:val="21"/>
                      <w:szCs w:val="21"/>
                      <w:lang w:val="en-US" w:eastAsia="zh-CN"/>
                    </w:rPr>
                    <w:t>采用</w:t>
                  </w:r>
                  <w:r>
                    <w:rPr>
                      <w:color w:val="auto"/>
                      <w:sz w:val="21"/>
                      <w:szCs w:val="21"/>
                    </w:rPr>
                    <w:t>静电喷涂</w:t>
                  </w:r>
                  <w:r>
                    <w:rPr>
                      <w:rFonts w:hint="eastAsia"/>
                      <w:color w:val="auto"/>
                      <w:sz w:val="21"/>
                      <w:szCs w:val="21"/>
                    </w:rPr>
                    <w:t>工艺。</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413" w:type="dxa"/>
                  <w:vMerge w:val="continue"/>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FF0000"/>
                      <w:sz w:val="21"/>
                      <w:szCs w:val="21"/>
                    </w:rPr>
                  </w:pP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物料调配与运输方式</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firstLineChars="0"/>
                    <w:textAlignment w:val="auto"/>
                    <w:rPr>
                      <w:rFonts w:ascii="Times New Roman" w:hAnsi="Times New Roman" w:eastAsia="宋体" w:cs="Times New Roman"/>
                      <w:color w:val="auto"/>
                      <w:kern w:val="0"/>
                      <w:sz w:val="21"/>
                      <w:szCs w:val="21"/>
                      <w:lang w:val="en-US" w:eastAsia="zh-CN" w:bidi="ar-SA"/>
                    </w:rPr>
                  </w:pPr>
                  <w:r>
                    <w:rPr>
                      <w:rFonts w:hint="eastAsia"/>
                      <w:color w:val="auto"/>
                      <w:sz w:val="21"/>
                      <w:szCs w:val="21"/>
                    </w:rPr>
                    <w:t>①涂料、稀释剂、固化剂、清洗剂等VOCs物料密闭储存；②涂料、稀释剂、固化剂等VOCs物料的调配过程采用密闭设备或在密闭空间内操作，并设置专门的密闭调配间，调配废气排至收集处理系统；无法密闭的，采取局部气体收集措施；③含VOCs物料转运和输送采用集中供料系统，实现密闭管道输送；若采用密闭容器的输送方式，在涂装作业后将剩余的涂料等原辅材料送回调漆室或储存间；</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firstLineChars="0"/>
                    <w:textAlignment w:val="auto"/>
                    <w:rPr>
                      <w:rFonts w:hint="eastAsia" w:ascii="Times New Roman" w:hAnsi="Times New Roman" w:eastAsia="宋体" w:cs="Times New Roman"/>
                      <w:color w:val="auto"/>
                      <w:kern w:val="0"/>
                      <w:sz w:val="21"/>
                      <w:szCs w:val="21"/>
                      <w:lang w:val="en-US" w:eastAsia="zh-CN" w:bidi="ar-SA"/>
                    </w:rPr>
                  </w:pPr>
                  <w:r>
                    <w:rPr>
                      <w:rFonts w:hint="eastAsia"/>
                      <w:color w:val="auto"/>
                      <w:sz w:val="21"/>
                      <w:szCs w:val="21"/>
                    </w:rPr>
                    <w:t>本项目</w:t>
                  </w:r>
                  <w:r>
                    <w:rPr>
                      <w:color w:val="auto"/>
                      <w:sz w:val="21"/>
                      <w:szCs w:val="21"/>
                    </w:rPr>
                    <w:t>高固体分涂料</w:t>
                  </w:r>
                  <w:r>
                    <w:rPr>
                      <w:rFonts w:hint="eastAsia"/>
                      <w:color w:val="auto"/>
                      <w:sz w:val="21"/>
                      <w:szCs w:val="21"/>
                      <w:lang w:val="en-US" w:eastAsia="zh-CN"/>
                    </w:rPr>
                    <w:t>密闭储存，不设调漆工序，涂料采用密闭容器输送，剩余涂料运回储存间</w:t>
                  </w:r>
                  <w:r>
                    <w:rPr>
                      <w:rFonts w:hint="eastAsia"/>
                      <w:color w:val="auto"/>
                      <w:sz w:val="21"/>
                      <w:szCs w:val="21"/>
                    </w:rPr>
                    <w:t>。</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413" w:type="dxa"/>
                  <w:vMerge w:val="continue"/>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FF0000"/>
                      <w:sz w:val="21"/>
                      <w:szCs w:val="21"/>
                    </w:rPr>
                  </w:pP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生产、公用设施密闭性</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①除进出料口外，其余生产线须密闭；②废涂料、废稀释剂、废清洗剂、废漆渣、废活性炭等含VOCs废料（渣、液）以及VOCs物料废包装物等危险废物密封储存于危废储存间；③其中液态危废采用储罐、防渗的密闭地槽或外观整洁良好的密闭包装桶等，固态危废采用内衬塑料薄膜袋的编织袋密闭包装，半固态危废综合考虑其性状进行合理包装；</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lang w:val="en-US" w:eastAsia="zh-CN"/>
                    </w:rPr>
                    <w:t>油漆在密闭晾干房内晾干，</w:t>
                  </w:r>
                  <w:r>
                    <w:rPr>
                      <w:rFonts w:hint="eastAsia"/>
                      <w:color w:val="auto"/>
                      <w:sz w:val="21"/>
                      <w:szCs w:val="21"/>
                    </w:rPr>
                    <w:t>危险废物密封储存于危废储存间，且液态危废暂存于密闭包装桶。</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413" w:type="dxa"/>
                  <w:vMerge w:val="continue"/>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FF0000"/>
                      <w:sz w:val="21"/>
                      <w:szCs w:val="21"/>
                    </w:rPr>
                  </w:pP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rFonts w:ascii="Times New Roman" w:hAnsi="Times New Roman" w:eastAsia="宋体" w:cs="Times New Roman"/>
                      <w:color w:val="auto"/>
                      <w:kern w:val="2"/>
                      <w:sz w:val="21"/>
                      <w:szCs w:val="21"/>
                      <w:lang w:val="en-US" w:eastAsia="zh-CN" w:bidi="ar-SA"/>
                    </w:rPr>
                  </w:pPr>
                  <w:r>
                    <w:rPr>
                      <w:color w:val="auto"/>
                      <w:sz w:val="21"/>
                      <w:szCs w:val="21"/>
                    </w:rPr>
                    <w:t>废气收集方式</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①在不影响生产操作的同时，尽量减小密闭换风区域，提高废气收集处理效率，降低能耗；②因特殊原因无法实现全密闭的，采取有效的局部集气方式，控制点位收集风速不低于0.3m/s；</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lang w:val="en-US" w:eastAsia="zh-CN"/>
                    </w:rPr>
                    <w:t>喷漆及刷漆房密闭。</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413" w:type="dxa"/>
                  <w:vMerge w:val="continue"/>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FF0000"/>
                      <w:sz w:val="21"/>
                      <w:szCs w:val="21"/>
                    </w:rPr>
                  </w:pP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rFonts w:ascii="Times New Roman" w:hAnsi="Times New Roman" w:eastAsia="宋体" w:cs="Times New Roman"/>
                      <w:color w:val="auto"/>
                      <w:kern w:val="2"/>
                      <w:sz w:val="21"/>
                      <w:szCs w:val="21"/>
                      <w:lang w:val="en-US" w:eastAsia="zh-CN" w:bidi="ar-SA"/>
                    </w:rPr>
                  </w:pPr>
                  <w:r>
                    <w:rPr>
                      <w:color w:val="auto"/>
                      <w:sz w:val="21"/>
                      <w:szCs w:val="21"/>
                    </w:rPr>
                    <w:t>污水站高浓池体密闭性</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①污水处理站产生恶臭气体的区域加罩或加盖，使用合理的废气管网设计，密闭区域实现微负压；②投放除臭剂，收集恶臭气体到除臭装置处理后经排气筒排放；</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rFonts w:hint="eastAsia" w:eastAsia="宋体"/>
                      <w:color w:val="auto"/>
                      <w:sz w:val="21"/>
                      <w:szCs w:val="21"/>
                      <w:lang w:eastAsia="zh-CN"/>
                    </w:rPr>
                  </w:pPr>
                  <w:r>
                    <w:rPr>
                      <w:rFonts w:hint="eastAsia"/>
                      <w:color w:val="auto"/>
                      <w:sz w:val="21"/>
                      <w:szCs w:val="21"/>
                      <w:lang w:val="en-US" w:eastAsia="zh-CN"/>
                    </w:rPr>
                    <w:t>不涉及。</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jc w:val="center"/>
              </w:trPr>
              <w:tc>
                <w:tcPr>
                  <w:tcW w:w="413" w:type="dxa"/>
                  <w:vMerge w:val="continue"/>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FF0000"/>
                      <w:sz w:val="21"/>
                      <w:szCs w:val="21"/>
                    </w:rPr>
                  </w:pP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危废库异味管控</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①涉异味的危废采用密闭容器包装并及时清理，确保异味气体不外逸；②对库房内异味较重的危废库采取有效的废气收集、处理措施；</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液态危废密闭包装，本项目危废库异味较轻。</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413" w:type="dxa"/>
                  <w:vMerge w:val="continue"/>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auto"/>
                      <w:sz w:val="21"/>
                      <w:szCs w:val="21"/>
                    </w:rPr>
                  </w:pP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废气处理工艺适配性</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高浓度VOCs废气优先采用冷凝、吸附回收等技术对废气中的VOCs回收利用，并辅以催化燃烧热力燃烧等治理技术实现达标排放及VOCs减排。中、低浓度VOCs废气有回收价值时宜采用吸附技术回收处理，无回收价值时优先采用吸附浓缩－燃烧技术处理。</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对废气进行收集处理，产生的VOCs废气浓度较低，采用合适的活性炭吸附技术。</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413" w:type="dxa"/>
                  <w:vMerge w:val="continue"/>
                  <w:vAlign w:val="center"/>
                </w:tcPr>
                <w:p>
                  <w:pPr>
                    <w:keepNext w:val="0"/>
                    <w:keepLines w:val="0"/>
                    <w:pageBreakBefore w:val="0"/>
                    <w:widowControl w:val="0"/>
                    <w:kinsoku/>
                    <w:wordWrap/>
                    <w:overflowPunct/>
                    <w:topLinePunct w:val="0"/>
                    <w:autoSpaceDE/>
                    <w:autoSpaceDN/>
                    <w:bidi w:val="0"/>
                    <w:snapToGrid/>
                    <w:spacing w:line="280" w:lineRule="exact"/>
                    <w:textAlignment w:val="auto"/>
                    <w:rPr>
                      <w:color w:val="FF0000"/>
                      <w:sz w:val="21"/>
                      <w:szCs w:val="21"/>
                    </w:rPr>
                  </w:pPr>
                </w:p>
              </w:tc>
              <w:tc>
                <w:tcPr>
                  <w:tcW w:w="1418"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环境管理措施</w:t>
                  </w:r>
                </w:p>
              </w:tc>
              <w:tc>
                <w:tcPr>
                  <w:tcW w:w="3936"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根据实际情况优先采用污染预防技术，并采用适合的末端治理技术。按照HJ944的要求建立台账，记录含VOCs原辅材料的名称、采购量、使用量、回收量、废弃量、去向、VOCs含量，污染治理设施的工艺流程、设计参数、投运时间、启停时间、温度、风量，过滤材料更换时间和更换量，吸附剂脱附周期、更换时间和更换量，催化剂更换时间和更换量等信息。台账保存期限不少于三年。</w:t>
                  </w:r>
                </w:p>
              </w:tc>
              <w:tc>
                <w:tcPr>
                  <w:tcW w:w="1511" w:type="dxa"/>
                  <w:vAlign w:val="center"/>
                </w:tcPr>
                <w:p>
                  <w:pPr>
                    <w:pStyle w:val="8"/>
                    <w:keepNext w:val="0"/>
                    <w:keepLines w:val="0"/>
                    <w:pageBreakBefore w:val="0"/>
                    <w:widowControl w:val="0"/>
                    <w:kinsoku/>
                    <w:wordWrap/>
                    <w:overflowPunct/>
                    <w:topLinePunct w:val="0"/>
                    <w:autoSpaceDE/>
                    <w:autoSpaceDN/>
                    <w:bidi w:val="0"/>
                    <w:snapToGrid/>
                    <w:spacing w:line="280" w:lineRule="exact"/>
                    <w:ind w:firstLine="0"/>
                    <w:textAlignment w:val="auto"/>
                    <w:rPr>
                      <w:color w:val="auto"/>
                      <w:sz w:val="21"/>
                      <w:szCs w:val="21"/>
                    </w:rPr>
                  </w:pPr>
                  <w:r>
                    <w:rPr>
                      <w:rFonts w:hint="eastAsia"/>
                      <w:color w:val="auto"/>
                      <w:sz w:val="21"/>
                      <w:szCs w:val="21"/>
                    </w:rPr>
                    <w:t>项目实施后按照要求进行管理。</w:t>
                  </w:r>
                </w:p>
              </w:tc>
              <w:tc>
                <w:tcPr>
                  <w:tcW w:w="659" w:type="dxa"/>
                  <w:vAlign w:val="center"/>
                </w:tcPr>
                <w:p>
                  <w:pPr>
                    <w:keepNext w:val="0"/>
                    <w:keepLines w:val="0"/>
                    <w:pageBreakBefore w:val="0"/>
                    <w:widowControl w:val="0"/>
                    <w:kinsoku/>
                    <w:wordWrap/>
                    <w:overflowPunct/>
                    <w:topLinePunct w:val="0"/>
                    <w:autoSpaceDE/>
                    <w:autoSpaceDN/>
                    <w:bidi w:val="0"/>
                    <w:snapToGrid/>
                    <w:spacing w:line="280" w:lineRule="exact"/>
                    <w:jc w:val="center"/>
                    <w:textAlignment w:val="auto"/>
                    <w:rPr>
                      <w:rFonts w:hint="eastAsia"/>
                      <w:color w:val="auto"/>
                      <w:sz w:val="21"/>
                      <w:szCs w:val="21"/>
                    </w:rPr>
                  </w:pPr>
                  <w:r>
                    <w:rPr>
                      <w:rFonts w:hint="eastAsia"/>
                      <w:color w:val="auto"/>
                      <w:sz w:val="21"/>
                      <w:szCs w:val="21"/>
                    </w:rPr>
                    <w:t>符合</w:t>
                  </w:r>
                </w:p>
              </w:tc>
            </w:tr>
          </w:tbl>
          <w:p>
            <w:pPr>
              <w:pStyle w:val="120"/>
              <w:spacing w:line="360" w:lineRule="auto"/>
              <w:ind w:left="60" w:leftChars="25" w:right="60" w:rightChars="25" w:firstLine="480" w:firstLineChars="200"/>
              <w:rPr>
                <w:rFonts w:hint="default" w:ascii="Times New Roman" w:hAnsi="Times New Roman" w:eastAsia="宋体" w:cs="Times New Roman"/>
                <w:bCs/>
                <w:color w:val="FF0000"/>
                <w:lang w:val="en-US" w:eastAsia="zh-CN"/>
              </w:rPr>
            </w:pPr>
          </w:p>
          <w:p>
            <w:pPr>
              <w:spacing w:line="360" w:lineRule="auto"/>
              <w:ind w:right="60" w:rightChars="25" w:firstLine="241" w:firstLineChars="100"/>
              <w:rPr>
                <w:rFonts w:hint="eastAsia"/>
                <w:b/>
                <w:color w:val="auto"/>
              </w:rPr>
            </w:pPr>
            <w:r>
              <w:rPr>
                <w:rFonts w:hint="eastAsia"/>
                <w:b/>
                <w:color w:val="auto"/>
              </w:rPr>
              <w:t>1</w:t>
            </w:r>
            <w:r>
              <w:rPr>
                <w:rFonts w:hint="eastAsia"/>
                <w:b/>
                <w:color w:val="auto"/>
                <w:lang w:val="en-US" w:eastAsia="zh-CN"/>
              </w:rPr>
              <w:t>1</w:t>
            </w:r>
            <w:r>
              <w:rPr>
                <w:rFonts w:hint="eastAsia"/>
                <w:b/>
                <w:color w:val="auto"/>
              </w:rPr>
              <w:t>、</w:t>
            </w:r>
            <w:r>
              <w:rPr>
                <w:rFonts w:hint="eastAsia"/>
                <w:b/>
                <w:color w:val="auto"/>
                <w:lang w:val="en-US" w:eastAsia="zh-CN"/>
              </w:rPr>
              <w:t>《浙江省臭氧污染防治攻坚三年行动方案》（浙美丽办</w:t>
            </w:r>
            <w:r>
              <w:rPr>
                <w:rFonts w:hint="default"/>
                <w:b/>
                <w:color w:val="auto"/>
                <w:lang w:val="en-US" w:eastAsia="zh-CN"/>
              </w:rPr>
              <w:t>[2022]26</w:t>
            </w:r>
            <w:r>
              <w:rPr>
                <w:rFonts w:hint="eastAsia"/>
                <w:b/>
                <w:color w:val="auto"/>
                <w:lang w:val="en-US" w:eastAsia="zh-CN"/>
              </w:rPr>
              <w:t>号）符合性分析</w:t>
            </w:r>
          </w:p>
          <w:p>
            <w:pPr>
              <w:pStyle w:val="120"/>
              <w:spacing w:line="360" w:lineRule="auto"/>
              <w:ind w:left="60" w:leftChars="25" w:right="60" w:rightChars="25" w:firstLine="480" w:firstLineChars="200"/>
              <w:rPr>
                <w:rFonts w:hint="eastAsia" w:ascii="Times New Roman" w:hAnsi="Times New Roman" w:eastAsia="宋体" w:cs="Times New Roman"/>
                <w:color w:val="auto"/>
              </w:rPr>
            </w:pPr>
            <w:r>
              <w:rPr>
                <w:rFonts w:hint="eastAsia" w:ascii="Times New Roman" w:hAnsi="Times New Roman" w:eastAsia="宋体" w:cs="Times New Roman"/>
                <w:color w:val="auto"/>
                <w:lang w:val="en-US" w:eastAsia="zh-CN"/>
              </w:rPr>
              <w:t>参照《浙江省臭氧污染防治攻坚三年行动方案》中有关</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主要任务</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的内容进行对比分析，具体如下表1-</w:t>
            </w:r>
            <w:r>
              <w:rPr>
                <w:rFonts w:hint="eastAsia" w:ascii="Times New Roman" w:cs="Times New Roman"/>
                <w:color w:val="auto"/>
                <w:lang w:val="en-US" w:eastAsia="zh-CN"/>
              </w:rPr>
              <w:t>8</w:t>
            </w:r>
            <w:r>
              <w:rPr>
                <w:rFonts w:hint="eastAsia" w:ascii="Times New Roman" w:hAnsi="Times New Roman" w:eastAsia="宋体" w:cs="Times New Roman"/>
                <w:color w:val="auto"/>
                <w:lang w:val="en-US" w:eastAsia="zh-CN"/>
              </w:rPr>
              <w:t>所示。</w:t>
            </w:r>
          </w:p>
          <w:p>
            <w:pPr>
              <w:spacing w:line="360" w:lineRule="auto"/>
              <w:jc w:val="center"/>
              <w:rPr>
                <w:b/>
                <w:color w:val="auto"/>
              </w:rPr>
            </w:pPr>
            <w:r>
              <w:rPr>
                <w:rFonts w:hint="eastAsia"/>
                <w:b/>
                <w:color w:val="auto"/>
              </w:rPr>
              <w:t>表</w:t>
            </w:r>
            <w:r>
              <w:rPr>
                <w:b/>
                <w:color w:val="auto"/>
              </w:rPr>
              <w:t>1-</w:t>
            </w:r>
            <w:r>
              <w:rPr>
                <w:rFonts w:hint="eastAsia"/>
                <w:b/>
                <w:color w:val="auto"/>
                <w:lang w:val="en-US" w:eastAsia="zh-CN"/>
              </w:rPr>
              <w:t>8</w:t>
            </w:r>
            <w:r>
              <w:rPr>
                <w:rFonts w:hint="eastAsia"/>
                <w:b/>
                <w:color w:val="auto"/>
              </w:rPr>
              <w:t xml:space="preserve">  </w:t>
            </w:r>
            <w:r>
              <w:rPr>
                <w:rFonts w:hint="eastAsia"/>
                <w:b/>
                <w:color w:val="auto"/>
                <w:lang w:val="en-US" w:eastAsia="zh-CN"/>
              </w:rPr>
              <w:t>《浙江省臭氧污染防治攻坚三年行动方案》</w:t>
            </w:r>
            <w:r>
              <w:rPr>
                <w:rFonts w:hint="eastAsia"/>
                <w:b/>
                <w:color w:val="auto"/>
              </w:rPr>
              <w:t>符合性分析</w:t>
            </w:r>
          </w:p>
          <w:tbl>
            <w:tblPr>
              <w:tblStyle w:val="29"/>
              <w:tblW w:w="79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4509"/>
              <w:gridCol w:w="2136"/>
              <w:gridCol w:w="6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84" w:type="dxa"/>
                  <w:gridSpan w:val="2"/>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default"/>
                      <w:b/>
                      <w:bCs/>
                      <w:color w:val="auto"/>
                      <w:sz w:val="21"/>
                      <w:szCs w:val="21"/>
                      <w:lang w:val="en-US" w:eastAsia="zh-CN"/>
                    </w:rPr>
                  </w:pPr>
                  <w:r>
                    <w:rPr>
                      <w:rFonts w:hint="eastAsia"/>
                      <w:b/>
                      <w:bCs/>
                      <w:color w:val="auto"/>
                      <w:sz w:val="21"/>
                      <w:szCs w:val="21"/>
                      <w:lang w:val="en-US" w:eastAsia="zh-CN"/>
                    </w:rPr>
                    <w:t>工业企业废气治理技术要点内容</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default"/>
                      <w:b/>
                      <w:bCs/>
                      <w:color w:val="auto"/>
                      <w:sz w:val="21"/>
                      <w:szCs w:val="21"/>
                      <w:lang w:val="en-US" w:eastAsia="zh-CN"/>
                    </w:rPr>
                  </w:pPr>
                  <w:r>
                    <w:rPr>
                      <w:rFonts w:hint="eastAsia"/>
                      <w:b/>
                      <w:bCs/>
                      <w:color w:val="auto"/>
                      <w:sz w:val="21"/>
                      <w:szCs w:val="21"/>
                      <w:lang w:val="en-US" w:eastAsia="zh-CN"/>
                    </w:rPr>
                    <w:t>本项目情况</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b/>
                      <w:bCs/>
                      <w:color w:val="auto"/>
                      <w:sz w:val="21"/>
                      <w:szCs w:val="21"/>
                      <w:lang w:val="en-US" w:eastAsia="zh-CN"/>
                    </w:rPr>
                  </w:pPr>
                  <w:r>
                    <w:rPr>
                      <w:rFonts w:hint="eastAsia"/>
                      <w:b/>
                      <w:bCs/>
                      <w:color w:val="auto"/>
                      <w:sz w:val="21"/>
                      <w:szCs w:val="21"/>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restart"/>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default"/>
                      <w:color w:val="auto"/>
                      <w:sz w:val="21"/>
                      <w:szCs w:val="21"/>
                      <w:lang w:val="en-US" w:eastAsia="zh-CN"/>
                    </w:rPr>
                  </w:pPr>
                  <w:r>
                    <w:rPr>
                      <w:rFonts w:hint="eastAsia"/>
                      <w:color w:val="auto"/>
                      <w:sz w:val="21"/>
                      <w:szCs w:val="21"/>
                      <w:lang w:val="en-US" w:eastAsia="zh-CN"/>
                    </w:rPr>
                    <w:t>低效治理设施改造升级相关要求</w:t>
                  </w: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对于采用低效</w:t>
                  </w:r>
                  <w:r>
                    <w:rPr>
                      <w:rFonts w:hint="default"/>
                      <w:color w:val="auto"/>
                      <w:sz w:val="21"/>
                      <w:szCs w:val="21"/>
                      <w:lang w:val="en-US" w:eastAsia="zh-CN"/>
                    </w:rPr>
                    <w:t>VOCs</w:t>
                  </w:r>
                  <w:r>
                    <w:rPr>
                      <w:rFonts w:hint="eastAsia"/>
                      <w:color w:val="auto"/>
                      <w:sz w:val="21"/>
                      <w:szCs w:val="21"/>
                      <w:lang w:val="en-US" w:eastAsia="zh-CN"/>
                    </w:rPr>
                    <w:t>治理设施的企业，应对照《浙江省重点行业挥发性有机物污染防治技术指南》排查废气处理技术是否符合指南要求，不符合要求的应按照指南和相关标准规范要求实施升级改造。</w:t>
                  </w:r>
                </w:p>
              </w:tc>
              <w:tc>
                <w:tcPr>
                  <w:tcW w:w="2136" w:type="dxa"/>
                  <w:tcBorders>
                    <w:top w:val="single" w:color="auto" w:sz="4" w:space="0"/>
                    <w:left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rFonts w:hint="default" w:eastAsia="宋体"/>
                      <w:color w:val="auto"/>
                      <w:sz w:val="21"/>
                      <w:szCs w:val="21"/>
                      <w:lang w:val="en-US" w:eastAsia="zh-CN"/>
                    </w:rPr>
                  </w:pPr>
                  <w:r>
                    <w:rPr>
                      <w:rFonts w:hint="eastAsia"/>
                      <w:color w:val="auto"/>
                      <w:sz w:val="21"/>
                      <w:szCs w:val="21"/>
                      <w:lang w:val="en-US" w:eastAsia="zh-CN"/>
                    </w:rPr>
                    <w:t>对照《浙江省重点行业挥发性有机物污染防治技术指南》，拟落实的废气治理方案符合指南和相关标准规范要求。</w:t>
                  </w:r>
                </w:p>
              </w:tc>
              <w:tc>
                <w:tcPr>
                  <w:tcW w:w="67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FF0000"/>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典型的除臭情形主要包括：废水站废气处理（高浓度有机废水调节池除外），橡胶制品企业生产废气处理（溶剂浸胶除外），废塑料造粒、加工成型废气处理，使用</w:t>
                  </w:r>
                  <w:r>
                    <w:rPr>
                      <w:rFonts w:hint="default"/>
                      <w:color w:val="auto"/>
                      <w:sz w:val="21"/>
                      <w:szCs w:val="21"/>
                      <w:lang w:val="en-US" w:eastAsia="zh-CN"/>
                    </w:rPr>
                    <w:t>ABS</w:t>
                  </w:r>
                  <w:r>
                    <w:rPr>
                      <w:rFonts w:hint="eastAsia"/>
                      <w:color w:val="auto"/>
                      <w:sz w:val="21"/>
                      <w:szCs w:val="21"/>
                      <w:lang w:val="en-US" w:eastAsia="zh-CN"/>
                    </w:rPr>
                    <w:t>及其他有异味塑料原料的加工成型废气处理，使用</w:t>
                  </w:r>
                  <w:r>
                    <w:rPr>
                      <w:rFonts w:hint="default"/>
                      <w:color w:val="auto"/>
                      <w:sz w:val="21"/>
                      <w:szCs w:val="21"/>
                      <w:lang w:val="en-US" w:eastAsia="zh-CN"/>
                    </w:rPr>
                    <w:t>UV</w:t>
                  </w:r>
                  <w:r>
                    <w:rPr>
                      <w:rFonts w:hint="eastAsia"/>
                      <w:color w:val="auto"/>
                      <w:sz w:val="21"/>
                      <w:szCs w:val="21"/>
                      <w:lang w:val="en-US" w:eastAsia="zh-CN"/>
                    </w:rPr>
                    <w:t>涂料、含不饱和键且异味明显</w:t>
                  </w:r>
                  <w:r>
                    <w:rPr>
                      <w:rFonts w:hint="default"/>
                      <w:color w:val="auto"/>
                      <w:sz w:val="21"/>
                      <w:szCs w:val="21"/>
                      <w:lang w:val="en-US" w:eastAsia="zh-CN"/>
                    </w:rPr>
                    <w:t>VOCs</w:t>
                  </w:r>
                  <w:r>
                    <w:rPr>
                      <w:rFonts w:hint="eastAsia"/>
                      <w:color w:val="auto"/>
                      <w:sz w:val="21"/>
                      <w:szCs w:val="21"/>
                      <w:lang w:val="en-US" w:eastAsia="zh-CN"/>
                    </w:rPr>
                    <w:t>成分（如低浓度的苯乙烯）的涂料等涂装废气处理，低浓度沥青烟气的除臭单元，生物发酵、农副食品加工、垃圾中转站恶臭异味处理等。</w:t>
                  </w:r>
                </w:p>
              </w:tc>
              <w:tc>
                <w:tcPr>
                  <w:tcW w:w="2136" w:type="dxa"/>
                  <w:tcBorders>
                    <w:top w:val="single" w:color="auto" w:sz="4" w:space="0"/>
                    <w:left w:val="single" w:color="auto" w:sz="4" w:space="0"/>
                    <w:right w:val="single" w:color="auto" w:sz="4" w:space="0"/>
                  </w:tcBorders>
                  <w:noWrap/>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rFonts w:hint="default"/>
                      <w:color w:val="auto"/>
                      <w:sz w:val="21"/>
                      <w:szCs w:val="21"/>
                      <w:lang w:val="en-US" w:eastAsia="zh-CN"/>
                    </w:rPr>
                  </w:pPr>
                  <w:r>
                    <w:rPr>
                      <w:rFonts w:hint="eastAsia"/>
                      <w:color w:val="auto"/>
                      <w:sz w:val="21"/>
                      <w:szCs w:val="21"/>
                      <w:lang w:val="en-US" w:eastAsia="zh-CN"/>
                    </w:rPr>
                    <w:t>本项目不涉及。</w:t>
                  </w:r>
                </w:p>
              </w:tc>
              <w:tc>
                <w:tcPr>
                  <w:tcW w:w="67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FF0000"/>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采用吸附技术的企业，应按照《吸附法工业有机废气治理工程技术规范》（</w:t>
                  </w:r>
                  <w:r>
                    <w:rPr>
                      <w:rFonts w:hint="default"/>
                      <w:color w:val="auto"/>
                      <w:sz w:val="21"/>
                      <w:szCs w:val="21"/>
                      <w:lang w:val="en-US" w:eastAsia="zh-CN"/>
                    </w:rPr>
                    <w:t>HJ2026-2013</w:t>
                  </w:r>
                  <w:r>
                    <w:rPr>
                      <w:rFonts w:hint="eastAsia"/>
                      <w:color w:val="auto"/>
                      <w:sz w:val="21"/>
                      <w:szCs w:val="21"/>
                      <w:lang w:val="en-US" w:eastAsia="zh-CN"/>
                    </w:rPr>
                    <w:t>）、《浙江省分散吸附</w:t>
                  </w:r>
                  <w:r>
                    <w:rPr>
                      <w:rFonts w:hint="default"/>
                      <w:color w:val="auto"/>
                      <w:sz w:val="21"/>
                      <w:szCs w:val="21"/>
                      <w:lang w:val="en-US" w:eastAsia="zh-CN"/>
                    </w:rPr>
                    <w:t>-</w:t>
                  </w:r>
                  <w:r>
                    <w:rPr>
                      <w:rFonts w:hint="eastAsia"/>
                      <w:color w:val="auto"/>
                      <w:sz w:val="21"/>
                      <w:szCs w:val="21"/>
                      <w:lang w:val="en-US" w:eastAsia="zh-CN"/>
                    </w:rPr>
                    <w:t>集中再生活性炭法挥发性有机物治理体系建设技术指南（试行）》进行设计、建设与运行管理。</w:t>
                  </w:r>
                </w:p>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颗粒状吸附剂的气体流速不超过</w:t>
                  </w:r>
                  <w:r>
                    <w:rPr>
                      <w:rFonts w:hint="default"/>
                      <w:color w:val="auto"/>
                      <w:sz w:val="21"/>
                      <w:szCs w:val="21"/>
                      <w:lang w:val="en-US" w:eastAsia="zh-CN"/>
                    </w:rPr>
                    <w:t>0.6</w:t>
                  </w:r>
                  <w:r>
                    <w:rPr>
                      <w:rFonts w:hint="eastAsia"/>
                      <w:color w:val="auto"/>
                      <w:sz w:val="21"/>
                      <w:szCs w:val="21"/>
                      <w:lang w:val="en-US" w:eastAsia="zh-CN"/>
                    </w:rPr>
                    <w:t>米</w:t>
                  </w:r>
                  <w:r>
                    <w:rPr>
                      <w:rFonts w:hint="default"/>
                      <w:color w:val="auto"/>
                      <w:sz w:val="21"/>
                      <w:szCs w:val="21"/>
                      <w:lang w:val="en-US" w:eastAsia="zh-CN"/>
                    </w:rPr>
                    <w:t>/</w:t>
                  </w:r>
                  <w:r>
                    <w:rPr>
                      <w:rFonts w:hint="eastAsia"/>
                      <w:color w:val="auto"/>
                      <w:sz w:val="21"/>
                      <w:szCs w:val="21"/>
                      <w:lang w:val="en-US" w:eastAsia="zh-CN"/>
                    </w:rPr>
                    <w:t>秒，纤维状吸附剂的气体流速不超过</w:t>
                  </w:r>
                  <w:r>
                    <w:rPr>
                      <w:rFonts w:hint="default"/>
                      <w:color w:val="auto"/>
                      <w:sz w:val="21"/>
                      <w:szCs w:val="21"/>
                      <w:lang w:val="en-US" w:eastAsia="zh-CN"/>
                    </w:rPr>
                    <w:t>0.15</w:t>
                  </w:r>
                  <w:r>
                    <w:rPr>
                      <w:rFonts w:hint="eastAsia"/>
                      <w:color w:val="auto"/>
                      <w:sz w:val="21"/>
                      <w:szCs w:val="21"/>
                      <w:lang w:val="en-US" w:eastAsia="zh-CN"/>
                    </w:rPr>
                    <w:t>米</w:t>
                  </w:r>
                  <w:r>
                    <w:rPr>
                      <w:rFonts w:hint="default"/>
                      <w:color w:val="auto"/>
                      <w:sz w:val="21"/>
                      <w:szCs w:val="21"/>
                      <w:lang w:val="en-US" w:eastAsia="zh-CN"/>
                    </w:rPr>
                    <w:t>/</w:t>
                  </w:r>
                  <w:r>
                    <w:rPr>
                      <w:rFonts w:hint="eastAsia"/>
                      <w:color w:val="auto"/>
                      <w:sz w:val="21"/>
                      <w:szCs w:val="21"/>
                      <w:lang w:val="en-US" w:eastAsia="zh-CN"/>
                    </w:rPr>
                    <w:t>秒，废气在吸附层中的停留时间一般不低于</w:t>
                  </w:r>
                  <w:r>
                    <w:rPr>
                      <w:rFonts w:hint="default"/>
                      <w:color w:val="auto"/>
                      <w:sz w:val="21"/>
                      <w:szCs w:val="21"/>
                      <w:lang w:val="en-US" w:eastAsia="zh-CN"/>
                    </w:rPr>
                    <w:t>0.75</w:t>
                  </w:r>
                  <w:r>
                    <w:rPr>
                      <w:rFonts w:hint="eastAsia"/>
                      <w:color w:val="auto"/>
                      <w:sz w:val="21"/>
                      <w:szCs w:val="21"/>
                      <w:lang w:val="en-US" w:eastAsia="zh-CN"/>
                    </w:rPr>
                    <w:t>秒。有机聚合物加工或其他生产工序的进口</w:t>
                  </w:r>
                  <w:r>
                    <w:rPr>
                      <w:rFonts w:hint="default"/>
                      <w:color w:val="auto"/>
                      <w:sz w:val="21"/>
                      <w:szCs w:val="21"/>
                      <w:lang w:val="en-US" w:eastAsia="zh-CN"/>
                    </w:rPr>
                    <w:t>VOCs</w:t>
                  </w:r>
                  <w:r>
                    <w:rPr>
                      <w:rFonts w:hint="eastAsia"/>
                      <w:color w:val="auto"/>
                      <w:sz w:val="21"/>
                      <w:szCs w:val="21"/>
                      <w:lang w:val="en-US" w:eastAsia="zh-CN"/>
                    </w:rPr>
                    <w:t>浓度很低时可适当降低相关参数要求。</w:t>
                  </w:r>
                </w:p>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采用活性炭作为吸附剂的企业，宜选用颗粒状活性炭。颗粒状活性炭的碘值不宜低于</w:t>
                  </w:r>
                  <w:r>
                    <w:rPr>
                      <w:rFonts w:hint="default"/>
                      <w:color w:val="auto"/>
                      <w:sz w:val="21"/>
                      <w:szCs w:val="21"/>
                      <w:lang w:val="en-US" w:eastAsia="zh-CN"/>
                    </w:rPr>
                    <w:t>800mg/g</w:t>
                  </w:r>
                  <w:r>
                    <w:rPr>
                      <w:rFonts w:hint="eastAsia"/>
                      <w:color w:val="auto"/>
                      <w:sz w:val="21"/>
                      <w:szCs w:val="21"/>
                      <w:lang w:val="en-US" w:eastAsia="zh-CN"/>
                    </w:rPr>
                    <w:t>。活性炭分散吸附技术一般适用于</w:t>
                  </w:r>
                  <w:r>
                    <w:rPr>
                      <w:rFonts w:hint="default"/>
                      <w:color w:val="auto"/>
                      <w:sz w:val="21"/>
                      <w:szCs w:val="21"/>
                      <w:lang w:val="en-US" w:eastAsia="zh-CN"/>
                    </w:rPr>
                    <w:t>VOCs</w:t>
                  </w:r>
                  <w:r>
                    <w:rPr>
                      <w:rFonts w:hint="eastAsia"/>
                      <w:color w:val="auto"/>
                      <w:sz w:val="21"/>
                      <w:szCs w:val="21"/>
                      <w:lang w:val="en-US" w:eastAsia="zh-CN"/>
                    </w:rPr>
                    <w:t>产生量不大的企业，活性炭的动态吸附容量宜按</w:t>
                  </w:r>
                  <w:r>
                    <w:rPr>
                      <w:rFonts w:hint="default"/>
                      <w:color w:val="auto"/>
                      <w:sz w:val="21"/>
                      <w:szCs w:val="21"/>
                      <w:lang w:val="en-US" w:eastAsia="zh-CN"/>
                    </w:rPr>
                    <w:t>10-15%</w:t>
                  </w:r>
                  <w:r>
                    <w:rPr>
                      <w:rFonts w:hint="eastAsia"/>
                      <w:color w:val="auto"/>
                      <w:sz w:val="21"/>
                      <w:szCs w:val="21"/>
                      <w:lang w:val="en-US" w:eastAsia="zh-CN"/>
                    </w:rPr>
                    <w:t>计算。</w:t>
                  </w:r>
                </w:p>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吸附装置应做好除颗粒物、降温、除湿等预处理工作，吸附前的颗粒物或油烟浓度不宜超过</w:t>
                  </w:r>
                  <w:r>
                    <w:rPr>
                      <w:rFonts w:hint="default"/>
                      <w:color w:val="auto"/>
                      <w:sz w:val="21"/>
                      <w:szCs w:val="21"/>
                      <w:lang w:val="en-US" w:eastAsia="zh-CN"/>
                    </w:rPr>
                    <w:t>1mg/m</w:t>
                  </w:r>
                  <w:r>
                    <w:rPr>
                      <w:rFonts w:hint="default"/>
                      <w:color w:val="auto"/>
                      <w:sz w:val="21"/>
                      <w:szCs w:val="21"/>
                      <w:vertAlign w:val="superscript"/>
                      <w:lang w:val="en-US" w:eastAsia="zh-CN"/>
                    </w:rPr>
                    <w:t>3</w:t>
                  </w:r>
                  <w:r>
                    <w:rPr>
                      <w:rFonts w:hint="eastAsia"/>
                      <w:color w:val="auto"/>
                      <w:sz w:val="21"/>
                      <w:szCs w:val="21"/>
                      <w:lang w:val="en-US" w:eastAsia="zh-CN"/>
                    </w:rPr>
                    <w:t>，废气温度不应超过</w:t>
                  </w:r>
                  <w:r>
                    <w:rPr>
                      <w:rFonts w:hint="default"/>
                      <w:color w:val="auto"/>
                      <w:sz w:val="21"/>
                      <w:szCs w:val="21"/>
                      <w:lang w:val="en-US" w:eastAsia="zh-CN"/>
                    </w:rPr>
                    <w:t>40</w:t>
                  </w:r>
                  <w:r>
                    <w:rPr>
                      <w:rFonts w:hint="eastAsia"/>
                      <w:color w:val="auto"/>
                      <w:sz w:val="21"/>
                      <w:szCs w:val="21"/>
                      <w:lang w:val="en-US" w:eastAsia="zh-CN"/>
                    </w:rPr>
                    <w:t>℃，采用活性炭吸附的相对湿度不宜超过</w:t>
                  </w:r>
                  <w:r>
                    <w:rPr>
                      <w:rFonts w:hint="default"/>
                      <w:color w:val="auto"/>
                      <w:sz w:val="21"/>
                      <w:szCs w:val="21"/>
                      <w:lang w:val="en-US" w:eastAsia="zh-CN"/>
                    </w:rPr>
                    <w:t>80%</w:t>
                  </w:r>
                  <w:r>
                    <w:rPr>
                      <w:rFonts w:hint="eastAsia"/>
                      <w:color w:val="auto"/>
                      <w:sz w:val="21"/>
                      <w:szCs w:val="21"/>
                      <w:lang w:val="en-US" w:eastAsia="zh-CN"/>
                    </w:rPr>
                    <w:t>。对于含有较多漆雾的喷涂废气，不宜采用单一水喷淋预处理，应采用多级干式过滤措施，末道过滤材料的过滤等级不应低于</w:t>
                  </w:r>
                  <w:r>
                    <w:rPr>
                      <w:rFonts w:hint="default"/>
                      <w:color w:val="auto"/>
                      <w:sz w:val="21"/>
                      <w:szCs w:val="21"/>
                      <w:lang w:val="en-US" w:eastAsia="zh-CN"/>
                    </w:rPr>
                    <w:t>F9</w:t>
                  </w:r>
                  <w:r>
                    <w:rPr>
                      <w:rFonts w:hint="eastAsia"/>
                      <w:color w:val="auto"/>
                      <w:sz w:val="21"/>
                      <w:szCs w:val="21"/>
                      <w:lang w:val="en-US" w:eastAsia="zh-CN"/>
                    </w:rPr>
                    <w:t>，并根据压差监测或其他监测方式，及时更换过滤材料。</w:t>
                  </w:r>
                </w:p>
              </w:tc>
              <w:tc>
                <w:tcPr>
                  <w:tcW w:w="213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本项目废气处理采用吸附法，将按上述规范及指南进行设计、建设与运行管理。</w:t>
                  </w:r>
                </w:p>
                <w:p>
                  <w:pPr>
                    <w:keepNext w:val="0"/>
                    <w:keepLines w:val="0"/>
                    <w:pageBreakBefore w:val="0"/>
                    <w:kinsoku/>
                    <w:wordWrap/>
                    <w:overflowPunct/>
                    <w:topLinePunct w:val="0"/>
                    <w:autoSpaceDE/>
                    <w:autoSpaceDN/>
                    <w:bidi w:val="0"/>
                    <w:snapToGrid/>
                    <w:spacing w:line="280" w:lineRule="exact"/>
                    <w:textAlignment w:val="auto"/>
                    <w:rPr>
                      <w:rFonts w:hint="eastAsia"/>
                      <w:color w:val="auto"/>
                      <w:sz w:val="21"/>
                      <w:szCs w:val="21"/>
                      <w:lang w:val="en-US" w:eastAsia="zh-CN"/>
                    </w:rPr>
                  </w:pPr>
                  <w:r>
                    <w:rPr>
                      <w:rFonts w:hint="eastAsia" w:ascii="Times New Roman" w:hAnsi="Times New Roman" w:eastAsia="宋体" w:cs="Times New Roman"/>
                      <w:color w:val="auto"/>
                      <w:kern w:val="0"/>
                      <w:sz w:val="21"/>
                      <w:szCs w:val="21"/>
                      <w:lang w:val="en-US" w:eastAsia="zh-CN" w:bidi="ar-SA"/>
                    </w:rPr>
                    <w:t>选用颗粒</w:t>
                  </w:r>
                  <w:r>
                    <w:rPr>
                      <w:rFonts w:hint="eastAsia" w:cs="Times New Roman"/>
                      <w:color w:val="auto"/>
                      <w:kern w:val="0"/>
                      <w:sz w:val="21"/>
                      <w:szCs w:val="21"/>
                      <w:lang w:val="en-US" w:eastAsia="zh-CN" w:bidi="ar-SA"/>
                    </w:rPr>
                    <w:t>炭</w:t>
                  </w:r>
                  <w:r>
                    <w:rPr>
                      <w:rFonts w:hint="eastAsia" w:ascii="Times New Roman" w:hAnsi="Times New Roman" w:eastAsia="宋体" w:cs="Times New Roman"/>
                      <w:color w:val="auto"/>
                      <w:kern w:val="0"/>
                      <w:sz w:val="21"/>
                      <w:szCs w:val="21"/>
                      <w:lang w:val="en-US" w:eastAsia="zh-CN" w:bidi="ar-SA"/>
                    </w:rPr>
                    <w:t>，气体流速不超过</w:t>
                  </w:r>
                  <w:r>
                    <w:rPr>
                      <w:rFonts w:hint="default" w:ascii="Times New Roman" w:hAnsi="Times New Roman" w:eastAsia="宋体" w:cs="Times New Roman"/>
                      <w:color w:val="auto"/>
                      <w:kern w:val="0"/>
                      <w:sz w:val="21"/>
                      <w:szCs w:val="21"/>
                      <w:lang w:val="en-US" w:eastAsia="zh-CN" w:bidi="ar-SA"/>
                    </w:rPr>
                    <w:t>0.6</w:t>
                  </w:r>
                  <w:r>
                    <w:rPr>
                      <w:rFonts w:hint="eastAsia" w:ascii="Times New Roman" w:hAnsi="Times New Roman" w:eastAsia="宋体" w:cs="Times New Roman"/>
                      <w:color w:val="auto"/>
                      <w:kern w:val="0"/>
                      <w:sz w:val="21"/>
                      <w:szCs w:val="21"/>
                      <w:lang w:val="en-US" w:eastAsia="zh-CN" w:bidi="ar-SA"/>
                    </w:rPr>
                    <w:t>米</w:t>
                  </w:r>
                  <w:r>
                    <w:rPr>
                      <w:rFonts w:hint="default" w:ascii="Times New Roman" w:hAnsi="Times New Roman" w:eastAsia="宋体" w:cs="Times New Roman"/>
                      <w:color w:val="auto"/>
                      <w:kern w:val="0"/>
                      <w:sz w:val="21"/>
                      <w:szCs w:val="21"/>
                      <w:lang w:val="en-US" w:eastAsia="zh-CN" w:bidi="ar-SA"/>
                    </w:rPr>
                    <w:t>/</w:t>
                  </w:r>
                  <w:r>
                    <w:rPr>
                      <w:rFonts w:hint="eastAsia" w:ascii="Times New Roman" w:hAnsi="Times New Roman" w:eastAsia="宋体" w:cs="Times New Roman"/>
                      <w:color w:val="auto"/>
                      <w:kern w:val="0"/>
                      <w:sz w:val="21"/>
                      <w:szCs w:val="21"/>
                      <w:lang w:val="en-US" w:eastAsia="zh-CN" w:bidi="ar-SA"/>
                    </w:rPr>
                    <w:t>秒，</w:t>
                  </w:r>
                  <w:r>
                    <w:rPr>
                      <w:rFonts w:hint="eastAsia"/>
                      <w:color w:val="auto"/>
                      <w:sz w:val="21"/>
                      <w:szCs w:val="21"/>
                      <w:lang w:val="en-US" w:eastAsia="zh-CN"/>
                    </w:rPr>
                    <w:t>废气在吸附层中的停留时间不低于</w:t>
                  </w:r>
                  <w:r>
                    <w:rPr>
                      <w:rFonts w:hint="default"/>
                      <w:color w:val="auto"/>
                      <w:sz w:val="21"/>
                      <w:szCs w:val="21"/>
                      <w:lang w:val="en-US" w:eastAsia="zh-CN"/>
                    </w:rPr>
                    <w:t>0.75</w:t>
                  </w:r>
                  <w:r>
                    <w:rPr>
                      <w:rFonts w:hint="eastAsia"/>
                      <w:color w:val="auto"/>
                      <w:sz w:val="21"/>
                      <w:szCs w:val="21"/>
                      <w:lang w:val="en-US" w:eastAsia="zh-CN"/>
                    </w:rPr>
                    <w:t>秒。拟选用的颗粒状活性炭的碘值不低于</w:t>
                  </w:r>
                  <w:r>
                    <w:rPr>
                      <w:rFonts w:hint="default"/>
                      <w:color w:val="auto"/>
                      <w:sz w:val="21"/>
                      <w:szCs w:val="21"/>
                      <w:lang w:val="en-US" w:eastAsia="zh-CN"/>
                    </w:rPr>
                    <w:t>800mg/g</w:t>
                  </w:r>
                  <w:r>
                    <w:rPr>
                      <w:rFonts w:hint="eastAsia"/>
                      <w:color w:val="auto"/>
                      <w:sz w:val="21"/>
                      <w:szCs w:val="21"/>
                      <w:lang w:val="en-US" w:eastAsia="zh-CN"/>
                    </w:rPr>
                    <w:t>。</w:t>
                  </w:r>
                </w:p>
                <w:p>
                  <w:pPr>
                    <w:keepNext w:val="0"/>
                    <w:keepLines w:val="0"/>
                    <w:pageBreakBefore w:val="0"/>
                    <w:kinsoku/>
                    <w:wordWrap/>
                    <w:overflowPunct/>
                    <w:topLinePunct w:val="0"/>
                    <w:autoSpaceDE/>
                    <w:autoSpaceDN/>
                    <w:bidi w:val="0"/>
                    <w:snapToGrid/>
                    <w:spacing w:line="280" w:lineRule="exact"/>
                    <w:textAlignment w:val="auto"/>
                    <w:rPr>
                      <w:rFonts w:hint="default"/>
                      <w:color w:val="auto"/>
                      <w:sz w:val="21"/>
                      <w:szCs w:val="21"/>
                      <w:lang w:val="en-US" w:eastAsia="zh-CN"/>
                    </w:rPr>
                  </w:pPr>
                  <w:r>
                    <w:rPr>
                      <w:rFonts w:hint="eastAsia"/>
                      <w:color w:val="auto"/>
                      <w:sz w:val="21"/>
                      <w:szCs w:val="21"/>
                      <w:lang w:val="en-US" w:eastAsia="zh-CN"/>
                    </w:rPr>
                    <w:t>吸附前设有水喷淋装置或除尘器去除颗粒物。水喷淋后、活性炭吸附前设有干式过滤装置去除废气中的颗粒物及水分。</w:t>
                  </w:r>
                </w:p>
              </w:tc>
              <w:tc>
                <w:tcPr>
                  <w:tcW w:w="67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FF0000"/>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ascii="Times New Roman" w:hAnsi="Times New Roman" w:eastAsia="宋体" w:cs="Times New Roman"/>
                      <w:color w:val="auto"/>
                      <w:sz w:val="21"/>
                      <w:szCs w:val="21"/>
                      <w:lang w:val="en-US" w:eastAsia="zh-CN"/>
                    </w:rPr>
                    <w:t>采用单一或组合燃烧技术的企业，催化燃烧装置应按照《催化燃烧法工业有机废气治理工程技术规范》（</w:t>
                  </w:r>
                  <w:r>
                    <w:rPr>
                      <w:rFonts w:hint="default" w:ascii="Times New Roman" w:hAnsi="Times New Roman" w:eastAsia="宋体" w:cs="Times New Roman"/>
                      <w:color w:val="auto"/>
                      <w:sz w:val="21"/>
                      <w:szCs w:val="21"/>
                      <w:lang w:val="en-US" w:eastAsia="zh-CN"/>
                    </w:rPr>
                    <w:t>HJ2027-2013</w:t>
                  </w:r>
                  <w:r>
                    <w:rPr>
                      <w:rFonts w:hint="eastAsia" w:ascii="Times New Roman" w:hAnsi="Times New Roman" w:eastAsia="宋体" w:cs="Times New Roman"/>
                      <w:color w:val="auto"/>
                      <w:sz w:val="21"/>
                      <w:szCs w:val="21"/>
                      <w:lang w:val="en-US" w:eastAsia="zh-CN"/>
                    </w:rPr>
                    <w:t>）进行设计、建设与运行管理，蓄热燃烧装置应按照《蓄热燃烧法工业有机废气治理工程技术规范》（</w:t>
                  </w:r>
                  <w:r>
                    <w:rPr>
                      <w:rFonts w:hint="default" w:ascii="Times New Roman" w:hAnsi="Times New Roman" w:eastAsia="宋体" w:cs="Times New Roman"/>
                      <w:color w:val="auto"/>
                      <w:sz w:val="21"/>
                      <w:szCs w:val="21"/>
                      <w:lang w:val="en-US" w:eastAsia="zh-CN"/>
                    </w:rPr>
                    <w:t>HJ1093-2020</w:t>
                  </w:r>
                  <w:r>
                    <w:rPr>
                      <w:rFonts w:hint="eastAsia" w:ascii="Times New Roman" w:hAnsi="Times New Roman" w:eastAsia="宋体" w:cs="Times New Roman"/>
                      <w:color w:val="auto"/>
                      <w:sz w:val="21"/>
                      <w:szCs w:val="21"/>
                      <w:lang w:val="en-US" w:eastAsia="zh-CN"/>
                    </w:rPr>
                    <w:t>）进行设计、建设与运行管理。相关温度、开关参数应自动记录存储，保存时间不少于</w:t>
                  </w:r>
                  <w:r>
                    <w:rPr>
                      <w:rFonts w:hint="default" w:ascii="Times New Roman" w:hAnsi="Times New Roman" w:eastAsia="宋体" w:cs="Times New Roman"/>
                      <w:color w:val="auto"/>
                      <w:sz w:val="21"/>
                      <w:szCs w:val="21"/>
                      <w:lang w:val="en-US" w:eastAsia="zh-CN"/>
                    </w:rPr>
                    <w:t>5</w:t>
                  </w:r>
                  <w:r>
                    <w:rPr>
                      <w:rFonts w:hint="eastAsia" w:ascii="Times New Roman" w:hAnsi="Times New Roman" w:eastAsia="宋体" w:cs="Times New Roman"/>
                      <w:color w:val="auto"/>
                      <w:sz w:val="21"/>
                      <w:szCs w:val="21"/>
                      <w:lang w:val="en-US" w:eastAsia="zh-CN"/>
                    </w:rPr>
                    <w:t>年。</w:t>
                  </w:r>
                </w:p>
              </w:tc>
              <w:tc>
                <w:tcPr>
                  <w:tcW w:w="213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eastAsia="宋体"/>
                      <w:color w:val="auto"/>
                      <w:sz w:val="21"/>
                      <w:szCs w:val="21"/>
                      <w:lang w:val="en-US" w:eastAsia="zh-CN"/>
                    </w:rPr>
                  </w:pPr>
                  <w:r>
                    <w:rPr>
                      <w:rFonts w:hint="eastAsia"/>
                      <w:color w:val="auto"/>
                      <w:sz w:val="21"/>
                      <w:szCs w:val="21"/>
                      <w:lang w:val="en-US" w:eastAsia="zh-CN"/>
                    </w:rPr>
                    <w:t>本项目不涉及。</w:t>
                  </w:r>
                </w:p>
              </w:tc>
              <w:tc>
                <w:tcPr>
                  <w:tcW w:w="67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FF0000"/>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新建、改建和扩建涉</w:t>
                  </w:r>
                  <w:r>
                    <w:rPr>
                      <w:rFonts w:hint="default"/>
                      <w:color w:val="auto"/>
                      <w:sz w:val="21"/>
                      <w:szCs w:val="21"/>
                      <w:lang w:val="en-US" w:eastAsia="zh-CN"/>
                    </w:rPr>
                    <w:t>VOCs</w:t>
                  </w:r>
                  <w:r>
                    <w:rPr>
                      <w:rFonts w:hint="eastAsia"/>
                      <w:color w:val="auto"/>
                      <w:sz w:val="21"/>
                      <w:szCs w:val="21"/>
                      <w:lang w:val="en-US" w:eastAsia="zh-CN"/>
                    </w:rPr>
                    <w:t>项目不使用低温等离子、光氧化、光催化等低效治理设施（恶臭异味治理除外）。</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eastAsia="宋体"/>
                      <w:color w:val="auto"/>
                      <w:sz w:val="21"/>
                      <w:szCs w:val="21"/>
                      <w:lang w:val="en-US" w:eastAsia="zh-CN"/>
                    </w:rPr>
                  </w:pPr>
                  <w:r>
                    <w:rPr>
                      <w:rFonts w:hint="eastAsia"/>
                      <w:color w:val="auto"/>
                      <w:sz w:val="21"/>
                      <w:szCs w:val="21"/>
                      <w:lang w:val="en-US" w:eastAsia="zh-CN"/>
                    </w:rPr>
                    <w:t>本项目不涉及。</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restart"/>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auto"/>
                      <w:sz w:val="21"/>
                      <w:szCs w:val="21"/>
                      <w:lang w:val="en-US" w:eastAsia="zh-CN"/>
                    </w:rPr>
                  </w:pPr>
                  <w:r>
                    <w:rPr>
                      <w:rFonts w:hint="eastAsia"/>
                      <w:color w:val="auto"/>
                      <w:sz w:val="21"/>
                      <w:szCs w:val="21"/>
                      <w:lang w:val="en-US" w:eastAsia="zh-CN"/>
                    </w:rPr>
                    <w:t>源头替代相关要求</w:t>
                  </w: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低</w:t>
                  </w:r>
                  <w:r>
                    <w:rPr>
                      <w:rFonts w:hint="default"/>
                      <w:color w:val="auto"/>
                      <w:sz w:val="21"/>
                      <w:szCs w:val="21"/>
                      <w:lang w:val="en-US" w:eastAsia="zh-CN"/>
                    </w:rPr>
                    <w:t>VOCs</w:t>
                  </w:r>
                  <w:r>
                    <w:rPr>
                      <w:rFonts w:hint="eastAsia"/>
                      <w:color w:val="auto"/>
                      <w:sz w:val="21"/>
                      <w:szCs w:val="21"/>
                      <w:lang w:val="en-US" w:eastAsia="zh-CN"/>
                    </w:rPr>
                    <w:t>含量的涂料，是指粉末涂料和施工状态下</w:t>
                  </w:r>
                  <w:r>
                    <w:rPr>
                      <w:rFonts w:hint="default"/>
                      <w:color w:val="auto"/>
                      <w:sz w:val="21"/>
                      <w:szCs w:val="21"/>
                      <w:lang w:val="en-US" w:eastAsia="zh-CN"/>
                    </w:rPr>
                    <w:t>VOCs</w:t>
                  </w:r>
                  <w:r>
                    <w:rPr>
                      <w:rFonts w:hint="eastAsia"/>
                      <w:color w:val="auto"/>
                      <w:sz w:val="21"/>
                      <w:szCs w:val="21"/>
                      <w:lang w:val="en-US" w:eastAsia="zh-CN"/>
                    </w:rPr>
                    <w:t>含量符合《低挥发性有机化合物含量涂料产品技术要求》（</w:t>
                  </w:r>
                  <w:r>
                    <w:rPr>
                      <w:rFonts w:hint="default"/>
                      <w:color w:val="auto"/>
                      <w:sz w:val="21"/>
                      <w:szCs w:val="21"/>
                      <w:lang w:val="en-US" w:eastAsia="zh-CN"/>
                    </w:rPr>
                    <w:t>GB/T38597-2020</w:t>
                  </w:r>
                  <w:r>
                    <w:rPr>
                      <w:rFonts w:hint="eastAsia"/>
                      <w:color w:val="auto"/>
                      <w:sz w:val="21"/>
                      <w:szCs w:val="21"/>
                      <w:lang w:val="en-US" w:eastAsia="zh-CN"/>
                    </w:rPr>
                    <w:t>）的水性涂料、无溶剂涂料、辐射固化涂料，</w:t>
                  </w:r>
                  <w:r>
                    <w:rPr>
                      <w:rFonts w:hint="default"/>
                      <w:color w:val="auto"/>
                      <w:sz w:val="21"/>
                      <w:szCs w:val="21"/>
                      <w:lang w:val="en-US" w:eastAsia="zh-CN"/>
                    </w:rPr>
                    <w:t>GB/T38597-2020</w:t>
                  </w:r>
                  <w:r>
                    <w:rPr>
                      <w:rFonts w:hint="eastAsia"/>
                      <w:color w:val="auto"/>
                      <w:sz w:val="21"/>
                      <w:szCs w:val="21"/>
                      <w:lang w:val="en-US" w:eastAsia="zh-CN"/>
                    </w:rPr>
                    <w:t>中未做规定的，</w:t>
                  </w:r>
                  <w:r>
                    <w:rPr>
                      <w:rFonts w:hint="default"/>
                      <w:color w:val="auto"/>
                      <w:sz w:val="21"/>
                      <w:szCs w:val="21"/>
                      <w:lang w:val="en-US" w:eastAsia="zh-CN"/>
                    </w:rPr>
                    <w:t>VOCs</w:t>
                  </w:r>
                  <w:r>
                    <w:rPr>
                      <w:rFonts w:hint="eastAsia"/>
                      <w:color w:val="auto"/>
                      <w:sz w:val="21"/>
                      <w:szCs w:val="21"/>
                      <w:lang w:val="en-US" w:eastAsia="zh-CN"/>
                    </w:rPr>
                    <w:t>含量符合《车辆涂料中有害物质限量》（</w:t>
                  </w:r>
                  <w:r>
                    <w:rPr>
                      <w:rFonts w:hint="default"/>
                      <w:color w:val="auto"/>
                      <w:sz w:val="21"/>
                      <w:szCs w:val="21"/>
                      <w:lang w:val="en-US" w:eastAsia="zh-CN"/>
                    </w:rPr>
                    <w:t>GB24409-2020</w:t>
                  </w:r>
                  <w:r>
                    <w:rPr>
                      <w:rFonts w:hint="eastAsia"/>
                      <w:color w:val="auto"/>
                      <w:sz w:val="21"/>
                      <w:szCs w:val="21"/>
                      <w:lang w:val="en-US" w:eastAsia="zh-CN"/>
                    </w:rPr>
                    <w:t>）、《工业防护涂料中有害物质限值》（</w:t>
                  </w:r>
                  <w:r>
                    <w:rPr>
                      <w:rFonts w:hint="default"/>
                      <w:color w:val="auto"/>
                      <w:sz w:val="21"/>
                      <w:szCs w:val="21"/>
                      <w:lang w:val="en-US" w:eastAsia="zh-CN"/>
                    </w:rPr>
                    <w:t>GB30981-2020</w:t>
                  </w:r>
                  <w:r>
                    <w:rPr>
                      <w:rFonts w:hint="eastAsia"/>
                      <w:color w:val="auto"/>
                      <w:sz w:val="21"/>
                      <w:szCs w:val="21"/>
                      <w:lang w:val="en-US" w:eastAsia="zh-CN"/>
                    </w:rPr>
                    <w:t xml:space="preserve">）等相关规定的非溶剂型涂料。其中，水性涂料 </w:t>
                  </w:r>
                  <w:r>
                    <w:rPr>
                      <w:rFonts w:hint="default"/>
                      <w:color w:val="auto"/>
                      <w:sz w:val="21"/>
                      <w:szCs w:val="21"/>
                      <w:lang w:val="en-US" w:eastAsia="zh-CN"/>
                    </w:rPr>
                    <w:t>VOCs</w:t>
                  </w:r>
                  <w:r>
                    <w:rPr>
                      <w:rFonts w:hint="eastAsia"/>
                      <w:color w:val="auto"/>
                      <w:sz w:val="21"/>
                      <w:szCs w:val="21"/>
                      <w:lang w:val="en-US" w:eastAsia="zh-CN"/>
                    </w:rPr>
                    <w:t>含量需要扣除水分。</w:t>
                  </w:r>
                </w:p>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低</w:t>
                  </w:r>
                  <w:r>
                    <w:rPr>
                      <w:rFonts w:hint="default"/>
                      <w:color w:val="auto"/>
                      <w:sz w:val="21"/>
                      <w:szCs w:val="21"/>
                      <w:lang w:val="en-US" w:eastAsia="zh-CN"/>
                    </w:rPr>
                    <w:t>VOCs</w:t>
                  </w:r>
                  <w:r>
                    <w:rPr>
                      <w:rFonts w:hint="eastAsia"/>
                      <w:color w:val="auto"/>
                      <w:sz w:val="21"/>
                      <w:szCs w:val="21"/>
                      <w:lang w:val="en-US" w:eastAsia="zh-CN"/>
                    </w:rPr>
                    <w:t>含量的油墨，是指出厂状态下</w:t>
                  </w:r>
                  <w:r>
                    <w:rPr>
                      <w:rFonts w:hint="default"/>
                      <w:color w:val="auto"/>
                      <w:sz w:val="21"/>
                      <w:szCs w:val="21"/>
                      <w:lang w:val="en-US" w:eastAsia="zh-CN"/>
                    </w:rPr>
                    <w:t>VOCs</w:t>
                  </w:r>
                  <w:r>
                    <w:rPr>
                      <w:rFonts w:hint="eastAsia"/>
                      <w:color w:val="auto"/>
                      <w:sz w:val="21"/>
                      <w:szCs w:val="21"/>
                      <w:lang w:val="en-US" w:eastAsia="zh-CN"/>
                    </w:rPr>
                    <w:t>含量符合《油墨中可挥发性有机化合物（</w:t>
                  </w:r>
                  <w:r>
                    <w:rPr>
                      <w:rFonts w:hint="default"/>
                      <w:color w:val="auto"/>
                      <w:sz w:val="21"/>
                      <w:szCs w:val="21"/>
                      <w:lang w:val="en-US" w:eastAsia="zh-CN"/>
                    </w:rPr>
                    <w:t>VOCs</w:t>
                  </w:r>
                  <w:r>
                    <w:rPr>
                      <w:rFonts w:hint="eastAsia"/>
                      <w:color w:val="auto"/>
                      <w:sz w:val="21"/>
                      <w:szCs w:val="21"/>
                      <w:lang w:val="en-US" w:eastAsia="zh-CN"/>
                    </w:rPr>
                    <w:t>）含量的限值》（</w:t>
                  </w:r>
                  <w:r>
                    <w:rPr>
                      <w:rFonts w:hint="default"/>
                      <w:color w:val="auto"/>
                      <w:sz w:val="21"/>
                      <w:szCs w:val="21"/>
                      <w:lang w:val="en-US" w:eastAsia="zh-CN"/>
                    </w:rPr>
                    <w:t>GB38507-2020</w:t>
                  </w:r>
                  <w:r>
                    <w:rPr>
                      <w:rFonts w:hint="eastAsia"/>
                      <w:color w:val="auto"/>
                      <w:sz w:val="21"/>
                      <w:szCs w:val="21"/>
                      <w:lang w:val="en-US" w:eastAsia="zh-CN"/>
                    </w:rPr>
                    <w:t>）的水性油墨、胶印油墨、能量固化油墨、雕刻凹印油墨。</w:t>
                  </w:r>
                </w:p>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低</w:t>
                  </w:r>
                  <w:r>
                    <w:rPr>
                      <w:rFonts w:hint="default"/>
                      <w:color w:val="auto"/>
                      <w:sz w:val="21"/>
                      <w:szCs w:val="21"/>
                      <w:lang w:val="en-US" w:eastAsia="zh-CN"/>
                    </w:rPr>
                    <w:t>VOCs</w:t>
                  </w:r>
                  <w:r>
                    <w:rPr>
                      <w:rFonts w:hint="eastAsia"/>
                      <w:color w:val="auto"/>
                      <w:sz w:val="21"/>
                      <w:szCs w:val="21"/>
                      <w:lang w:val="en-US" w:eastAsia="zh-CN"/>
                    </w:rPr>
                    <w:t>含量的胶粘剂，是指出厂状态下</w:t>
                  </w:r>
                  <w:r>
                    <w:rPr>
                      <w:rFonts w:hint="default"/>
                      <w:color w:val="auto"/>
                      <w:sz w:val="21"/>
                      <w:szCs w:val="21"/>
                      <w:lang w:val="en-US" w:eastAsia="zh-CN"/>
                    </w:rPr>
                    <w:t>VOCs</w:t>
                  </w:r>
                  <w:r>
                    <w:rPr>
                      <w:rFonts w:hint="eastAsia"/>
                      <w:color w:val="auto"/>
                      <w:sz w:val="21"/>
                      <w:szCs w:val="21"/>
                      <w:lang w:val="en-US" w:eastAsia="zh-CN"/>
                    </w:rPr>
                    <w:t>含量符合《胶粘剂挥发性有机化合物限量》（</w:t>
                  </w:r>
                  <w:r>
                    <w:rPr>
                      <w:rFonts w:hint="default"/>
                      <w:color w:val="auto"/>
                      <w:sz w:val="21"/>
                      <w:szCs w:val="21"/>
                      <w:lang w:val="en-US" w:eastAsia="zh-CN"/>
                    </w:rPr>
                    <w:t>GB33372-2020</w:t>
                  </w:r>
                  <w:r>
                    <w:rPr>
                      <w:rFonts w:hint="eastAsia"/>
                      <w:color w:val="auto"/>
                      <w:sz w:val="21"/>
                      <w:szCs w:val="21"/>
                      <w:lang w:val="en-US" w:eastAsia="zh-CN"/>
                    </w:rPr>
                    <w:t>）的水基型胶粘剂、本体型胶粘剂，不适用脲醛、酚醛、三聚氰胺甲醛胶粘剂。</w:t>
                  </w:r>
                </w:p>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低</w:t>
                  </w:r>
                  <w:r>
                    <w:rPr>
                      <w:rFonts w:hint="default"/>
                      <w:color w:val="auto"/>
                      <w:sz w:val="21"/>
                      <w:szCs w:val="21"/>
                      <w:lang w:val="en-US" w:eastAsia="zh-CN"/>
                    </w:rPr>
                    <w:t>VOCs</w:t>
                  </w:r>
                  <w:r>
                    <w:rPr>
                      <w:rFonts w:hint="eastAsia"/>
                      <w:color w:val="auto"/>
                      <w:sz w:val="21"/>
                      <w:szCs w:val="21"/>
                      <w:lang w:val="en-US" w:eastAsia="zh-CN"/>
                    </w:rPr>
                    <w:t>含量的清洗剂，是指施工状态下</w:t>
                  </w:r>
                  <w:r>
                    <w:rPr>
                      <w:rFonts w:hint="default"/>
                      <w:color w:val="auto"/>
                      <w:sz w:val="21"/>
                      <w:szCs w:val="21"/>
                      <w:lang w:val="en-US" w:eastAsia="zh-CN"/>
                    </w:rPr>
                    <w:t>VOCs</w:t>
                  </w:r>
                  <w:r>
                    <w:rPr>
                      <w:rFonts w:hint="eastAsia"/>
                      <w:color w:val="auto"/>
                      <w:sz w:val="21"/>
                      <w:szCs w:val="21"/>
                      <w:lang w:val="en-US" w:eastAsia="zh-CN"/>
                    </w:rPr>
                    <w:t>含量符合《清洗剂挥发性有机化合物含量限值》（</w:t>
                  </w:r>
                  <w:r>
                    <w:rPr>
                      <w:rFonts w:hint="default"/>
                      <w:color w:val="auto"/>
                      <w:sz w:val="21"/>
                      <w:szCs w:val="21"/>
                      <w:lang w:val="en-US" w:eastAsia="zh-CN"/>
                    </w:rPr>
                    <w:t>GB38508-2020</w:t>
                  </w:r>
                  <w:r>
                    <w:rPr>
                      <w:rFonts w:hint="eastAsia"/>
                      <w:color w:val="auto"/>
                      <w:sz w:val="21"/>
                      <w:szCs w:val="21"/>
                      <w:lang w:val="en-US" w:eastAsia="zh-CN"/>
                    </w:rPr>
                    <w:t>）的水基清洗剂、半水基清洗剂。</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本项目使用的涂料为粉末涂料及无溶剂涂料，均属于低</w:t>
                  </w:r>
                  <w:r>
                    <w:rPr>
                      <w:rFonts w:hint="default"/>
                      <w:color w:val="auto"/>
                      <w:sz w:val="21"/>
                      <w:szCs w:val="21"/>
                      <w:lang w:val="en-US" w:eastAsia="zh-CN"/>
                    </w:rPr>
                    <w:t>VOCs</w:t>
                  </w:r>
                  <w:r>
                    <w:rPr>
                      <w:rFonts w:hint="eastAsia"/>
                      <w:color w:val="auto"/>
                      <w:sz w:val="21"/>
                      <w:szCs w:val="21"/>
                      <w:lang w:val="en-US" w:eastAsia="zh-CN"/>
                    </w:rPr>
                    <w:t>含量。</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FF0000"/>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使用上述低</w:t>
                  </w:r>
                  <w:r>
                    <w:rPr>
                      <w:rFonts w:hint="default"/>
                      <w:color w:val="auto"/>
                      <w:sz w:val="21"/>
                      <w:szCs w:val="21"/>
                      <w:lang w:val="en-US" w:eastAsia="zh-CN"/>
                    </w:rPr>
                    <w:t>VOCs</w:t>
                  </w:r>
                  <w:r>
                    <w:rPr>
                      <w:rFonts w:hint="eastAsia"/>
                      <w:color w:val="auto"/>
                      <w:sz w:val="21"/>
                      <w:szCs w:val="21"/>
                      <w:lang w:val="en-US" w:eastAsia="zh-CN"/>
                    </w:rPr>
                    <w:t>原辅材料，排放浓度稳定达标且排放速率满足相关规定的，相应生产工序可不要求建设</w:t>
                  </w:r>
                  <w:r>
                    <w:rPr>
                      <w:rFonts w:hint="default"/>
                      <w:color w:val="auto"/>
                      <w:sz w:val="21"/>
                      <w:szCs w:val="21"/>
                      <w:lang w:val="en-US" w:eastAsia="zh-CN"/>
                    </w:rPr>
                    <w:t>VOCs</w:t>
                  </w:r>
                  <w:r>
                    <w:rPr>
                      <w:rFonts w:hint="eastAsia"/>
                      <w:color w:val="auto"/>
                      <w:sz w:val="21"/>
                      <w:szCs w:val="21"/>
                      <w:lang w:val="en-US" w:eastAsia="zh-CN"/>
                    </w:rPr>
                    <w:t>末端治理设施。对于现有项目，实施低</w:t>
                  </w:r>
                  <w:r>
                    <w:rPr>
                      <w:rFonts w:hint="default"/>
                      <w:color w:val="auto"/>
                      <w:sz w:val="21"/>
                      <w:szCs w:val="21"/>
                      <w:lang w:val="en-US" w:eastAsia="zh-CN"/>
                    </w:rPr>
                    <w:t>VOCs</w:t>
                  </w:r>
                  <w:r>
                    <w:rPr>
                      <w:rFonts w:hint="eastAsia"/>
                      <w:color w:val="auto"/>
                      <w:sz w:val="21"/>
                      <w:szCs w:val="21"/>
                      <w:lang w:val="en-US" w:eastAsia="zh-CN"/>
                    </w:rPr>
                    <w:t>原辅材料替代后，如简化或拆除</w:t>
                  </w:r>
                  <w:r>
                    <w:rPr>
                      <w:rFonts w:hint="default"/>
                      <w:color w:val="auto"/>
                      <w:sz w:val="21"/>
                      <w:szCs w:val="21"/>
                      <w:lang w:val="en-US" w:eastAsia="zh-CN"/>
                    </w:rPr>
                    <w:t>VOCs</w:t>
                  </w:r>
                  <w:r>
                    <w:rPr>
                      <w:rFonts w:hint="eastAsia"/>
                      <w:color w:val="auto"/>
                      <w:sz w:val="21"/>
                      <w:szCs w:val="21"/>
                      <w:lang w:val="en-US" w:eastAsia="zh-CN"/>
                    </w:rPr>
                    <w:t>末端治理设施，替代后的</w:t>
                  </w:r>
                  <w:r>
                    <w:rPr>
                      <w:rFonts w:hint="default"/>
                      <w:color w:val="auto"/>
                      <w:sz w:val="21"/>
                      <w:szCs w:val="21"/>
                      <w:lang w:val="en-US" w:eastAsia="zh-CN"/>
                    </w:rPr>
                    <w:t>VOCs</w:t>
                  </w:r>
                  <w:r>
                    <w:rPr>
                      <w:rFonts w:hint="eastAsia"/>
                      <w:color w:val="auto"/>
                      <w:sz w:val="21"/>
                      <w:szCs w:val="21"/>
                      <w:lang w:val="en-US" w:eastAsia="zh-CN"/>
                    </w:rPr>
                    <w:t>排放量不得大于替代前的</w:t>
                  </w:r>
                  <w:r>
                    <w:rPr>
                      <w:rFonts w:hint="default"/>
                      <w:color w:val="auto"/>
                      <w:sz w:val="21"/>
                      <w:szCs w:val="21"/>
                      <w:lang w:val="en-US" w:eastAsia="zh-CN"/>
                    </w:rPr>
                    <w:t>VOCs</w:t>
                  </w:r>
                  <w:r>
                    <w:rPr>
                      <w:rFonts w:hint="eastAsia"/>
                      <w:color w:val="auto"/>
                      <w:sz w:val="21"/>
                      <w:szCs w:val="21"/>
                      <w:lang w:val="en-US" w:eastAsia="zh-CN"/>
                    </w:rPr>
                    <w:t>排放量。</w:t>
                  </w:r>
                </w:p>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使用的原辅材料</w:t>
                  </w:r>
                  <w:r>
                    <w:rPr>
                      <w:rFonts w:hint="default"/>
                      <w:color w:val="auto"/>
                      <w:sz w:val="21"/>
                      <w:szCs w:val="21"/>
                      <w:lang w:val="en-US" w:eastAsia="zh-CN"/>
                    </w:rPr>
                    <w:t>VOCs</w:t>
                  </w:r>
                  <w:r>
                    <w:rPr>
                      <w:rFonts w:hint="eastAsia"/>
                      <w:color w:val="auto"/>
                      <w:sz w:val="21"/>
                      <w:szCs w:val="21"/>
                      <w:lang w:val="en-US" w:eastAsia="zh-CN"/>
                    </w:rPr>
                    <w:t>含量（质量比）低于</w:t>
                  </w:r>
                  <w:r>
                    <w:rPr>
                      <w:rFonts w:hint="default"/>
                      <w:color w:val="auto"/>
                      <w:sz w:val="21"/>
                      <w:szCs w:val="21"/>
                      <w:lang w:val="en-US" w:eastAsia="zh-CN"/>
                    </w:rPr>
                    <w:t>10%</w:t>
                  </w:r>
                  <w:r>
                    <w:rPr>
                      <w:rFonts w:hint="eastAsia"/>
                      <w:color w:val="auto"/>
                      <w:sz w:val="21"/>
                      <w:szCs w:val="21"/>
                      <w:lang w:val="en-US" w:eastAsia="zh-CN"/>
                    </w:rPr>
                    <w:t>的工序，无组织排放浓度达标的，可不要求采取</w:t>
                  </w:r>
                  <w:r>
                    <w:rPr>
                      <w:rFonts w:hint="default"/>
                      <w:color w:val="auto"/>
                      <w:sz w:val="21"/>
                      <w:szCs w:val="21"/>
                      <w:lang w:val="en-US" w:eastAsia="zh-CN"/>
                    </w:rPr>
                    <w:t>VOCs</w:t>
                  </w:r>
                  <w:r>
                    <w:rPr>
                      <w:rFonts w:hint="eastAsia"/>
                      <w:color w:val="auto"/>
                      <w:sz w:val="21"/>
                      <w:szCs w:val="21"/>
                      <w:lang w:val="en-US" w:eastAsia="zh-CN"/>
                    </w:rPr>
                    <w:t>无组织排放收集措施。对于现有项目，实施</w:t>
                  </w:r>
                  <w:r>
                    <w:rPr>
                      <w:rFonts w:hint="default"/>
                      <w:color w:val="auto"/>
                      <w:sz w:val="21"/>
                      <w:szCs w:val="21"/>
                      <w:lang w:val="en-US" w:eastAsia="zh-CN"/>
                    </w:rPr>
                    <w:t>VOCs</w:t>
                  </w:r>
                  <w:r>
                    <w:rPr>
                      <w:rFonts w:hint="eastAsia"/>
                      <w:color w:val="auto"/>
                      <w:sz w:val="21"/>
                      <w:szCs w:val="21"/>
                      <w:lang w:val="en-US" w:eastAsia="zh-CN"/>
                    </w:rPr>
                    <w:t>含量低于</w:t>
                  </w:r>
                  <w:r>
                    <w:rPr>
                      <w:rFonts w:hint="default"/>
                      <w:color w:val="auto"/>
                      <w:sz w:val="21"/>
                      <w:szCs w:val="21"/>
                      <w:lang w:val="en-US" w:eastAsia="zh-CN"/>
                    </w:rPr>
                    <w:t>10%</w:t>
                  </w:r>
                  <w:r>
                    <w:rPr>
                      <w:rFonts w:hint="eastAsia"/>
                      <w:color w:val="auto"/>
                      <w:sz w:val="21"/>
                      <w:szCs w:val="21"/>
                      <w:lang w:val="en-US" w:eastAsia="zh-CN"/>
                    </w:rPr>
                    <w:t>的原辅材料替代后，可不采取</w:t>
                  </w:r>
                  <w:r>
                    <w:rPr>
                      <w:rFonts w:hint="default"/>
                      <w:color w:val="auto"/>
                      <w:sz w:val="21"/>
                      <w:szCs w:val="21"/>
                      <w:lang w:val="en-US" w:eastAsia="zh-CN"/>
                    </w:rPr>
                    <w:t>VOCs</w:t>
                  </w:r>
                  <w:r>
                    <w:rPr>
                      <w:rFonts w:hint="eastAsia"/>
                      <w:color w:val="auto"/>
                      <w:sz w:val="21"/>
                      <w:szCs w:val="21"/>
                      <w:lang w:val="en-US" w:eastAsia="zh-CN"/>
                    </w:rPr>
                    <w:t>无组织排放收集措施，简化或拆除</w:t>
                  </w:r>
                  <w:r>
                    <w:rPr>
                      <w:rFonts w:hint="default"/>
                      <w:color w:val="auto"/>
                      <w:sz w:val="21"/>
                      <w:szCs w:val="21"/>
                      <w:lang w:val="en-US" w:eastAsia="zh-CN"/>
                    </w:rPr>
                    <w:t>VOCs</w:t>
                  </w:r>
                  <w:r>
                    <w:rPr>
                      <w:rFonts w:hint="eastAsia"/>
                      <w:color w:val="auto"/>
                      <w:sz w:val="21"/>
                      <w:szCs w:val="21"/>
                      <w:lang w:val="en-US" w:eastAsia="zh-CN"/>
                    </w:rPr>
                    <w:t>收集治理设施的，替代后的</w:t>
                  </w:r>
                  <w:r>
                    <w:rPr>
                      <w:rFonts w:hint="default"/>
                      <w:color w:val="auto"/>
                      <w:sz w:val="21"/>
                      <w:szCs w:val="21"/>
                      <w:lang w:val="en-US" w:eastAsia="zh-CN"/>
                    </w:rPr>
                    <w:t>VOCs</w:t>
                  </w:r>
                  <w:r>
                    <w:rPr>
                      <w:rFonts w:hint="eastAsia"/>
                      <w:color w:val="auto"/>
                      <w:sz w:val="21"/>
                      <w:szCs w:val="21"/>
                      <w:lang w:val="en-US" w:eastAsia="zh-CN"/>
                    </w:rPr>
                    <w:t>排放量不得大于替代前的</w:t>
                  </w:r>
                  <w:r>
                    <w:rPr>
                      <w:rFonts w:hint="default"/>
                      <w:color w:val="auto"/>
                      <w:sz w:val="21"/>
                      <w:szCs w:val="21"/>
                      <w:lang w:val="en-US" w:eastAsia="zh-CN"/>
                    </w:rPr>
                    <w:t>VOCs</w:t>
                  </w:r>
                  <w:r>
                    <w:rPr>
                      <w:rFonts w:hint="eastAsia"/>
                      <w:color w:val="auto"/>
                      <w:sz w:val="21"/>
                      <w:szCs w:val="21"/>
                      <w:lang w:val="en-US" w:eastAsia="zh-CN"/>
                    </w:rPr>
                    <w:t>排放量。</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eastAsia="宋体"/>
                      <w:color w:val="auto"/>
                      <w:sz w:val="21"/>
                      <w:szCs w:val="21"/>
                      <w:lang w:val="en-US" w:eastAsia="zh-CN"/>
                    </w:rPr>
                  </w:pPr>
                  <w:r>
                    <w:rPr>
                      <w:rFonts w:hint="eastAsia"/>
                      <w:color w:val="auto"/>
                      <w:sz w:val="21"/>
                      <w:szCs w:val="21"/>
                      <w:lang w:val="en-US" w:eastAsia="zh-CN"/>
                    </w:rPr>
                    <w:t>本项目采用合适的处理技术处理</w:t>
                  </w:r>
                  <w:r>
                    <w:rPr>
                      <w:rFonts w:hint="default"/>
                      <w:color w:val="auto"/>
                      <w:sz w:val="21"/>
                      <w:szCs w:val="21"/>
                      <w:lang w:val="en-US" w:eastAsia="zh-CN"/>
                    </w:rPr>
                    <w:t>VOCs</w:t>
                  </w:r>
                  <w:r>
                    <w:rPr>
                      <w:rFonts w:hint="eastAsia"/>
                      <w:color w:val="auto"/>
                      <w:sz w:val="21"/>
                      <w:szCs w:val="21"/>
                      <w:lang w:val="en-US" w:eastAsia="zh-CN"/>
                    </w:rPr>
                    <w:t>废气，尾气通过15</w:t>
                  </w:r>
                  <w:r>
                    <w:rPr>
                      <w:rFonts w:hint="default"/>
                      <w:color w:val="auto"/>
                      <w:sz w:val="21"/>
                      <w:szCs w:val="21"/>
                      <w:lang w:val="en-US" w:eastAsia="zh-CN"/>
                    </w:rPr>
                    <w:t>m</w:t>
                  </w:r>
                  <w:r>
                    <w:rPr>
                      <w:rFonts w:hint="eastAsia"/>
                      <w:color w:val="auto"/>
                      <w:sz w:val="21"/>
                      <w:szCs w:val="21"/>
                      <w:lang w:val="en-US" w:eastAsia="zh-CN"/>
                    </w:rPr>
                    <w:t>高排气筒排放。</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FF0000"/>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建议使用低</w:t>
                  </w:r>
                  <w:r>
                    <w:rPr>
                      <w:rFonts w:hint="default"/>
                      <w:color w:val="auto"/>
                      <w:sz w:val="21"/>
                      <w:szCs w:val="21"/>
                      <w:lang w:val="en-US" w:eastAsia="zh-CN"/>
                    </w:rPr>
                    <w:t>VOCs</w:t>
                  </w:r>
                  <w:r>
                    <w:rPr>
                      <w:rFonts w:hint="eastAsia"/>
                      <w:color w:val="auto"/>
                      <w:sz w:val="21"/>
                      <w:szCs w:val="21"/>
                      <w:lang w:val="en-US" w:eastAsia="zh-CN"/>
                    </w:rPr>
                    <w:t>原辅材料的生产设施与使用溶剂型原辅材料的生产设施相互分开。</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本项目不涉及溶剂型原辅材料。</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restart"/>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default"/>
                      <w:color w:val="auto"/>
                      <w:sz w:val="21"/>
                      <w:szCs w:val="21"/>
                      <w:lang w:val="en-US" w:eastAsia="zh-CN"/>
                    </w:rPr>
                  </w:pPr>
                  <w:r>
                    <w:rPr>
                      <w:rFonts w:hint="eastAsia"/>
                      <w:color w:val="auto"/>
                      <w:w w:val="90"/>
                      <w:sz w:val="21"/>
                      <w:szCs w:val="21"/>
                      <w:lang w:val="en-US" w:eastAsia="zh-CN"/>
                    </w:rPr>
                    <w:t>VOC</w:t>
                  </w:r>
                  <w:r>
                    <w:rPr>
                      <w:rFonts w:hint="eastAsia"/>
                      <w:color w:val="auto"/>
                      <w:sz w:val="21"/>
                      <w:szCs w:val="21"/>
                      <w:vertAlign w:val="subscript"/>
                      <w:lang w:val="en-US" w:eastAsia="zh-CN"/>
                    </w:rPr>
                    <w:t>s</w:t>
                  </w:r>
                  <w:r>
                    <w:rPr>
                      <w:rFonts w:hint="eastAsia"/>
                      <w:color w:val="auto"/>
                      <w:sz w:val="21"/>
                      <w:szCs w:val="21"/>
                      <w:lang w:val="en-US" w:eastAsia="zh-CN"/>
                    </w:rPr>
                    <w:t>无组织排放控制相关要求</w:t>
                  </w: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优先采用密闭设备、在密闭空间中操作或采用全密闭集气罩收集废气的方式，并保持微负压运行。密闭空间或全密闭集气罩常开开口面（进出通道、窗户、补风口等）的控制风速参照《印刷工业污染防治可行技术指南》（</w:t>
                  </w:r>
                  <w:r>
                    <w:rPr>
                      <w:rFonts w:hint="default"/>
                      <w:color w:val="auto"/>
                      <w:sz w:val="21"/>
                      <w:szCs w:val="21"/>
                      <w:lang w:val="en-US" w:eastAsia="zh-CN"/>
                    </w:rPr>
                    <w:t>HJ1089-2020</w:t>
                  </w:r>
                  <w:r>
                    <w:rPr>
                      <w:rFonts w:hint="eastAsia"/>
                      <w:color w:val="auto"/>
                      <w:sz w:val="21"/>
                      <w:szCs w:val="21"/>
                      <w:lang w:val="en-US" w:eastAsia="zh-CN"/>
                    </w:rPr>
                    <w:t>）附录</w:t>
                  </w:r>
                  <w:r>
                    <w:rPr>
                      <w:rFonts w:hint="default"/>
                      <w:color w:val="auto"/>
                      <w:sz w:val="21"/>
                      <w:szCs w:val="21"/>
                      <w:lang w:val="en-US" w:eastAsia="zh-CN"/>
                    </w:rPr>
                    <w:t>D</w:t>
                  </w:r>
                  <w:r>
                    <w:rPr>
                      <w:rFonts w:hint="eastAsia"/>
                      <w:color w:val="auto"/>
                      <w:sz w:val="21"/>
                      <w:szCs w:val="21"/>
                      <w:lang w:val="en-US" w:eastAsia="zh-CN"/>
                    </w:rPr>
                    <w:t>执行，即与车间外大气连通的开口面控制风速不小于</w:t>
                  </w:r>
                  <w:r>
                    <w:rPr>
                      <w:rFonts w:hint="default"/>
                      <w:color w:val="auto"/>
                      <w:sz w:val="21"/>
                      <w:szCs w:val="21"/>
                      <w:lang w:val="en-US" w:eastAsia="zh-CN"/>
                    </w:rPr>
                    <w:t>1.2</w:t>
                  </w:r>
                  <w:r>
                    <w:rPr>
                      <w:rFonts w:hint="eastAsia"/>
                      <w:color w:val="auto"/>
                      <w:sz w:val="21"/>
                      <w:szCs w:val="21"/>
                      <w:lang w:val="en-US" w:eastAsia="zh-CN"/>
                    </w:rPr>
                    <w:t>米</w:t>
                  </w:r>
                  <w:r>
                    <w:rPr>
                      <w:rFonts w:hint="default"/>
                      <w:color w:val="auto"/>
                      <w:sz w:val="21"/>
                      <w:szCs w:val="21"/>
                      <w:lang w:val="en-US" w:eastAsia="zh-CN"/>
                    </w:rPr>
                    <w:t>/</w:t>
                  </w:r>
                  <w:r>
                    <w:rPr>
                      <w:rFonts w:hint="eastAsia"/>
                      <w:color w:val="auto"/>
                      <w:sz w:val="21"/>
                      <w:szCs w:val="21"/>
                      <w:lang w:val="en-US" w:eastAsia="zh-CN"/>
                    </w:rPr>
                    <w:t>秒；其他开口面控制风速不小于</w:t>
                  </w:r>
                  <w:r>
                    <w:rPr>
                      <w:rFonts w:hint="default"/>
                      <w:color w:val="auto"/>
                      <w:sz w:val="21"/>
                      <w:szCs w:val="21"/>
                      <w:lang w:val="en-US" w:eastAsia="zh-CN"/>
                    </w:rPr>
                    <w:t>0.4</w:t>
                  </w:r>
                  <w:r>
                    <w:rPr>
                      <w:rFonts w:hint="eastAsia"/>
                      <w:color w:val="auto"/>
                      <w:sz w:val="21"/>
                      <w:szCs w:val="21"/>
                      <w:lang w:val="en-US" w:eastAsia="zh-CN"/>
                    </w:rPr>
                    <w:t>米</w:t>
                  </w:r>
                  <w:r>
                    <w:rPr>
                      <w:rFonts w:hint="default"/>
                      <w:color w:val="auto"/>
                      <w:sz w:val="21"/>
                      <w:szCs w:val="21"/>
                      <w:lang w:val="en-US" w:eastAsia="zh-CN"/>
                    </w:rPr>
                    <w:t>/</w:t>
                  </w:r>
                  <w:r>
                    <w:rPr>
                      <w:rFonts w:hint="eastAsia"/>
                      <w:color w:val="auto"/>
                      <w:sz w:val="21"/>
                      <w:szCs w:val="21"/>
                      <w:lang w:val="en-US" w:eastAsia="zh-CN"/>
                    </w:rPr>
                    <w:t>秒。当密闭空间或全密闭集气罩内需要补送新风时，净抽风量应满足控制风速要求，否则应在外层设置双层整体密闭收集空间，收集后进行处理。</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本项目按要求进行废气收集系统的设计。</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开放环境中采用局部集气罩方式收集废气的企业，距废气收集系统排风罩开口面最远处的</w:t>
                  </w:r>
                  <w:r>
                    <w:rPr>
                      <w:rFonts w:hint="default"/>
                      <w:color w:val="auto"/>
                      <w:sz w:val="21"/>
                      <w:szCs w:val="21"/>
                      <w:lang w:val="en-US" w:eastAsia="zh-CN"/>
                    </w:rPr>
                    <w:t>VOCs</w:t>
                  </w:r>
                  <w:r>
                    <w:rPr>
                      <w:rFonts w:hint="eastAsia"/>
                      <w:color w:val="auto"/>
                      <w:sz w:val="21"/>
                      <w:szCs w:val="21"/>
                      <w:lang w:val="en-US" w:eastAsia="zh-CN"/>
                    </w:rPr>
                    <w:t>无组织排放位置控制风速不低于</w:t>
                  </w:r>
                  <w:r>
                    <w:rPr>
                      <w:rFonts w:hint="default"/>
                      <w:color w:val="auto"/>
                      <w:sz w:val="21"/>
                      <w:szCs w:val="21"/>
                      <w:lang w:val="en-US" w:eastAsia="zh-CN"/>
                    </w:rPr>
                    <w:t>0.3</w:t>
                  </w:r>
                  <w:r>
                    <w:rPr>
                      <w:rFonts w:hint="eastAsia"/>
                      <w:color w:val="auto"/>
                      <w:sz w:val="21"/>
                      <w:szCs w:val="21"/>
                      <w:lang w:val="en-US" w:eastAsia="zh-CN"/>
                    </w:rPr>
                    <w:t>米</w:t>
                  </w:r>
                  <w:r>
                    <w:rPr>
                      <w:rFonts w:hint="default"/>
                      <w:color w:val="auto"/>
                      <w:sz w:val="21"/>
                      <w:szCs w:val="21"/>
                      <w:lang w:val="en-US" w:eastAsia="zh-CN"/>
                    </w:rPr>
                    <w:t>/</w:t>
                  </w:r>
                  <w:r>
                    <w:rPr>
                      <w:rFonts w:hint="eastAsia"/>
                      <w:color w:val="auto"/>
                      <w:sz w:val="21"/>
                      <w:szCs w:val="21"/>
                      <w:lang w:val="en-US" w:eastAsia="zh-CN"/>
                    </w:rPr>
                    <w:t>秒。</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firstLineChars="0"/>
                    <w:jc w:val="both"/>
                    <w:textAlignment w:val="auto"/>
                    <w:rPr>
                      <w:rFonts w:hint="default" w:ascii="Times New Roman" w:hAnsi="Times New Roman" w:eastAsia="宋体" w:cs="Times New Roman"/>
                      <w:color w:val="auto"/>
                      <w:kern w:val="0"/>
                      <w:sz w:val="21"/>
                      <w:szCs w:val="21"/>
                      <w:lang w:val="en-US" w:eastAsia="zh-CN" w:bidi="ar-SA"/>
                    </w:rPr>
                  </w:pPr>
                  <w:r>
                    <w:rPr>
                      <w:rFonts w:hint="eastAsia"/>
                      <w:color w:val="auto"/>
                      <w:sz w:val="21"/>
                      <w:szCs w:val="21"/>
                      <w:lang w:val="en-US" w:eastAsia="zh-CN"/>
                    </w:rPr>
                    <w:t>本项目按要求进行废气收集系统的设计。</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firstLineChars="0"/>
                    <w:jc w:val="both"/>
                    <w:textAlignment w:val="auto"/>
                    <w:rPr>
                      <w:rFonts w:hint="eastAsia" w:ascii="Times New Roman" w:hAnsi="Times New Roman" w:eastAsia="宋体" w:cs="Times New Roman"/>
                      <w:color w:val="auto"/>
                      <w:kern w:val="0"/>
                      <w:sz w:val="21"/>
                      <w:szCs w:val="21"/>
                      <w:lang w:val="en-US" w:eastAsia="zh-CN" w:bidi="ar-SA"/>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根据行业排放标准和《挥发性有机物无组织排放控制标准》（</w:t>
                  </w:r>
                  <w:r>
                    <w:rPr>
                      <w:rFonts w:hint="default"/>
                      <w:color w:val="auto"/>
                      <w:sz w:val="21"/>
                      <w:szCs w:val="21"/>
                      <w:lang w:val="en-US" w:eastAsia="zh-CN"/>
                    </w:rPr>
                    <w:t>GB37822-2019</w:t>
                  </w:r>
                  <w:r>
                    <w:rPr>
                      <w:rFonts w:hint="eastAsia"/>
                      <w:color w:val="auto"/>
                      <w:sz w:val="21"/>
                      <w:szCs w:val="21"/>
                      <w:lang w:val="en-US" w:eastAsia="zh-CN"/>
                    </w:rPr>
                    <w:t>）要求，做好工艺过程和公用工程的</w:t>
                  </w:r>
                  <w:r>
                    <w:rPr>
                      <w:rFonts w:hint="default"/>
                      <w:color w:val="auto"/>
                      <w:sz w:val="21"/>
                      <w:szCs w:val="21"/>
                      <w:lang w:val="en-US" w:eastAsia="zh-CN"/>
                    </w:rPr>
                    <w:t>VOCs</w:t>
                  </w:r>
                  <w:r>
                    <w:rPr>
                      <w:rFonts w:hint="eastAsia"/>
                      <w:color w:val="auto"/>
                      <w:sz w:val="21"/>
                      <w:szCs w:val="21"/>
                      <w:lang w:val="en-US" w:eastAsia="zh-CN"/>
                    </w:rPr>
                    <w:t>无组织排放控制。完善非正常工况</w:t>
                  </w:r>
                  <w:r>
                    <w:rPr>
                      <w:rFonts w:hint="default"/>
                      <w:color w:val="auto"/>
                      <w:sz w:val="21"/>
                      <w:szCs w:val="21"/>
                      <w:lang w:val="en-US" w:eastAsia="zh-CN"/>
                    </w:rPr>
                    <w:t>VOCs</w:t>
                  </w:r>
                  <w:r>
                    <w:rPr>
                      <w:rFonts w:hint="eastAsia"/>
                      <w:color w:val="auto"/>
                      <w:sz w:val="21"/>
                      <w:szCs w:val="21"/>
                      <w:lang w:val="en-US" w:eastAsia="zh-CN"/>
                    </w:rPr>
                    <w:t>管控，不得进行敞开式退料、清洗、吹扫等作业。火炬燃烧装置原则上只用于应急处置，应安装温度、废气流量、助燃气体流量等监控装置，并逐步安装热值检测仪。</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firstLineChars="0"/>
                    <w:jc w:val="both"/>
                    <w:textAlignment w:val="auto"/>
                    <w:rPr>
                      <w:rFonts w:hint="default"/>
                      <w:color w:val="auto"/>
                      <w:sz w:val="21"/>
                      <w:szCs w:val="21"/>
                      <w:lang w:val="en-US" w:eastAsia="zh-CN"/>
                    </w:rPr>
                  </w:pPr>
                  <w:r>
                    <w:rPr>
                      <w:rFonts w:hint="eastAsia"/>
                      <w:color w:val="auto"/>
                      <w:sz w:val="21"/>
                      <w:szCs w:val="21"/>
                      <w:lang w:val="en-US" w:eastAsia="zh-CN"/>
                    </w:rPr>
                    <w:t>根据行业排放标准和《挥发性有机物无组织排放控制标准》（</w:t>
                  </w:r>
                  <w:r>
                    <w:rPr>
                      <w:rFonts w:hint="default"/>
                      <w:color w:val="auto"/>
                      <w:sz w:val="21"/>
                      <w:szCs w:val="21"/>
                      <w:lang w:val="en-US" w:eastAsia="zh-CN"/>
                    </w:rPr>
                    <w:t>GB37822-2019</w:t>
                  </w:r>
                  <w:r>
                    <w:rPr>
                      <w:rFonts w:hint="eastAsia"/>
                      <w:color w:val="auto"/>
                      <w:sz w:val="21"/>
                      <w:szCs w:val="21"/>
                      <w:lang w:val="en-US" w:eastAsia="zh-CN"/>
                    </w:rPr>
                    <w:t>）要求，做好工艺过程的</w:t>
                  </w:r>
                  <w:r>
                    <w:rPr>
                      <w:rFonts w:hint="default"/>
                      <w:color w:val="auto"/>
                      <w:sz w:val="21"/>
                      <w:szCs w:val="21"/>
                      <w:lang w:val="en-US" w:eastAsia="zh-CN"/>
                    </w:rPr>
                    <w:t>VOCs</w:t>
                  </w:r>
                  <w:r>
                    <w:rPr>
                      <w:rFonts w:hint="eastAsia"/>
                      <w:color w:val="auto"/>
                      <w:sz w:val="21"/>
                      <w:szCs w:val="21"/>
                      <w:lang w:val="en-US" w:eastAsia="zh-CN"/>
                    </w:rPr>
                    <w:t>无组织排放控制。将完善非正常工况</w:t>
                  </w:r>
                  <w:r>
                    <w:rPr>
                      <w:rFonts w:hint="default"/>
                      <w:color w:val="auto"/>
                      <w:sz w:val="21"/>
                      <w:szCs w:val="21"/>
                      <w:lang w:val="en-US" w:eastAsia="zh-CN"/>
                    </w:rPr>
                    <w:t>VOCs</w:t>
                  </w:r>
                  <w:r>
                    <w:rPr>
                      <w:rFonts w:hint="eastAsia"/>
                      <w:color w:val="auto"/>
                      <w:sz w:val="21"/>
                      <w:szCs w:val="21"/>
                      <w:lang w:val="en-US" w:eastAsia="zh-CN"/>
                    </w:rPr>
                    <w:t>管控。</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firstLineChars="0"/>
                    <w:jc w:val="both"/>
                    <w:textAlignment w:val="auto"/>
                    <w:rPr>
                      <w:rFonts w:hint="default"/>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restart"/>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auto"/>
                      <w:sz w:val="21"/>
                      <w:szCs w:val="21"/>
                      <w:lang w:val="en-US" w:eastAsia="zh-CN"/>
                    </w:rPr>
                  </w:pPr>
                  <w:r>
                    <w:rPr>
                      <w:rFonts w:hint="eastAsia"/>
                      <w:color w:val="auto"/>
                      <w:sz w:val="21"/>
                      <w:szCs w:val="21"/>
                      <w:lang w:val="en-US" w:eastAsia="zh-CN"/>
                    </w:rPr>
                    <w:t>数字化监管相关要求</w:t>
                  </w: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完善无组织排放控制的数字化监管。针对采用密闭空间、全密闭集气罩收集废气的企业，建议现场安装视频监控，有条件的在开口面安装开关监控、微负压传感器等装置，确保实现微负压收集。</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firstLineChars="0"/>
                    <w:jc w:val="both"/>
                    <w:textAlignment w:val="auto"/>
                    <w:rPr>
                      <w:rFonts w:hint="default"/>
                      <w:color w:val="auto"/>
                      <w:sz w:val="21"/>
                      <w:szCs w:val="21"/>
                      <w:lang w:val="en-US" w:eastAsia="zh-CN"/>
                    </w:rPr>
                  </w:pPr>
                  <w:r>
                    <w:rPr>
                      <w:rFonts w:hint="eastAsia"/>
                      <w:color w:val="auto"/>
                      <w:sz w:val="21"/>
                      <w:szCs w:val="21"/>
                      <w:lang w:val="en-US" w:eastAsia="zh-CN"/>
                    </w:rPr>
                    <w:t>企业将按规范实施。</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firstLineChars="0"/>
                    <w:jc w:val="both"/>
                    <w:textAlignment w:val="auto"/>
                    <w:rPr>
                      <w:rFonts w:hint="eastAsia"/>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3"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auto"/>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安装废气治理设施用电监管模块，采集末端治理设施的用电设备运行电流、开关等信号，用以判断监控末端治理设施是否正常开启、是否规范运行。可结合工作需要采集仪器仪表的必要运行参数。</w:t>
                  </w:r>
                </w:p>
              </w:tc>
              <w:tc>
                <w:tcPr>
                  <w:tcW w:w="213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eastAsia="宋体"/>
                      <w:color w:val="auto"/>
                      <w:sz w:val="21"/>
                      <w:szCs w:val="21"/>
                      <w:lang w:val="en-US" w:eastAsia="zh-CN"/>
                    </w:rPr>
                  </w:pPr>
                  <w:r>
                    <w:rPr>
                      <w:rFonts w:hint="eastAsia"/>
                      <w:color w:val="auto"/>
                      <w:sz w:val="21"/>
                      <w:szCs w:val="21"/>
                      <w:lang w:val="en-US" w:eastAsia="zh-CN"/>
                    </w:rPr>
                    <w:t>企业将按规范实施。</w:t>
                  </w:r>
                </w:p>
              </w:tc>
              <w:tc>
                <w:tcPr>
                  <w:tcW w:w="676"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5" w:type="dxa"/>
                  <w:vMerge w:val="continue"/>
                  <w:tcBorders>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center"/>
                    <w:textAlignment w:val="auto"/>
                    <w:rPr>
                      <w:rFonts w:hint="eastAsia"/>
                      <w:color w:val="auto"/>
                      <w:sz w:val="21"/>
                      <w:szCs w:val="21"/>
                      <w:lang w:val="en-US" w:eastAsia="zh-CN"/>
                    </w:rPr>
                  </w:pPr>
                </w:p>
              </w:tc>
              <w:tc>
                <w:tcPr>
                  <w:tcW w:w="4509" w:type="dxa"/>
                  <w:tcBorders>
                    <w:top w:val="single" w:color="auto" w:sz="4" w:space="0"/>
                    <w:left w:val="single" w:color="auto" w:sz="4" w:space="0"/>
                    <w:bottom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活性炭分散吸附设施应配套安装运行状态监控装置，通过计算累计运行时间，对照排污许可证或其他许可、设计文件确定的更换周期，提前预警活性炭失效情况。活性炭分散吸附设施排放口应设置规范化标识，便于监督管理人员及时掌握活性炭使用情况。</w:t>
                  </w:r>
                </w:p>
              </w:tc>
              <w:tc>
                <w:tcPr>
                  <w:tcW w:w="213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default" w:eastAsia="宋体"/>
                      <w:color w:val="auto"/>
                      <w:sz w:val="21"/>
                      <w:szCs w:val="21"/>
                      <w:lang w:val="en-US" w:eastAsia="zh-CN"/>
                    </w:rPr>
                  </w:pPr>
                  <w:r>
                    <w:rPr>
                      <w:rFonts w:hint="eastAsia"/>
                      <w:color w:val="auto"/>
                      <w:sz w:val="21"/>
                      <w:szCs w:val="21"/>
                      <w:lang w:val="en-US" w:eastAsia="zh-CN"/>
                    </w:rPr>
                    <w:t>企业将按规范实施。</w:t>
                  </w:r>
                </w:p>
              </w:tc>
              <w:tc>
                <w:tcPr>
                  <w:tcW w:w="676" w:type="dxa"/>
                  <w:tcBorders>
                    <w:top w:val="single" w:color="auto" w:sz="4" w:space="0"/>
                    <w:left w:val="single" w:color="auto" w:sz="4" w:space="0"/>
                    <w:right w:val="single" w:color="auto" w:sz="4" w:space="0"/>
                  </w:tcBorders>
                  <w:noWrap/>
                  <w:vAlign w:val="center"/>
                </w:tcPr>
                <w:p>
                  <w:pPr>
                    <w:pStyle w:val="8"/>
                    <w:keepNext w:val="0"/>
                    <w:keepLines w:val="0"/>
                    <w:pageBreakBefore w:val="0"/>
                    <w:kinsoku/>
                    <w:wordWrap/>
                    <w:overflowPunct/>
                    <w:topLinePunct w:val="0"/>
                    <w:autoSpaceDE/>
                    <w:autoSpaceDN/>
                    <w:bidi w:val="0"/>
                    <w:snapToGrid/>
                    <w:spacing w:line="280" w:lineRule="exact"/>
                    <w:ind w:firstLine="0"/>
                    <w:jc w:val="both"/>
                    <w:textAlignment w:val="auto"/>
                    <w:rPr>
                      <w:rFonts w:hint="eastAsia"/>
                      <w:color w:val="auto"/>
                      <w:sz w:val="21"/>
                      <w:szCs w:val="21"/>
                      <w:lang w:val="en-US" w:eastAsia="zh-CN"/>
                    </w:rPr>
                  </w:pPr>
                  <w:r>
                    <w:rPr>
                      <w:rFonts w:hint="eastAsia"/>
                      <w:color w:val="auto"/>
                      <w:sz w:val="21"/>
                      <w:szCs w:val="21"/>
                      <w:lang w:val="en-US" w:eastAsia="zh-CN"/>
                    </w:rPr>
                    <w:t>符合</w:t>
                  </w:r>
                </w:p>
              </w:tc>
            </w:tr>
          </w:tbl>
          <w:p>
            <w:pPr>
              <w:pStyle w:val="38"/>
              <w:keepNext w:val="0"/>
              <w:keepLines w:val="0"/>
              <w:pageBreakBefore w:val="0"/>
              <w:widowControl w:val="0"/>
              <w:kinsoku/>
              <w:wordWrap/>
              <w:overflowPunct/>
              <w:topLinePunct w:val="0"/>
              <w:autoSpaceDE w:val="0"/>
              <w:autoSpaceDN w:val="0"/>
              <w:bidi w:val="0"/>
              <w:adjustRightInd w:val="0"/>
              <w:snapToGrid/>
              <w:spacing w:line="60" w:lineRule="exact"/>
              <w:jc w:val="both"/>
              <w:textAlignment w:val="baseline"/>
              <w:rPr>
                <w:b/>
                <w:color w:val="auto"/>
              </w:rPr>
            </w:pPr>
          </w:p>
          <w:p>
            <w:pPr>
              <w:pStyle w:val="120"/>
              <w:spacing w:line="360" w:lineRule="auto"/>
              <w:ind w:left="60" w:leftChars="25" w:right="60" w:rightChars="25" w:firstLine="482" w:firstLineChars="200"/>
              <w:rPr>
                <w:rFonts w:hint="default" w:ascii="Times New Roman" w:hAnsi="Times New Roman" w:eastAsia="宋体" w:cs="Times New Roman"/>
                <w:color w:val="auto"/>
                <w:lang w:val="en-US" w:eastAsia="zh-CN"/>
              </w:rPr>
            </w:pPr>
            <w:r>
              <w:rPr>
                <w:rFonts w:hint="eastAsia" w:ascii="Times New Roman" w:hAnsi="Times New Roman" w:eastAsia="宋体" w:cs="Times New Roman"/>
                <w:b/>
                <w:bCs/>
                <w:color w:val="auto"/>
                <w:lang w:val="en-US" w:eastAsia="zh-CN"/>
              </w:rPr>
              <w:t>符合性分析：</w:t>
            </w:r>
            <w:r>
              <w:rPr>
                <w:rFonts w:hint="eastAsia" w:ascii="Times New Roman" w:hAnsi="Times New Roman" w:eastAsia="宋体" w:cs="Times New Roman"/>
                <w:color w:val="auto"/>
                <w:lang w:val="en-US" w:eastAsia="zh-CN"/>
              </w:rPr>
              <w:t>本项目建设符合《浙江省臭氧污染防治攻坚三年行动方案》（浙美丽办</w:t>
            </w:r>
            <w:r>
              <w:rPr>
                <w:rFonts w:hint="default" w:ascii="Times New Roman" w:hAnsi="Times New Roman" w:eastAsia="宋体" w:cs="Times New Roman"/>
                <w:color w:val="auto"/>
                <w:lang w:val="en-US" w:eastAsia="zh-CN"/>
              </w:rPr>
              <w:t>[2022]26</w:t>
            </w:r>
            <w:r>
              <w:rPr>
                <w:rFonts w:hint="eastAsia" w:ascii="Times New Roman" w:hAnsi="Times New Roman" w:eastAsia="宋体" w:cs="Times New Roman"/>
                <w:color w:val="auto"/>
                <w:lang w:val="en-US" w:eastAsia="zh-CN"/>
              </w:rPr>
              <w:t>号）要求。</w:t>
            </w:r>
          </w:p>
          <w:p>
            <w:pPr>
              <w:pStyle w:val="120"/>
              <w:spacing w:line="240" w:lineRule="auto"/>
              <w:ind w:left="60" w:leftChars="25" w:right="60" w:rightChars="25" w:firstLine="480" w:firstLineChars="200"/>
              <w:rPr>
                <w:rFonts w:hint="default" w:ascii="Times New Roman" w:hAnsi="Times New Roman" w:eastAsia="宋体" w:cs="Times New Roman"/>
                <w:bCs/>
                <w:color w:val="FF0000"/>
                <w:lang w:val="en-US" w:eastAsia="zh-CN"/>
              </w:rPr>
            </w:pPr>
          </w:p>
          <w:p>
            <w:pPr>
              <w:spacing w:line="360" w:lineRule="auto"/>
              <w:ind w:right="60" w:rightChars="25" w:firstLine="241" w:firstLineChars="100"/>
              <w:rPr>
                <w:rFonts w:hint="eastAsia"/>
                <w:b/>
                <w:color w:val="auto"/>
                <w:lang w:eastAsia="zh-CN"/>
              </w:rPr>
            </w:pPr>
            <w:r>
              <w:rPr>
                <w:rFonts w:hint="eastAsia"/>
                <w:b/>
                <w:color w:val="auto"/>
                <w:lang w:val="en-US" w:eastAsia="zh-CN"/>
              </w:rPr>
              <w:t>12</w:t>
            </w:r>
            <w:r>
              <w:rPr>
                <w:rFonts w:hint="eastAsia"/>
                <w:b/>
                <w:color w:val="auto"/>
              </w:rPr>
              <w:t>、</w:t>
            </w:r>
            <w:r>
              <w:rPr>
                <w:rFonts w:hint="eastAsia"/>
                <w:b/>
                <w:color w:val="auto"/>
                <w:lang w:val="en-US" w:eastAsia="zh-CN"/>
              </w:rPr>
              <w:t>《浙江省涂装行业挥发性有机物污染整治规范》的符合性分析</w:t>
            </w:r>
          </w:p>
          <w:p>
            <w:pPr>
              <w:pStyle w:val="120"/>
              <w:spacing w:line="360" w:lineRule="auto"/>
              <w:ind w:left="60" w:leftChars="25" w:right="60" w:rightChars="25" w:firstLine="480" w:firstLineChars="200"/>
              <w:rPr>
                <w:rFonts w:ascii="Times New Roman" w:cs="Times New Roman"/>
                <w:color w:val="auto"/>
              </w:rPr>
            </w:pPr>
            <w:r>
              <w:rPr>
                <w:rFonts w:hint="eastAsia" w:ascii="Times New Roman" w:hAnsi="Times New Roman" w:eastAsia="宋体" w:cs="Times New Roman"/>
                <w:color w:val="auto"/>
                <w:lang w:val="en-US" w:eastAsia="zh-CN"/>
              </w:rPr>
              <w:t>为贯彻落实国家和浙江省《大气污染防治行动计划》，大力推进涂装行业挥发性有机物污染治理，浙江省环保厅组织编制了《浙江省涂装行业挥发性有机物污染整治规范》，要求各设区市环保局结合实际，认真组织实施。本评价对照该整治规范要求进行符合性分析</w:t>
            </w:r>
            <w:r>
              <w:rPr>
                <w:rFonts w:hint="eastAsia" w:ascii="Times New Roman" w:cs="Times New Roman"/>
                <w:color w:val="auto"/>
              </w:rPr>
              <w:t>，见表1-</w:t>
            </w:r>
            <w:r>
              <w:rPr>
                <w:rFonts w:hint="eastAsia" w:ascii="Times New Roman" w:cs="Times New Roman"/>
                <w:color w:val="auto"/>
                <w:lang w:val="en-US" w:eastAsia="zh-CN"/>
              </w:rPr>
              <w:t>9</w:t>
            </w:r>
            <w:r>
              <w:rPr>
                <w:rFonts w:hint="eastAsia" w:ascii="Times New Roman" w:cs="Times New Roman"/>
                <w:color w:val="auto"/>
              </w:rPr>
              <w:t>。</w:t>
            </w:r>
          </w:p>
          <w:p>
            <w:pPr>
              <w:spacing w:line="360" w:lineRule="auto"/>
              <w:jc w:val="center"/>
              <w:rPr>
                <w:rFonts w:hint="eastAsia" w:eastAsia="宋体"/>
                <w:b/>
                <w:color w:val="auto"/>
                <w:lang w:val="en-US" w:eastAsia="zh-CN"/>
              </w:rPr>
            </w:pPr>
            <w:r>
              <w:rPr>
                <w:rFonts w:hint="eastAsia" w:eastAsia="宋体"/>
                <w:b/>
                <w:color w:val="auto"/>
                <w:lang w:val="en-US" w:eastAsia="zh-CN"/>
              </w:rPr>
              <w:t>表1-9  《浙江省涂装行业挥发性有机物污染整治规范》符合性分析汇总表</w:t>
            </w:r>
          </w:p>
          <w:tbl>
            <w:tblPr>
              <w:tblStyle w:val="29"/>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96"/>
              <w:gridCol w:w="531"/>
              <w:gridCol w:w="531"/>
              <w:gridCol w:w="3896"/>
              <w:gridCol w:w="1920"/>
              <w:gridCol w:w="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7" w:hRule="atLeast"/>
                <w:tblHeader/>
                <w:jc w:val="center"/>
              </w:trPr>
              <w:tc>
                <w:tcPr>
                  <w:tcW w:w="49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b/>
                      <w:bCs/>
                      <w:color w:val="auto"/>
                      <w:sz w:val="21"/>
                      <w:szCs w:val="21"/>
                      <w:lang w:eastAsia="zh-CN"/>
                    </w:rPr>
                  </w:pPr>
                  <w:bookmarkStart w:id="13" w:name="_Toc21697"/>
                  <w:r>
                    <w:rPr>
                      <w:rFonts w:hint="eastAsia"/>
                      <w:b/>
                      <w:bCs/>
                      <w:color w:val="auto"/>
                      <w:sz w:val="21"/>
                      <w:szCs w:val="21"/>
                      <w:lang w:val="en-US" w:eastAsia="zh-CN"/>
                    </w:rPr>
                    <w:t>分类</w:t>
                  </w: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b/>
                      <w:bCs/>
                      <w:color w:val="auto"/>
                      <w:sz w:val="21"/>
                      <w:szCs w:val="21"/>
                    </w:rPr>
                  </w:pPr>
                  <w:r>
                    <w:rPr>
                      <w:b/>
                      <w:bCs/>
                      <w:color w:val="auto"/>
                      <w:sz w:val="21"/>
                      <w:szCs w:val="21"/>
                    </w:rPr>
                    <w:t>内容</w:t>
                  </w: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b/>
                      <w:bCs/>
                      <w:color w:val="auto"/>
                      <w:sz w:val="21"/>
                      <w:szCs w:val="21"/>
                    </w:rPr>
                  </w:pPr>
                  <w:r>
                    <w:rPr>
                      <w:b/>
                      <w:bCs/>
                      <w:color w:val="auto"/>
                      <w:sz w:val="21"/>
                      <w:szCs w:val="21"/>
                    </w:rPr>
                    <w:t>序号</w:t>
                  </w:r>
                </w:p>
              </w:tc>
              <w:tc>
                <w:tcPr>
                  <w:tcW w:w="389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b/>
                      <w:bCs/>
                      <w:color w:val="auto"/>
                      <w:sz w:val="21"/>
                      <w:szCs w:val="21"/>
                    </w:rPr>
                  </w:pPr>
                  <w:r>
                    <w:rPr>
                      <w:b/>
                      <w:bCs/>
                      <w:color w:val="auto"/>
                      <w:sz w:val="21"/>
                      <w:szCs w:val="21"/>
                    </w:rPr>
                    <w:t>判断依据</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b/>
                      <w:bCs/>
                      <w:color w:val="auto"/>
                      <w:sz w:val="21"/>
                      <w:szCs w:val="21"/>
                    </w:rPr>
                  </w:pPr>
                  <w:r>
                    <w:rPr>
                      <w:b/>
                      <w:bCs/>
                      <w:color w:val="auto"/>
                      <w:sz w:val="21"/>
                      <w:szCs w:val="21"/>
                    </w:rPr>
                    <w:t>本项目情况</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b/>
                      <w:bCs/>
                      <w:color w:val="auto"/>
                      <w:sz w:val="21"/>
                      <w:szCs w:val="21"/>
                    </w:rPr>
                  </w:pPr>
                  <w:r>
                    <w:rPr>
                      <w:rFonts w:hint="eastAsia"/>
                      <w:b/>
                      <w:bCs/>
                      <w:color w:val="auto"/>
                      <w:sz w:val="21"/>
                      <w:szCs w:val="21"/>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涂装行业总体要求</w:t>
                  </w:r>
                </w:p>
              </w:tc>
              <w:tc>
                <w:tcPr>
                  <w:tcW w:w="531"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源头控制</w:t>
                  </w: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使用水性、粉末、高固体份、紫外（</w:t>
                  </w:r>
                  <w:r>
                    <w:rPr>
                      <w:rFonts w:hint="default" w:ascii="Times New Roman" w:hAnsi="Times New Roman" w:eastAsia="宋体" w:cs="Times New Roman"/>
                      <w:color w:val="auto"/>
                      <w:sz w:val="21"/>
                      <w:szCs w:val="21"/>
                      <w:lang w:val="en-US" w:eastAsia="zh-CN"/>
                    </w:rPr>
                    <w:t>UV</w:t>
                  </w:r>
                  <w:r>
                    <w:rPr>
                      <w:rFonts w:hint="eastAsia" w:ascii="Times New Roman" w:hAnsi="Times New Roman" w:eastAsia="宋体" w:cs="Times New Roman"/>
                      <w:color w:val="auto"/>
                      <w:sz w:val="21"/>
                      <w:szCs w:val="21"/>
                      <w:lang w:val="en-US" w:eastAsia="zh-CN"/>
                    </w:rPr>
                    <w:t>）光固化涂料等环境友好型涂料，限制使用即用状态下</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含量</w:t>
                  </w:r>
                  <w:r>
                    <w:rPr>
                      <w:rFonts w:hint="default" w:ascii="Times New Roman" w:hAnsi="Times New Roman" w:eastAsia="宋体" w:cs="Times New Roman"/>
                      <w:color w:val="auto"/>
                      <w:sz w:val="21"/>
                      <w:szCs w:val="21"/>
                      <w:lang w:val="en-US" w:eastAsia="zh-CN"/>
                    </w:rPr>
                    <w:t>&gt;420g/L</w:t>
                  </w:r>
                  <w:r>
                    <w:rPr>
                      <w:rFonts w:hint="eastAsia" w:ascii="Times New Roman" w:hAnsi="Times New Roman" w:eastAsia="宋体" w:cs="Times New Roman"/>
                      <w:color w:val="auto"/>
                      <w:sz w:val="21"/>
                      <w:szCs w:val="21"/>
                      <w:lang w:val="en-US" w:eastAsia="zh-CN"/>
                    </w:rPr>
                    <w:t>的涂料★</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color w:val="auto"/>
                      <w:sz w:val="21"/>
                      <w:szCs w:val="21"/>
                    </w:rPr>
                  </w:pPr>
                  <w:r>
                    <w:rPr>
                      <w:rFonts w:hint="eastAsia" w:ascii="Times New Roman" w:hAnsi="Times New Roman" w:eastAsia="宋体" w:cs="Times New Roman"/>
                      <w:color w:val="auto"/>
                      <w:sz w:val="21"/>
                      <w:szCs w:val="21"/>
                      <w:lang w:val="en-US" w:eastAsia="zh-CN"/>
                    </w:rPr>
                    <w:t>本项目使用</w:t>
                  </w:r>
                  <w:r>
                    <w:rPr>
                      <w:rFonts w:hint="eastAsia" w:cs="Times New Roman"/>
                      <w:color w:val="auto"/>
                      <w:sz w:val="21"/>
                      <w:szCs w:val="21"/>
                      <w:lang w:val="en-US" w:eastAsia="zh-CN"/>
                    </w:rPr>
                    <w:t>粉末涂料</w:t>
                  </w:r>
                  <w:r>
                    <w:rPr>
                      <w:rFonts w:hint="eastAsia" w:ascii="Times New Roman" w:hAnsi="Times New Roman" w:eastAsia="宋体" w:cs="Times New Roman"/>
                      <w:color w:val="auto"/>
                      <w:sz w:val="21"/>
                      <w:szCs w:val="21"/>
                      <w:lang w:val="en-US" w:eastAsia="zh-CN"/>
                    </w:rPr>
                    <w:t>及高固体分涂料，为环境友好型涂料</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2</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 xml:space="preserve">汽车制造、汽车维修、家具制造、电子和电器产品制造企业环境友好型涂料（水性涂料必须满足《环境标准技术产品要求水性涂料》 </w:t>
                  </w:r>
                  <w:r>
                    <w:rPr>
                      <w:rFonts w:hint="default" w:ascii="Times New Roman" w:hAnsi="Times New Roman" w:eastAsia="宋体" w:cs="Times New Roman"/>
                      <w:color w:val="auto"/>
                      <w:sz w:val="21"/>
                      <w:szCs w:val="21"/>
                      <w:lang w:val="en-US" w:eastAsia="zh-CN"/>
                    </w:rPr>
                    <w:t>HJ2537-2014</w:t>
                  </w:r>
                  <w:r>
                    <w:rPr>
                      <w:rFonts w:hint="eastAsia" w:ascii="Times New Roman" w:hAnsi="Times New Roman" w:eastAsia="宋体" w:cs="Times New Roman"/>
                      <w:color w:val="auto"/>
                      <w:sz w:val="21"/>
                      <w:szCs w:val="21"/>
                      <w:lang w:val="en-US" w:eastAsia="zh-CN"/>
                    </w:rPr>
                    <w:t>的规定）使用比例达</w:t>
                  </w:r>
                  <w:r>
                    <w:rPr>
                      <w:rFonts w:hint="default" w:ascii="Times New Roman" w:hAnsi="Times New Roman" w:eastAsia="宋体" w:cs="Times New Roman"/>
                      <w:color w:val="auto"/>
                      <w:sz w:val="21"/>
                      <w:szCs w:val="21"/>
                      <w:lang w:val="en-US" w:eastAsia="zh-CN"/>
                    </w:rPr>
                    <w:t>50%</w:t>
                  </w:r>
                  <w:r>
                    <w:rPr>
                      <w:rFonts w:hint="eastAsia" w:ascii="Times New Roman" w:hAnsi="Times New Roman" w:eastAsia="宋体" w:cs="Times New Roman"/>
                      <w:color w:val="auto"/>
                      <w:sz w:val="21"/>
                      <w:szCs w:val="21"/>
                      <w:lang w:val="en-US" w:eastAsia="zh-CN"/>
                    </w:rPr>
                    <w:t>以上</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本项目</w:t>
                  </w:r>
                  <w:r>
                    <w:rPr>
                      <w:rFonts w:hint="eastAsia" w:ascii="Times New Roman" w:hAnsi="Times New Roman" w:eastAsia="宋体" w:cs="Times New Roman"/>
                      <w:color w:val="auto"/>
                      <w:sz w:val="21"/>
                      <w:szCs w:val="21"/>
                      <w:lang w:val="en-US" w:eastAsia="zh-CN"/>
                    </w:rPr>
                    <w:t>不涉及前述制造企业</w:t>
                  </w:r>
                  <w:r>
                    <w:rPr>
                      <w:rFonts w:hint="eastAsia" w:ascii="Times New Roman" w:hAnsi="Times New Roman" w:eastAsia="宋体" w:cs="Times New Roman"/>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restart"/>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过程控制</w:t>
                  </w: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val="en-US" w:eastAsia="zh-CN"/>
                    </w:rPr>
                  </w:pPr>
                  <w:r>
                    <w:rPr>
                      <w:rFonts w:hint="eastAsia"/>
                      <w:color w:val="auto"/>
                      <w:sz w:val="21"/>
                      <w:szCs w:val="21"/>
                      <w:lang w:val="en-US" w:eastAsia="zh-CN"/>
                    </w:rPr>
                    <w:t>3</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zh-CN"/>
                    </w:rPr>
                  </w:pPr>
                  <w:r>
                    <w:rPr>
                      <w:rFonts w:hint="eastAsia" w:ascii="Times New Roman" w:hAnsi="Times New Roman" w:eastAsia="宋体" w:cs="Times New Roman"/>
                      <w:color w:val="auto"/>
                      <w:sz w:val="21"/>
                      <w:szCs w:val="21"/>
                      <w:lang w:val="en-US" w:eastAsia="zh-CN"/>
                    </w:rPr>
                    <w:t>涂装企业采用先进的静电喷涂、无空气喷涂、空气辅助</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混气喷涂、热喷涂工艺，淘汰空气喷涂等落后喷涂工艺，提高涂料利用率★</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采用先进的静电喷涂工艺。</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val="en-US"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val="en-US" w:eastAsia="zh-CN"/>
                    </w:rPr>
                  </w:pPr>
                  <w:r>
                    <w:rPr>
                      <w:rFonts w:hint="eastAsia"/>
                      <w:color w:val="auto"/>
                      <w:sz w:val="21"/>
                      <w:szCs w:val="21"/>
                      <w:lang w:val="en-US" w:eastAsia="zh-CN"/>
                    </w:rPr>
                    <w:t>4</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zh-CN"/>
                    </w:rPr>
                  </w:pPr>
                  <w:r>
                    <w:rPr>
                      <w:rFonts w:hint="eastAsia" w:ascii="Times New Roman" w:hAnsi="Times New Roman" w:eastAsia="宋体" w:cs="Times New Roman"/>
                      <w:color w:val="auto"/>
                      <w:sz w:val="21"/>
                      <w:szCs w:val="21"/>
                      <w:lang w:val="en-US" w:eastAsia="zh-CN"/>
                    </w:rPr>
                    <w:t>所有有机溶剂和含有有机溶剂的原辅料采取密封存储和密闭存放，属于危化品应符合危化品相关规定</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hint="eastAsia" w:ascii="Times New Roman" w:hAnsi="Times New Roman" w:eastAsia="宋体" w:cs="Times New Roman"/>
                      <w:color w:val="auto"/>
                      <w:sz w:val="21"/>
                      <w:szCs w:val="21"/>
                    </w:rPr>
                  </w:pPr>
                  <w:r>
                    <w:rPr>
                      <w:rFonts w:hint="eastAsia" w:cs="Times New Roman"/>
                      <w:color w:val="auto"/>
                      <w:sz w:val="21"/>
                      <w:szCs w:val="21"/>
                      <w:lang w:val="en-US" w:eastAsia="zh-CN"/>
                    </w:rPr>
                    <w:t>涂料密闭储存</w:t>
                  </w:r>
                  <w:r>
                    <w:rPr>
                      <w:rFonts w:hint="eastAsia" w:ascii="Times New Roman" w:hAnsi="Times New Roman" w:eastAsia="宋体" w:cs="Times New Roman"/>
                      <w:color w:val="auto"/>
                      <w:sz w:val="21"/>
                      <w:szCs w:val="21"/>
                      <w:lang w:val="en-US" w:eastAsia="zh-CN"/>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5</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溶剂型涂料、稀释剂等调配作业在独立密闭间内完成，并需满足建筑设计防火规范要求</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本项目</w:t>
                  </w:r>
                  <w:r>
                    <w:rPr>
                      <w:rFonts w:hint="eastAsia" w:cs="Times New Roman"/>
                      <w:color w:val="auto"/>
                      <w:sz w:val="21"/>
                      <w:szCs w:val="21"/>
                      <w:lang w:val="en-US" w:eastAsia="zh-CN"/>
                    </w:rPr>
                    <w:t>不涉调漆工序</w:t>
                  </w:r>
                  <w:r>
                    <w:rPr>
                      <w:rFonts w:hint="eastAsia" w:ascii="Times New Roman" w:hAnsi="Times New Roman" w:eastAsia="宋体" w:cs="Times New Roman"/>
                      <w:color w:val="auto"/>
                      <w:sz w:val="21"/>
                      <w:szCs w:val="21"/>
                      <w:lang w:val="en-US" w:eastAsia="zh-CN"/>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6</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无集中供料系统时，原辅料转运应采用密闭容器封存</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本项目油漆采用密闭容器封存。</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7</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禁止敞开式涂装作业，禁止露天和敞开式晾（风）干（船体等大型工件涂装及补漆确实不能实施密闭作业的除外）</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设有专门的密闭喷漆房</w:t>
                  </w:r>
                  <w:r>
                    <w:rPr>
                      <w:rFonts w:hint="eastAsia" w:cs="Times New Roman"/>
                      <w:color w:val="auto"/>
                      <w:sz w:val="21"/>
                      <w:szCs w:val="21"/>
                      <w:lang w:val="en-US" w:eastAsia="zh-CN"/>
                    </w:rPr>
                    <w:t>及刷漆房</w:t>
                  </w:r>
                  <w:r>
                    <w:rPr>
                      <w:rFonts w:hint="eastAsia" w:ascii="Times New Roman" w:hAnsi="Times New Roman" w:eastAsia="宋体" w:cs="Times New Roman"/>
                      <w:color w:val="auto"/>
                      <w:sz w:val="21"/>
                      <w:szCs w:val="21"/>
                      <w:lang w:val="en-US" w:eastAsia="zh-CN"/>
                    </w:rPr>
                    <w:t>，并配备有负压抽风系统</w:t>
                  </w:r>
                  <w:r>
                    <w:rPr>
                      <w:rFonts w:hint="eastAsia" w:ascii="Times New Roman" w:hAnsi="Times New Roman" w:eastAsia="宋体" w:cs="Times New Roman"/>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8</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无集中供料系统的浸涂、辊涂、淋涂等作业应采用密闭的泵送供料系统</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color w:val="auto"/>
                      <w:sz w:val="21"/>
                      <w:szCs w:val="21"/>
                    </w:rPr>
                  </w:pPr>
                  <w:r>
                    <w:rPr>
                      <w:rFonts w:hint="eastAsia"/>
                      <w:color w:val="auto"/>
                      <w:sz w:val="21"/>
                      <w:szCs w:val="21"/>
                      <w:lang w:val="en-US" w:eastAsia="zh-CN"/>
                    </w:rPr>
                    <w:t>不涉及</w:t>
                  </w:r>
                  <w:r>
                    <w:rPr>
                      <w:rFonts w:hint="eastAsia"/>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9</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应设置密闭的回收物料系统，淋涂作业应采取有效措施收集滴落的涂料，涂装作业结束应将剩余的所有涂料及含</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的辅料送回调配间或储存间</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color w:val="auto"/>
                      <w:sz w:val="21"/>
                      <w:szCs w:val="21"/>
                    </w:rPr>
                  </w:pPr>
                  <w:r>
                    <w:rPr>
                      <w:rFonts w:hint="eastAsia" w:ascii="宋体" w:hAnsi="宋体" w:eastAsia="宋体" w:cs="宋体"/>
                      <w:color w:val="auto"/>
                      <w:kern w:val="0"/>
                      <w:sz w:val="21"/>
                      <w:szCs w:val="21"/>
                      <w:lang w:val="en-US" w:eastAsia="zh-CN" w:bidi="ar"/>
                    </w:rPr>
                    <w:t>剩余涂料送回储存间</w:t>
                  </w:r>
                  <w:r>
                    <w:rPr>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lang w:val="zh-CN"/>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lang w:val="zh-CN"/>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10</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禁止使用火焰法除旧漆</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color w:val="auto"/>
                      <w:sz w:val="21"/>
                      <w:szCs w:val="21"/>
                    </w:rPr>
                  </w:pPr>
                  <w:r>
                    <w:rPr>
                      <w:rFonts w:hint="eastAsia"/>
                      <w:color w:val="auto"/>
                      <w:sz w:val="21"/>
                      <w:szCs w:val="21"/>
                    </w:rPr>
                    <w:t>不涉及。</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restart"/>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废气收集</w:t>
                  </w: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11</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严格执行废气分类收集、处理，除汽车维修行业外，新建、改建、扩建废气处理设施时禁止涂装废气和烘干废气混合收集、处理</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color w:val="auto"/>
                      <w:sz w:val="21"/>
                      <w:szCs w:val="21"/>
                    </w:rPr>
                  </w:pPr>
                  <w:r>
                    <w:rPr>
                      <w:rFonts w:hint="eastAsia" w:ascii="Times New Roman" w:hAnsi="Times New Roman" w:eastAsia="宋体" w:cs="Times New Roman"/>
                      <w:color w:val="auto"/>
                      <w:sz w:val="21"/>
                      <w:szCs w:val="21"/>
                      <w:lang w:val="en-US" w:eastAsia="zh-CN"/>
                    </w:rPr>
                    <w:t>本项目无烘干工序</w:t>
                  </w:r>
                  <w:r>
                    <w:rPr>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12</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调配、涂装和干燥工艺过程必须进行废气收集</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color w:val="auto"/>
                      <w:sz w:val="21"/>
                      <w:szCs w:val="21"/>
                    </w:rPr>
                  </w:pPr>
                  <w:r>
                    <w:rPr>
                      <w:rFonts w:hint="eastAsia"/>
                      <w:color w:val="auto"/>
                      <w:sz w:val="21"/>
                      <w:szCs w:val="21"/>
                      <w:lang w:val="en-US" w:eastAsia="zh-CN"/>
                    </w:rPr>
                    <w:t>废气有效收集</w:t>
                  </w:r>
                  <w:r>
                    <w:rPr>
                      <w:rFonts w:hint="eastAsia"/>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13</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所有产生</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污染物的涂装生产工艺装置或区域必须配备有效的废气收集系统，涂装废气总收集效率不低于</w:t>
                  </w:r>
                  <w:r>
                    <w:rPr>
                      <w:rFonts w:hint="default" w:ascii="Times New Roman" w:hAnsi="Times New Roman" w:eastAsia="宋体" w:cs="Times New Roman"/>
                      <w:color w:val="auto"/>
                      <w:sz w:val="21"/>
                      <w:szCs w:val="21"/>
                      <w:lang w:val="en-US" w:eastAsia="zh-CN"/>
                    </w:rPr>
                    <w:t>90%</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color w:val="auto"/>
                      <w:sz w:val="21"/>
                      <w:szCs w:val="21"/>
                    </w:rPr>
                  </w:pPr>
                  <w:r>
                    <w:rPr>
                      <w:rFonts w:hint="eastAsia" w:ascii="Times New Roman" w:hAnsi="Times New Roman" w:eastAsia="宋体" w:cs="Times New Roman"/>
                      <w:color w:val="auto"/>
                      <w:sz w:val="21"/>
                      <w:szCs w:val="21"/>
                      <w:lang w:val="en-US" w:eastAsia="zh-CN"/>
                    </w:rPr>
                    <w:t>涂装废气总收集效率不低于</w:t>
                  </w:r>
                  <w:r>
                    <w:rPr>
                      <w:rFonts w:hint="default" w:ascii="Times New Roman" w:hAnsi="Times New Roman" w:eastAsia="宋体" w:cs="Times New Roman"/>
                      <w:color w:val="auto"/>
                      <w:sz w:val="21"/>
                      <w:szCs w:val="21"/>
                      <w:lang w:val="en-US" w:eastAsia="zh-CN"/>
                    </w:rPr>
                    <w:t>90%</w:t>
                  </w:r>
                  <w:r>
                    <w:rPr>
                      <w:rFonts w:hint="eastAsia"/>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14</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污染气体收集与输送应满足《大气污染治理工程技术导则》</w:t>
                  </w:r>
                  <w:r>
                    <w:rPr>
                      <w:rFonts w:hint="default" w:ascii="Times New Roman" w:hAnsi="Times New Roman" w:eastAsia="宋体" w:cs="Times New Roman"/>
                      <w:color w:val="auto"/>
                      <w:sz w:val="21"/>
                      <w:szCs w:val="21"/>
                      <w:lang w:val="en-US" w:eastAsia="zh-CN"/>
                    </w:rPr>
                    <w:t>(HJ2000-2010)</w:t>
                  </w:r>
                  <w:r>
                    <w:rPr>
                      <w:rFonts w:hint="eastAsia" w:ascii="Times New Roman" w:hAnsi="Times New Roman" w:eastAsia="宋体" w:cs="Times New Roman"/>
                      <w:color w:val="auto"/>
                      <w:sz w:val="21"/>
                      <w:szCs w:val="21"/>
                      <w:lang w:val="en-US" w:eastAsia="zh-CN"/>
                    </w:rPr>
                    <w:t>要求，集气方向与污染气流运动方向一致，管路应有走向标识</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color w:val="auto"/>
                      <w:sz w:val="21"/>
                      <w:szCs w:val="21"/>
                    </w:rPr>
                  </w:pPr>
                  <w:r>
                    <w:rPr>
                      <w:rFonts w:hint="eastAsia"/>
                      <w:color w:val="auto"/>
                      <w:sz w:val="21"/>
                      <w:szCs w:val="21"/>
                      <w:lang w:val="en-US" w:eastAsia="zh-CN"/>
                    </w:rPr>
                    <w:t>投产后按照要求实施。</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restart"/>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废气处理</w:t>
                  </w: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15</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溶剂型涂料喷涂漆雾应优先采用干式过滤或湿式水帘等装置去除漆雾，且后段</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治理不得仅采用单一水喷淋处理的方式</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本项目</w:t>
                  </w:r>
                  <w:r>
                    <w:rPr>
                      <w:rFonts w:hint="eastAsia" w:cs="Times New Roman"/>
                      <w:color w:val="auto"/>
                      <w:kern w:val="0"/>
                      <w:sz w:val="21"/>
                      <w:szCs w:val="21"/>
                      <w:lang w:val="en-US" w:eastAsia="zh-CN" w:bidi="ar"/>
                    </w:rPr>
                    <w:t>不涉及</w:t>
                  </w:r>
                  <w:r>
                    <w:rPr>
                      <w:rFonts w:hint="eastAsia" w:ascii="Times New Roman" w:hAnsi="Times New Roman" w:eastAsia="宋体" w:cs="Times New Roman"/>
                      <w:color w:val="auto"/>
                      <w:sz w:val="21"/>
                      <w:szCs w:val="21"/>
                      <w:lang w:val="en-US" w:eastAsia="zh-CN"/>
                    </w:rPr>
                    <w:t>溶剂型涂料</w:t>
                  </w:r>
                  <w:r>
                    <w:rPr>
                      <w:rFonts w:hint="default" w:ascii="Times New Roman" w:hAnsi="Times New Roman" w:eastAsia="宋体" w:cs="Times New Roman"/>
                      <w:color w:val="auto"/>
                      <w:kern w:val="0"/>
                      <w:sz w:val="21"/>
                      <w:szCs w:val="21"/>
                      <w:lang w:val="en-US" w:eastAsia="zh-CN" w:bidi="ar"/>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16</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使用溶剂型涂料的生产线，烘干废气处理设施总净化效率不低于</w:t>
                  </w:r>
                  <w:r>
                    <w:rPr>
                      <w:rFonts w:hint="default" w:ascii="Times New Roman" w:hAnsi="Times New Roman" w:eastAsia="宋体" w:cs="Times New Roman"/>
                      <w:color w:val="auto"/>
                      <w:sz w:val="21"/>
                      <w:szCs w:val="21"/>
                      <w:lang w:val="en-US" w:eastAsia="zh-CN"/>
                    </w:rPr>
                    <w:t>90%</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本项目</w:t>
                  </w:r>
                  <w:r>
                    <w:rPr>
                      <w:rFonts w:hint="eastAsia" w:cs="Times New Roman"/>
                      <w:color w:val="auto"/>
                      <w:kern w:val="0"/>
                      <w:sz w:val="21"/>
                      <w:szCs w:val="21"/>
                      <w:lang w:val="en-US" w:eastAsia="zh-CN" w:bidi="ar"/>
                    </w:rPr>
                    <w:t>不涉及</w:t>
                  </w:r>
                  <w:r>
                    <w:rPr>
                      <w:rFonts w:hint="eastAsia" w:ascii="Times New Roman" w:hAnsi="Times New Roman" w:eastAsia="宋体" w:cs="Times New Roman"/>
                      <w:color w:val="auto"/>
                      <w:sz w:val="21"/>
                      <w:szCs w:val="21"/>
                      <w:lang w:val="en-US" w:eastAsia="zh-CN"/>
                    </w:rPr>
                    <w:t>溶剂型涂料</w:t>
                  </w:r>
                  <w:r>
                    <w:rPr>
                      <w:rFonts w:hint="default" w:ascii="Times New Roman" w:hAnsi="Times New Roman" w:eastAsia="宋体" w:cs="Times New Roman"/>
                      <w:color w:val="auto"/>
                      <w:kern w:val="0"/>
                      <w:sz w:val="21"/>
                      <w:szCs w:val="21"/>
                      <w:lang w:val="en-US" w:eastAsia="zh-CN" w:bidi="ar"/>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17</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使用溶剂型涂料的生产线，涂装、晾（风）干废气处理设施总净化效率不低于</w:t>
                  </w:r>
                  <w:r>
                    <w:rPr>
                      <w:rFonts w:hint="default" w:ascii="Times New Roman" w:hAnsi="Times New Roman" w:eastAsia="宋体" w:cs="Times New Roman"/>
                      <w:color w:val="auto"/>
                      <w:sz w:val="21"/>
                      <w:szCs w:val="21"/>
                      <w:lang w:val="en-US" w:eastAsia="zh-CN"/>
                    </w:rPr>
                    <w:t>75%</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kern w:val="0"/>
                      <w:sz w:val="21"/>
                      <w:szCs w:val="21"/>
                      <w:lang w:val="en-US" w:eastAsia="zh-CN" w:bidi="ar"/>
                    </w:rPr>
                    <w:t>本项目</w:t>
                  </w:r>
                  <w:r>
                    <w:rPr>
                      <w:rFonts w:hint="eastAsia" w:cs="Times New Roman"/>
                      <w:color w:val="auto"/>
                      <w:kern w:val="0"/>
                      <w:sz w:val="21"/>
                      <w:szCs w:val="21"/>
                      <w:lang w:val="en-US" w:eastAsia="zh-CN" w:bidi="ar"/>
                    </w:rPr>
                    <w:t>不涉及</w:t>
                  </w:r>
                  <w:r>
                    <w:rPr>
                      <w:rFonts w:hint="eastAsia" w:ascii="Times New Roman" w:hAnsi="Times New Roman" w:eastAsia="宋体" w:cs="Times New Roman"/>
                      <w:color w:val="auto"/>
                      <w:sz w:val="21"/>
                      <w:szCs w:val="21"/>
                      <w:lang w:val="en-US" w:eastAsia="zh-CN"/>
                    </w:rPr>
                    <w:t>溶剂型涂料</w:t>
                  </w:r>
                  <w:r>
                    <w:rPr>
                      <w:rFonts w:hint="default" w:ascii="Times New Roman" w:hAnsi="Times New Roman" w:eastAsia="宋体" w:cs="Times New Roman"/>
                      <w:color w:val="auto"/>
                      <w:kern w:val="0"/>
                      <w:sz w:val="21"/>
                      <w:szCs w:val="21"/>
                      <w:lang w:val="en-US" w:eastAsia="zh-CN" w:bidi="ar"/>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18</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废气处理设施进口和排气筒出口安装符合</w:t>
                  </w:r>
                  <w:r>
                    <w:rPr>
                      <w:rFonts w:hint="default" w:ascii="Times New Roman" w:hAnsi="Times New Roman" w:eastAsia="宋体" w:cs="Times New Roman"/>
                      <w:color w:val="auto"/>
                      <w:sz w:val="21"/>
                      <w:szCs w:val="21"/>
                      <w:lang w:val="en-US" w:eastAsia="zh-CN"/>
                    </w:rPr>
                    <w:t>HJ/T1-92</w:t>
                  </w:r>
                  <w:r>
                    <w:rPr>
                      <w:rFonts w:hint="eastAsia" w:ascii="Times New Roman" w:hAnsi="Times New Roman" w:eastAsia="宋体" w:cs="Times New Roman"/>
                      <w:color w:val="auto"/>
                      <w:sz w:val="21"/>
                      <w:szCs w:val="21"/>
                      <w:lang w:val="en-US" w:eastAsia="zh-CN"/>
                    </w:rPr>
                    <w:t>要求的采样固定位装置，</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污染物排放满足《大气污染物综合排放标准》</w:t>
                  </w:r>
                  <w:r>
                    <w:rPr>
                      <w:rFonts w:hint="default" w:ascii="Times New Roman" w:hAnsi="Times New Roman" w:eastAsia="宋体" w:cs="Times New Roman"/>
                      <w:color w:val="auto"/>
                      <w:sz w:val="21"/>
                      <w:szCs w:val="21"/>
                      <w:lang w:val="en-US" w:eastAsia="zh-CN"/>
                    </w:rPr>
                    <w:t>(GB16297-1996)</w:t>
                  </w:r>
                  <w:r>
                    <w:rPr>
                      <w:rFonts w:hint="eastAsia" w:ascii="Times New Roman" w:hAnsi="Times New Roman" w:eastAsia="宋体" w:cs="Times New Roman"/>
                      <w:color w:val="auto"/>
                      <w:sz w:val="21"/>
                      <w:szCs w:val="21"/>
                      <w:lang w:val="en-US" w:eastAsia="zh-CN"/>
                    </w:rPr>
                    <w:t>及环评相关要求，实现稳定达标排放</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textAlignment w:val="auto"/>
                    <w:rPr>
                      <w:rFonts w:hint="default" w:eastAsia="宋体"/>
                      <w:color w:val="auto"/>
                      <w:sz w:val="21"/>
                      <w:szCs w:val="21"/>
                      <w:lang w:val="en-US" w:eastAsia="zh-CN"/>
                    </w:rPr>
                  </w:pPr>
                  <w:r>
                    <w:rPr>
                      <w:rFonts w:hint="eastAsia"/>
                      <w:color w:val="auto"/>
                      <w:sz w:val="21"/>
                      <w:szCs w:val="21"/>
                      <w:lang w:val="en-US" w:eastAsia="zh-CN"/>
                    </w:rPr>
                    <w:t>投产后按照要求实施。</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restart"/>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监督管理</w:t>
                  </w: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19</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完善环境保护管理制度，包括环保设施运行管理制度、废气处理设施定期保养制度、废气监测制度、溶剂使用回收制度</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color w:val="auto"/>
                      <w:sz w:val="21"/>
                      <w:szCs w:val="21"/>
                    </w:rPr>
                  </w:pPr>
                  <w:r>
                    <w:rPr>
                      <w:rFonts w:hint="eastAsia" w:ascii="宋体" w:hAnsi="宋体" w:eastAsia="宋体" w:cs="宋体"/>
                      <w:color w:val="auto"/>
                      <w:kern w:val="0"/>
                      <w:sz w:val="21"/>
                      <w:szCs w:val="21"/>
                      <w:lang w:val="en-US" w:eastAsia="zh-CN" w:bidi="ar"/>
                    </w:rPr>
                    <w:t>将按要求完善环境保护管理制度</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rFonts w:hint="eastAsia" w:eastAsia="宋体"/>
                      <w:color w:val="auto"/>
                      <w:sz w:val="21"/>
                      <w:szCs w:val="21"/>
                      <w:lang w:eastAsia="zh-CN"/>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20</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落实监测监控制度，企业每年至少开展</w:t>
                  </w:r>
                  <w:r>
                    <w:rPr>
                      <w:rFonts w:hint="default" w:ascii="Times New Roman" w:hAnsi="Times New Roman" w:eastAsia="宋体"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次</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废气处理设施进、出口监测和厂界无组织监控浓度监测，其中重点企业处理设施监测不少于</w:t>
                  </w:r>
                  <w:r>
                    <w:rPr>
                      <w:rFonts w:hint="default" w:ascii="Times New Roman" w:hAnsi="Times New Roman" w:eastAsia="宋体" w:cs="Times New Roman"/>
                      <w:color w:val="auto"/>
                      <w:sz w:val="21"/>
                      <w:szCs w:val="21"/>
                      <w:lang w:val="en-US" w:eastAsia="zh-CN"/>
                    </w:rPr>
                    <w:t>2</w:t>
                  </w:r>
                  <w:r>
                    <w:rPr>
                      <w:rFonts w:hint="eastAsia" w:ascii="Times New Roman" w:hAnsi="Times New Roman" w:eastAsia="宋体" w:cs="Times New Roman"/>
                      <w:color w:val="auto"/>
                      <w:sz w:val="21"/>
                      <w:szCs w:val="21"/>
                      <w:lang w:val="en-US" w:eastAsia="zh-CN"/>
                    </w:rPr>
                    <w:t>次，厂界无组织监控浓度监测不少于</w:t>
                  </w:r>
                  <w:r>
                    <w:rPr>
                      <w:rFonts w:hint="default" w:ascii="Times New Roman" w:hAnsi="Times New Roman" w:eastAsia="宋体"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次。监测需委托有资质第三方进行，监测指标须包含原辅料所含主要特征污染物和非甲烷总烃等指标，并根据废气处理设施进、出口监测参数核算</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处理效率</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color w:val="auto"/>
                      <w:sz w:val="21"/>
                      <w:szCs w:val="21"/>
                    </w:rPr>
                  </w:pPr>
                  <w:r>
                    <w:rPr>
                      <w:rFonts w:hint="eastAsia" w:ascii="宋体" w:hAnsi="宋体" w:eastAsia="宋体" w:cs="宋体"/>
                      <w:color w:val="auto"/>
                      <w:kern w:val="0"/>
                      <w:sz w:val="21"/>
                      <w:szCs w:val="21"/>
                      <w:lang w:val="en-US" w:eastAsia="zh-CN" w:bidi="ar"/>
                    </w:rPr>
                    <w:t>将按要求落实监测监控制度</w:t>
                  </w:r>
                  <w:r>
                    <w:rPr>
                      <w:rFonts w:hint="eastAsia"/>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21</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健全各类台帐并严格管理，包括废气监测台帐、废气处理设施运行台帐、含有机溶剂原辅料的消耗台帐（包括使用量、废弃量、去向以及</w:t>
                  </w:r>
                  <w:r>
                    <w:rPr>
                      <w:rFonts w:hint="default" w:ascii="Times New Roman" w:hAnsi="Times New Roman" w:eastAsia="宋体" w:cs="Times New Roman"/>
                      <w:color w:val="auto"/>
                      <w:sz w:val="21"/>
                      <w:szCs w:val="21"/>
                      <w:lang w:val="en-US" w:eastAsia="zh-CN"/>
                    </w:rPr>
                    <w:t>VOCs</w:t>
                  </w:r>
                  <w:r>
                    <w:rPr>
                      <w:rFonts w:hint="eastAsia" w:ascii="Times New Roman" w:hAnsi="Times New Roman" w:eastAsia="宋体" w:cs="Times New Roman"/>
                      <w:color w:val="auto"/>
                      <w:sz w:val="21"/>
                      <w:szCs w:val="21"/>
                      <w:lang w:val="en-US" w:eastAsia="zh-CN"/>
                    </w:rPr>
                    <w:t>含量）、废气处理耗材（吸附剂、催化剂等）的用量和更换及转移处置台账。台账保存期限不得少于三年</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color w:val="auto"/>
                      <w:sz w:val="21"/>
                      <w:szCs w:val="21"/>
                    </w:rPr>
                  </w:pPr>
                  <w:r>
                    <w:rPr>
                      <w:rFonts w:hint="eastAsia" w:ascii="宋体" w:hAnsi="宋体" w:eastAsia="宋体" w:cs="宋体"/>
                      <w:color w:val="auto"/>
                      <w:kern w:val="0"/>
                      <w:sz w:val="21"/>
                      <w:szCs w:val="21"/>
                      <w:lang w:val="en-US" w:eastAsia="zh-CN" w:bidi="ar"/>
                    </w:rPr>
                    <w:t>将按要求健全各类台帐并严格管理</w:t>
                  </w:r>
                  <w:r>
                    <w:rPr>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lang w:val="en-US" w:eastAsia="zh-CN"/>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96"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FF0000"/>
                      <w:sz w:val="21"/>
                      <w:szCs w:val="21"/>
                    </w:rPr>
                  </w:pPr>
                </w:p>
              </w:tc>
              <w:tc>
                <w:tcPr>
                  <w:tcW w:w="53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p>
              </w:tc>
              <w:tc>
                <w:tcPr>
                  <w:tcW w:w="53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color w:val="auto"/>
                      <w:sz w:val="21"/>
                      <w:szCs w:val="21"/>
                    </w:rPr>
                    <w:t>22</w:t>
                  </w:r>
                </w:p>
              </w:tc>
              <w:tc>
                <w:tcPr>
                  <w:tcW w:w="3896"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280" w:lineRule="exact"/>
                    <w:ind w:firstLine="0"/>
                    <w:textAlignment w:val="auto"/>
                    <w:rPr>
                      <w:color w:val="auto"/>
                      <w:sz w:val="21"/>
                      <w:szCs w:val="21"/>
                    </w:rPr>
                  </w:pPr>
                  <w:r>
                    <w:rPr>
                      <w:rFonts w:hint="eastAsia" w:ascii="Times New Roman" w:hAnsi="Times New Roman" w:eastAsia="宋体" w:cs="Times New Roman"/>
                      <w:color w:val="auto"/>
                      <w:sz w:val="21"/>
                      <w:szCs w:val="21"/>
                      <w:lang w:val="en-US" w:eastAsia="zh-CN"/>
                    </w:rPr>
                    <w:t>建立非正常工况申报管理制度，包括出现项目停产、废气处理设施停运、突发环保事故等情况时，企业应及时向当地环保部门的报告并备案。</w:t>
                  </w:r>
                </w:p>
              </w:tc>
              <w:tc>
                <w:tcPr>
                  <w:tcW w:w="192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snapToGrid/>
                    <w:spacing w:line="280" w:lineRule="exact"/>
                    <w:jc w:val="left"/>
                    <w:textAlignment w:val="auto"/>
                    <w:rPr>
                      <w:color w:val="auto"/>
                      <w:sz w:val="21"/>
                      <w:szCs w:val="21"/>
                    </w:rPr>
                  </w:pPr>
                  <w:r>
                    <w:rPr>
                      <w:rFonts w:hint="eastAsia" w:ascii="宋体" w:hAnsi="宋体" w:eastAsia="宋体" w:cs="宋体"/>
                      <w:color w:val="auto"/>
                      <w:kern w:val="0"/>
                      <w:sz w:val="21"/>
                      <w:szCs w:val="21"/>
                      <w:lang w:val="en-US" w:eastAsia="zh-CN" w:bidi="ar"/>
                    </w:rPr>
                    <w:t>计划建立非正常工况申报管理制度</w:t>
                  </w:r>
                  <w:r>
                    <w:rPr>
                      <w:rFonts w:hint="eastAsia"/>
                      <w:color w:val="auto"/>
                      <w:sz w:val="21"/>
                      <w:szCs w:val="21"/>
                    </w:rPr>
                    <w:t>。</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280" w:lineRule="exact"/>
                    <w:jc w:val="center"/>
                    <w:textAlignment w:val="auto"/>
                    <w:rPr>
                      <w:color w:val="auto"/>
                      <w:sz w:val="21"/>
                      <w:szCs w:val="21"/>
                    </w:rPr>
                  </w:pPr>
                  <w:r>
                    <w:rPr>
                      <w:rFonts w:hint="eastAsia"/>
                      <w:color w:val="auto"/>
                      <w:sz w:val="21"/>
                      <w:szCs w:val="21"/>
                    </w:rPr>
                    <w:t>符合</w:t>
                  </w:r>
                </w:p>
              </w:tc>
            </w:tr>
          </w:tbl>
          <w:p>
            <w:pPr>
              <w:pStyle w:val="120"/>
              <w:spacing w:line="360" w:lineRule="auto"/>
              <w:ind w:left="60" w:leftChars="25" w:right="60" w:rightChars="25" w:firstLine="482" w:firstLineChars="200"/>
              <w:rPr>
                <w:rFonts w:ascii="Times New Roman" w:cs="Times New Roman"/>
                <w:bCs/>
                <w:color w:val="auto"/>
              </w:rPr>
            </w:pPr>
            <w:r>
              <w:rPr>
                <w:rFonts w:hint="eastAsia" w:ascii="Times New Roman" w:hAnsi="Times New Roman" w:eastAsia="宋体" w:cs="Times New Roman"/>
                <w:b/>
                <w:bCs/>
                <w:color w:val="auto"/>
                <w:lang w:val="en-US" w:eastAsia="zh-CN"/>
              </w:rPr>
              <w:t>符合性分析：</w:t>
            </w:r>
            <w:r>
              <w:rPr>
                <w:rFonts w:hint="eastAsia" w:ascii="Times New Roman" w:hAnsi="Times New Roman" w:eastAsia="宋体" w:cs="Times New Roman"/>
                <w:color w:val="auto"/>
              </w:rPr>
              <w:t>本项目符合《</w:t>
            </w:r>
            <w:r>
              <w:rPr>
                <w:rFonts w:hint="eastAsia" w:ascii="Times New Roman" w:hAnsi="Times New Roman" w:eastAsia="宋体" w:cs="Times New Roman"/>
                <w:color w:val="auto"/>
                <w:lang w:val="en-US" w:eastAsia="zh-CN"/>
              </w:rPr>
              <w:t>浙江省涂装行业挥发性有机物污染整治规范</w:t>
            </w:r>
            <w:r>
              <w:rPr>
                <w:rFonts w:hint="eastAsia" w:ascii="Times New Roman" w:hAnsi="Times New Roman" w:eastAsia="宋体" w:cs="Times New Roman"/>
                <w:color w:val="auto"/>
              </w:rPr>
              <w:t>》中的相关要求。</w:t>
            </w:r>
            <w:bookmarkEnd w:id="13"/>
          </w:p>
          <w:p>
            <w:pPr>
              <w:pStyle w:val="120"/>
              <w:spacing w:line="240" w:lineRule="auto"/>
              <w:ind w:left="60" w:leftChars="25" w:right="60" w:rightChars="25" w:firstLine="480" w:firstLineChars="200"/>
              <w:rPr>
                <w:rFonts w:ascii="Times New Roman" w:cs="Times New Roman"/>
                <w:bCs/>
                <w:color w:val="FF0000"/>
              </w:rPr>
            </w:pPr>
          </w:p>
          <w:p>
            <w:pPr>
              <w:spacing w:line="360" w:lineRule="auto"/>
              <w:ind w:right="60" w:rightChars="25" w:firstLine="241" w:firstLineChars="100"/>
              <w:rPr>
                <w:rFonts w:hint="default" w:ascii="Times New Roman" w:hAnsi="Times New Roman" w:eastAsia="宋体" w:cs="Times New Roman"/>
                <w:b/>
                <w:color w:val="auto"/>
                <w:lang w:val="en-US" w:eastAsia="zh-CN"/>
              </w:rPr>
            </w:pPr>
            <w:r>
              <w:rPr>
                <w:rFonts w:hint="eastAsia" w:ascii="Times New Roman" w:hAnsi="Times New Roman" w:eastAsia="宋体" w:cs="Times New Roman"/>
                <w:b/>
                <w:color w:val="auto"/>
                <w:lang w:val="en-US" w:eastAsia="zh-CN"/>
              </w:rPr>
              <w:t>1</w:t>
            </w:r>
            <w:r>
              <w:rPr>
                <w:rFonts w:hint="eastAsia" w:cs="Times New Roman"/>
                <w:b/>
                <w:color w:val="auto"/>
                <w:lang w:val="en-US" w:eastAsia="zh-CN"/>
              </w:rPr>
              <w:t>3</w:t>
            </w:r>
            <w:r>
              <w:rPr>
                <w:rFonts w:hint="eastAsia" w:ascii="Times New Roman" w:hAnsi="Times New Roman" w:eastAsia="宋体" w:cs="Times New Roman"/>
                <w:b/>
                <w:color w:val="auto"/>
                <w:lang w:val="en-US" w:eastAsia="zh-CN"/>
              </w:rPr>
              <w:t>、《湖州市重点行业污染整治提升规范》符合性分析</w:t>
            </w:r>
          </w:p>
          <w:p>
            <w:pPr>
              <w:pStyle w:val="120"/>
              <w:spacing w:line="360" w:lineRule="auto"/>
              <w:ind w:left="60" w:leftChars="25" w:right="60" w:rightChars="25" w:firstLine="480" w:firstLineChars="200"/>
              <w:rPr>
                <w:rFonts w:ascii="Times New Roman" w:cs="Times New Roman"/>
                <w:color w:val="auto"/>
              </w:rPr>
            </w:pPr>
            <w:r>
              <w:rPr>
                <w:rFonts w:hint="eastAsia" w:ascii="Times New Roman" w:cs="Times New Roman"/>
                <w:color w:val="auto"/>
              </w:rPr>
              <w:t>参照《湖州市重点行业污染整治提升规范》中有关“湖州市机械涂装重点行业污染整治提升规范”的内容进行对比分析，详见表1-</w:t>
            </w:r>
            <w:r>
              <w:rPr>
                <w:rFonts w:hint="eastAsia" w:ascii="Times New Roman" w:cs="Times New Roman"/>
                <w:color w:val="auto"/>
                <w:lang w:val="en-US" w:eastAsia="zh-CN"/>
              </w:rPr>
              <w:t>10</w:t>
            </w:r>
            <w:r>
              <w:rPr>
                <w:rFonts w:hint="eastAsia" w:ascii="Times New Roman" w:cs="Times New Roman"/>
                <w:color w:val="auto"/>
              </w:rPr>
              <w:t>。</w:t>
            </w:r>
          </w:p>
          <w:p>
            <w:pPr>
              <w:pStyle w:val="120"/>
              <w:jc w:val="center"/>
              <w:rPr>
                <w:rFonts w:ascii="Times New Roman" w:cs="Times New Roman"/>
                <w:b/>
                <w:bCs/>
                <w:color w:val="FF0000"/>
              </w:rPr>
            </w:pPr>
            <w:r>
              <w:rPr>
                <w:rFonts w:hint="eastAsia" w:ascii="Times New Roman" w:cs="Times New Roman"/>
                <w:b/>
                <w:bCs/>
                <w:color w:val="auto"/>
              </w:rPr>
              <w:t>表1-</w:t>
            </w:r>
            <w:r>
              <w:rPr>
                <w:rFonts w:hint="eastAsia" w:ascii="Times New Roman" w:cs="Times New Roman"/>
                <w:b/>
                <w:bCs/>
                <w:color w:val="auto"/>
                <w:lang w:val="en-US" w:eastAsia="zh-CN"/>
              </w:rPr>
              <w:t>10</w:t>
            </w:r>
            <w:r>
              <w:rPr>
                <w:rFonts w:hint="eastAsia" w:ascii="Times New Roman" w:cs="Times New Roman"/>
                <w:b/>
                <w:bCs/>
                <w:color w:val="auto"/>
              </w:rPr>
              <w:t xml:space="preserve">  “湖州市机械涂装重点行业污染整治提升规范”符合性分析汇总表</w:t>
            </w:r>
          </w:p>
          <w:tbl>
            <w:tblPr>
              <w:tblStyle w:val="29"/>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51"/>
              <w:gridCol w:w="791"/>
              <w:gridCol w:w="4110"/>
              <w:gridCol w:w="2022"/>
              <w:gridCol w:w="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7" w:hRule="atLeast"/>
                <w:tblHeader/>
                <w:jc w:val="center"/>
              </w:trPr>
              <w:tc>
                <w:tcPr>
                  <w:tcW w:w="45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b/>
                      <w:bCs/>
                      <w:color w:val="auto"/>
                      <w:sz w:val="21"/>
                      <w:szCs w:val="21"/>
                    </w:rPr>
                  </w:pPr>
                  <w:r>
                    <w:rPr>
                      <w:rFonts w:hint="eastAsia"/>
                      <w:b/>
                      <w:bCs/>
                      <w:color w:val="auto"/>
                      <w:sz w:val="21"/>
                      <w:szCs w:val="21"/>
                    </w:rPr>
                    <w:t>一级指标</w:t>
                  </w:r>
                </w:p>
              </w:tc>
              <w:tc>
                <w:tcPr>
                  <w:tcW w:w="79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b/>
                      <w:bCs/>
                      <w:color w:val="auto"/>
                      <w:sz w:val="21"/>
                      <w:szCs w:val="21"/>
                    </w:rPr>
                  </w:pPr>
                  <w:r>
                    <w:rPr>
                      <w:rFonts w:hint="eastAsia"/>
                      <w:b/>
                      <w:bCs/>
                      <w:color w:val="auto"/>
                      <w:sz w:val="21"/>
                      <w:szCs w:val="21"/>
                    </w:rPr>
                    <w:t>二级指标</w:t>
                  </w:r>
                </w:p>
              </w:tc>
              <w:tc>
                <w:tcPr>
                  <w:tcW w:w="41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b/>
                      <w:bCs/>
                      <w:color w:val="auto"/>
                      <w:sz w:val="21"/>
                      <w:szCs w:val="21"/>
                    </w:rPr>
                  </w:pPr>
                  <w:r>
                    <w:rPr>
                      <w:b/>
                      <w:bCs/>
                      <w:color w:val="auto"/>
                      <w:sz w:val="21"/>
                      <w:szCs w:val="21"/>
                    </w:rPr>
                    <w:t>判断依据</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b/>
                      <w:bCs/>
                      <w:color w:val="auto"/>
                      <w:sz w:val="21"/>
                      <w:szCs w:val="21"/>
                    </w:rPr>
                  </w:pPr>
                  <w:r>
                    <w:rPr>
                      <w:b/>
                      <w:bCs/>
                      <w:color w:val="auto"/>
                      <w:sz w:val="21"/>
                      <w:szCs w:val="21"/>
                    </w:rPr>
                    <w:t>本项目情况</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b/>
                      <w:bCs/>
                      <w:color w:val="auto"/>
                      <w:sz w:val="21"/>
                      <w:szCs w:val="21"/>
                    </w:rPr>
                  </w:pPr>
                  <w:r>
                    <w:rPr>
                      <w:rFonts w:hint="eastAsia"/>
                      <w:b/>
                      <w:bCs/>
                      <w:color w:val="auto"/>
                      <w:sz w:val="21"/>
                      <w:szCs w:val="21"/>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51"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一般要求</w:t>
                  </w:r>
                </w:p>
              </w:tc>
              <w:tc>
                <w:tcPr>
                  <w:tcW w:w="79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合规性与相关方要求</w:t>
                  </w: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企业应依法设立，在建设和生产过程中遵守有关环保法律、法规、政策和标准。近三年无重大环境事故及环境违法事件，成立不足三年的企业，成立以来无重大环境事故及环境违法事件。</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color w:val="auto"/>
                      <w:sz w:val="21"/>
                      <w:szCs w:val="21"/>
                      <w:lang w:val="en-US"/>
                    </w:rPr>
                  </w:pPr>
                  <w:r>
                    <w:rPr>
                      <w:rFonts w:hint="eastAsia"/>
                      <w:color w:val="auto"/>
                      <w:sz w:val="21"/>
                      <w:szCs w:val="21"/>
                    </w:rPr>
                    <w:t>企业近三年无重大环境事故及环境违法事件</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79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民生要求</w:t>
                  </w: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年环境信访投诉数量不高于3件（恶意投诉除外）。</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企业无环境信访投诉案件</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51" w:type="dxa"/>
                  <w:vMerge w:val="restart"/>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环境排放</w:t>
                  </w:r>
                </w:p>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管理要求</w:t>
                  </w:r>
                </w:p>
              </w:tc>
              <w:tc>
                <w:tcPr>
                  <w:tcW w:w="791"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源头替代</w:t>
                  </w: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使用粉末、水性、高固份、辐射固化等低VOCs 含量涂料。</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rPr>
                    <w:t>使用粉末、高固份</w:t>
                  </w:r>
                  <w:r>
                    <w:rPr>
                      <w:rFonts w:hint="eastAsia"/>
                      <w:color w:val="auto"/>
                      <w:sz w:val="21"/>
                      <w:szCs w:val="21"/>
                      <w:lang w:val="en-US" w:eastAsia="zh-CN"/>
                    </w:rPr>
                    <w:t>涂料</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金属制品、工程机械和钢结构等制造行业使用水性、粉末和高固体分涂料。船舶制造行业使用高固份涂料，机舱内部、上建内部推广使用水性涂料。</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lang w:val="en-US" w:eastAsia="zh-CN"/>
                    </w:rPr>
                    <w:t>本项目</w:t>
                  </w:r>
                  <w:r>
                    <w:rPr>
                      <w:rFonts w:hint="eastAsia" w:ascii="Times New Roman" w:hAnsi="Times New Roman" w:eastAsia="宋体" w:cs="Times New Roman"/>
                      <w:color w:val="auto"/>
                      <w:sz w:val="21"/>
                      <w:szCs w:val="21"/>
                      <w:lang w:val="en-US" w:eastAsia="zh-CN"/>
                    </w:rPr>
                    <w:t>使用</w:t>
                  </w:r>
                  <w:r>
                    <w:rPr>
                      <w:rFonts w:hint="eastAsia"/>
                      <w:color w:val="auto"/>
                      <w:sz w:val="21"/>
                      <w:szCs w:val="21"/>
                    </w:rPr>
                    <w:t>粉末</w:t>
                  </w:r>
                  <w:r>
                    <w:rPr>
                      <w:rFonts w:hint="eastAsia"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高固体分涂料</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涂料、稀释剂、清洗剂等原辅材料应密闭存储，有效控制无组织排放。调配、使用、回收等过程应采用密闭设备或在密闭空间内操作，采用密闭管道或密闭容器等输送。</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油漆密闭储存，无需调漆</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鼓励企业采用高效的水帘喷台或在水帘循环水中添加漆雾凝聚剂，从源头大幅削减漆雾产生量。</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eastAsia="宋体"/>
                      <w:color w:val="auto"/>
                      <w:sz w:val="21"/>
                      <w:szCs w:val="21"/>
                      <w:lang w:val="en-US" w:eastAsia="zh-CN"/>
                    </w:rPr>
                    <w:t>本项目</w:t>
                  </w:r>
                  <w:r>
                    <w:rPr>
                      <w:rFonts w:hint="eastAsia"/>
                      <w:color w:val="auto"/>
                      <w:sz w:val="21"/>
                      <w:szCs w:val="21"/>
                      <w:lang w:val="en-US" w:eastAsia="zh-CN"/>
                    </w:rPr>
                    <w:t>不适宜用水帘喷台</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过程管控</w:t>
                  </w: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重点使用紧凑式涂装工艺，采用辊涂、静电喷涂、高压无气喷涂、空气辅助无气喷涂、热喷涂等效率高、VOCs排放少的涂装工艺和废气热能回收-烘干一体化的清洁生产设备。</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采用静电喷涂工艺</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采用密闭型生产成套装置，采用自动化、智能化喷涂设备替代人工喷涂。钢结构等大件喷涂可采用组件拆分、分段喷涂方式，兼用滑轨运输、可移动喷涂房等装备。</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采用自动喷涂设备，刷漆为人工刷漆</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规范原辅料调配与转运。溶剂型涂料、稀释剂等调配作业宜在设置负压集气的密闭间内进行。溶剂型涂料（包括稀释剂）年使用量大于5吨的企业须配备自动调漆设施。</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eastAsia" w:eastAsia="宋体"/>
                      <w:color w:val="auto"/>
                      <w:sz w:val="21"/>
                      <w:szCs w:val="21"/>
                      <w:lang w:val="en-US" w:eastAsia="zh-CN"/>
                    </w:rPr>
                  </w:pPr>
                  <w:r>
                    <w:rPr>
                      <w:rFonts w:hint="eastAsia"/>
                      <w:color w:val="auto"/>
                      <w:sz w:val="21"/>
                      <w:szCs w:val="21"/>
                      <w:lang w:val="en-US" w:eastAsia="zh-CN"/>
                    </w:rPr>
                    <w:t>无需调漆</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规范喷枪清洗。喷枪清洗宜在设置负压集气的密闭调清洗间内进行，无密闭清洗间时，可在喷漆房内完成。</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rPr>
                    <w:t>喷枪清洗</w:t>
                  </w:r>
                  <w:r>
                    <w:rPr>
                      <w:rFonts w:hint="eastAsia"/>
                      <w:color w:val="auto"/>
                      <w:sz w:val="21"/>
                      <w:szCs w:val="21"/>
                      <w:lang w:val="en-US" w:eastAsia="zh-CN"/>
                    </w:rPr>
                    <w:t>在喷漆房内完成</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污染物收集</w:t>
                  </w: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所有废气实现“应收尽收”，各废气产生点采用密闭隔离、局部排风、就近捕集等措施，所有产生VOCs污染物的装置须配备有效的废气收集系统，总收集效率不低于90%。</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lang w:val="en-US" w:eastAsia="zh-CN"/>
                    </w:rPr>
                    <w:t>油漆</w:t>
                  </w:r>
                  <w:r>
                    <w:rPr>
                      <w:rFonts w:hint="eastAsia"/>
                      <w:color w:val="auto"/>
                      <w:sz w:val="21"/>
                      <w:szCs w:val="21"/>
                    </w:rPr>
                    <w:t>涂装工序采用密闭隔离措施，总收集效率不低于90%。</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废气收集后，无组织废气达标排放。</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无组织废气达标排放</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厂区必须配套污水管网，所有企业厂区应实行雨污分流，清污分流。生产废水符合纳管要求后纳入城镇污水管网。</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实行雨污分流，清污分流，无生产废水</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按照“减量化、资源化、无害化”的原则，对固废进行分类收集、规范处置。</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固废按要求暂存，并规范处置</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污染物处理</w:t>
                  </w: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使用溶剂型涂料的生产线，烘干废气处理效率高于90%；收集废气中非甲烷总烃初始排放浓度≥2kg/h时，VOCs处理效率高于80%。废气达标排放并满足环评相关要求。</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收集废气中非甲烷总烃初始排放浓度</w:t>
                  </w:r>
                  <w:r>
                    <w:rPr>
                      <w:rFonts w:hint="eastAsia"/>
                      <w:color w:val="auto"/>
                      <w:sz w:val="21"/>
                      <w:szCs w:val="21"/>
                      <w:lang w:val="en-US" w:eastAsia="zh-CN"/>
                    </w:rPr>
                    <w:t>＜</w:t>
                  </w:r>
                  <w:r>
                    <w:rPr>
                      <w:rFonts w:hint="eastAsia"/>
                      <w:color w:val="auto"/>
                      <w:sz w:val="21"/>
                      <w:szCs w:val="21"/>
                    </w:rPr>
                    <w:t>2kg/h</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采用符合国家有关低VOCs水性涂料的，排放浓度稳定达标且排放速率、排放绩效等满足相关规定的，相应生产工序可不要求建设末端治理设施。原辅材料VOCs含量低于10%工序，可不要求采取无组织排放收集措施。非水溶性组分的废气严禁使用低温等离子、水喷淋等单一低效废气处理设施及UV光氧处理设施。</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项目使用低</w:t>
                  </w:r>
                  <w:r>
                    <w:rPr>
                      <w:rFonts w:hint="eastAsia"/>
                      <w:color w:val="auto"/>
                      <w:sz w:val="21"/>
                      <w:szCs w:val="21"/>
                    </w:rPr>
                    <w:t>VOCs涂料</w:t>
                  </w:r>
                  <w:r>
                    <w:rPr>
                      <w:rFonts w:hint="eastAsia"/>
                      <w:color w:val="auto"/>
                      <w:sz w:val="21"/>
                      <w:szCs w:val="21"/>
                      <w:lang w:eastAsia="zh-CN"/>
                    </w:rPr>
                    <w:t>，</w:t>
                  </w:r>
                  <w:r>
                    <w:rPr>
                      <w:rFonts w:hint="eastAsia"/>
                      <w:color w:val="auto"/>
                      <w:sz w:val="21"/>
                      <w:szCs w:val="21"/>
                      <w:lang w:val="en-US" w:eastAsia="zh-CN"/>
                    </w:rPr>
                    <w:t>排放浓度及排放速率满足相关要求</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建立工业固废和危废管理台账，如实记录危废贮存、利用处置情况，委托资质单位处置，严格执行危废转移联单制度。</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rPr>
                    <w:t>企业将</w:t>
                  </w:r>
                  <w:r>
                    <w:rPr>
                      <w:rFonts w:hint="eastAsia"/>
                      <w:color w:val="auto"/>
                      <w:sz w:val="21"/>
                      <w:szCs w:val="21"/>
                      <w:lang w:val="en-US" w:eastAsia="zh-CN"/>
                    </w:rPr>
                    <w:t>按照要求建立</w:t>
                  </w:r>
                  <w:r>
                    <w:rPr>
                      <w:rFonts w:hint="eastAsia"/>
                      <w:color w:val="auto"/>
                      <w:sz w:val="21"/>
                      <w:szCs w:val="21"/>
                    </w:rPr>
                    <w:t>工业固废和危废管理台账</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restart"/>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日常管理</w:t>
                  </w: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完善环境保护管理制度，包括环保设施运行管理制度、废气处理设施定期保养制度、废气监测制度等。</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rPr>
                    <w:t>企业</w:t>
                  </w:r>
                  <w:r>
                    <w:rPr>
                      <w:rFonts w:hint="eastAsia"/>
                      <w:color w:val="auto"/>
                      <w:sz w:val="21"/>
                      <w:szCs w:val="21"/>
                      <w:lang w:val="en-US" w:eastAsia="zh-CN"/>
                    </w:rPr>
                    <w:t>投产后</w:t>
                  </w:r>
                  <w:r>
                    <w:rPr>
                      <w:rFonts w:hint="eastAsia"/>
                      <w:color w:val="auto"/>
                      <w:sz w:val="21"/>
                      <w:szCs w:val="21"/>
                    </w:rPr>
                    <w:t>将</w:t>
                  </w:r>
                  <w:r>
                    <w:rPr>
                      <w:rFonts w:hint="eastAsia"/>
                      <w:color w:val="auto"/>
                      <w:sz w:val="21"/>
                      <w:szCs w:val="21"/>
                      <w:lang w:val="en-US" w:eastAsia="zh-CN"/>
                    </w:rPr>
                    <w:t>完善各类</w:t>
                  </w:r>
                  <w:r>
                    <w:rPr>
                      <w:rFonts w:hint="eastAsia"/>
                      <w:color w:val="auto"/>
                      <w:sz w:val="21"/>
                      <w:szCs w:val="21"/>
                    </w:rPr>
                    <w:t>环境保护管理制度</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工业涂装等VOCs排放重点源，纳入重点排污单位名录，主要排污口安装自动监控设施，并与生态环境部门联网。</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不涉及VOCs排放重点源</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健全各类台帐并严格管理，系统梳理VOCs排放主要环节和工序，健全内部考核制度。记录生产和治污设施运行的关键参数，在线监控相关台账记录至少保存三年。</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企业将落实</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建立非正常工况申报管理制度，包括停产、废气处理设施停运、突发环保事故等，应及时向当地环保部门报告备案。</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企业将落实</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FF0000"/>
                      <w:sz w:val="21"/>
                      <w:szCs w:val="21"/>
                    </w:rPr>
                  </w:pPr>
                </w:p>
              </w:tc>
              <w:tc>
                <w:tcPr>
                  <w:tcW w:w="791" w:type="dxa"/>
                  <w:vMerge w:val="continue"/>
                  <w:tcBorders>
                    <w:left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p>
              </w:tc>
              <w:tc>
                <w:tcPr>
                  <w:tcW w:w="4110" w:type="dxa"/>
                  <w:tcBorders>
                    <w:top w:val="single" w:color="auto" w:sz="4" w:space="0"/>
                    <w:left w:val="single" w:color="auto" w:sz="4" w:space="0"/>
                    <w:bottom w:val="single" w:color="auto" w:sz="4" w:space="0"/>
                    <w:right w:val="single" w:color="auto" w:sz="4" w:space="0"/>
                  </w:tcBorders>
                  <w:vAlign w:val="center"/>
                </w:tcPr>
                <w:p>
                  <w:pPr>
                    <w:pStyle w:val="8"/>
                    <w:keepNext w:val="0"/>
                    <w:keepLines w:val="0"/>
                    <w:pageBreakBefore w:val="0"/>
                    <w:kinsoku/>
                    <w:wordWrap/>
                    <w:overflowPunct/>
                    <w:topLinePunct w:val="0"/>
                    <w:autoSpaceDE/>
                    <w:autoSpaceDN/>
                    <w:bidi w:val="0"/>
                    <w:snapToGrid/>
                    <w:spacing w:line="300" w:lineRule="exact"/>
                    <w:ind w:firstLine="0"/>
                    <w:textAlignment w:val="auto"/>
                    <w:rPr>
                      <w:color w:val="auto"/>
                      <w:sz w:val="21"/>
                      <w:szCs w:val="21"/>
                    </w:rPr>
                  </w:pPr>
                  <w:r>
                    <w:rPr>
                      <w:rFonts w:hint="eastAsia"/>
                      <w:color w:val="auto"/>
                      <w:sz w:val="21"/>
                      <w:szCs w:val="21"/>
                    </w:rPr>
                    <w:t>具备条件可委托环保设计治理资质单位承担环保治理服务工作。</w:t>
                  </w:r>
                </w:p>
              </w:tc>
              <w:tc>
                <w:tcPr>
                  <w:tcW w:w="202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napToGrid/>
                    <w:spacing w:line="300" w:lineRule="exact"/>
                    <w:jc w:val="center"/>
                    <w:textAlignment w:val="auto"/>
                    <w:rPr>
                      <w:rFonts w:hint="default" w:eastAsia="宋体"/>
                      <w:color w:val="auto"/>
                      <w:sz w:val="21"/>
                      <w:szCs w:val="21"/>
                      <w:lang w:val="en-US" w:eastAsia="zh-CN"/>
                    </w:rPr>
                  </w:pPr>
                  <w:r>
                    <w:rPr>
                      <w:rFonts w:hint="eastAsia"/>
                      <w:color w:val="auto"/>
                      <w:sz w:val="21"/>
                      <w:szCs w:val="21"/>
                    </w:rPr>
                    <w:t>企业将</w:t>
                  </w:r>
                  <w:r>
                    <w:rPr>
                      <w:rFonts w:hint="eastAsia"/>
                      <w:color w:val="auto"/>
                      <w:sz w:val="21"/>
                      <w:szCs w:val="21"/>
                      <w:lang w:val="en-US" w:eastAsia="zh-CN"/>
                    </w:rPr>
                    <w:t>委托资质单位进行废气设计及安装工作</w:t>
                  </w:r>
                </w:p>
              </w:tc>
              <w:tc>
                <w:tcPr>
                  <w:tcW w:w="5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napToGrid/>
                    <w:spacing w:line="300" w:lineRule="exact"/>
                    <w:jc w:val="center"/>
                    <w:textAlignment w:val="auto"/>
                    <w:rPr>
                      <w:color w:val="auto"/>
                      <w:sz w:val="21"/>
                      <w:szCs w:val="21"/>
                    </w:rPr>
                  </w:pPr>
                  <w:r>
                    <w:rPr>
                      <w:rFonts w:hint="eastAsia"/>
                      <w:color w:val="auto"/>
                      <w:sz w:val="21"/>
                      <w:szCs w:val="21"/>
                    </w:rPr>
                    <w:t>符合</w:t>
                  </w:r>
                </w:p>
              </w:tc>
            </w:tr>
          </w:tbl>
          <w:p>
            <w:pPr>
              <w:pStyle w:val="120"/>
              <w:spacing w:line="360" w:lineRule="auto"/>
              <w:ind w:left="60" w:leftChars="25" w:right="60" w:rightChars="25" w:firstLine="482" w:firstLineChars="200"/>
              <w:rPr>
                <w:rFonts w:hint="eastAsia"/>
                <w:color w:val="auto"/>
              </w:rPr>
            </w:pPr>
            <w:r>
              <w:rPr>
                <w:rFonts w:hint="eastAsia" w:ascii="Times New Roman" w:hAnsi="Times New Roman" w:eastAsia="宋体" w:cs="Times New Roman"/>
                <w:b/>
                <w:bCs/>
                <w:color w:val="auto"/>
                <w:lang w:val="en-US" w:eastAsia="zh-CN"/>
              </w:rPr>
              <w:t>符合性分析：</w:t>
            </w:r>
            <w:r>
              <w:rPr>
                <w:rFonts w:hint="eastAsia"/>
                <w:color w:val="auto"/>
              </w:rPr>
              <w:t>本项目建设符合</w:t>
            </w:r>
            <w:r>
              <w:rPr>
                <w:rFonts w:hint="eastAsia" w:ascii="Times New Roman" w:cs="Times New Roman"/>
                <w:color w:val="auto"/>
              </w:rPr>
              <w:t>“湖州市机械涂装重点行业污染整治提升规范”要求</w:t>
            </w:r>
            <w:r>
              <w:rPr>
                <w:rFonts w:hint="eastAsia"/>
                <w:color w:val="auto"/>
              </w:rPr>
              <w:t>。</w:t>
            </w:r>
          </w:p>
          <w:p>
            <w:pPr>
              <w:spacing w:line="360" w:lineRule="auto"/>
              <w:ind w:right="60" w:rightChars="25" w:firstLine="241" w:firstLineChars="100"/>
              <w:rPr>
                <w:rFonts w:hint="default" w:ascii="Times New Roman" w:hAnsi="Times New Roman" w:eastAsia="宋体" w:cs="Times New Roman"/>
                <w:b/>
                <w:color w:val="auto"/>
                <w:lang w:eastAsia="zh-CN"/>
              </w:rPr>
            </w:pPr>
            <w:r>
              <w:rPr>
                <w:rFonts w:hint="default" w:ascii="Times New Roman" w:hAnsi="Times New Roman" w:eastAsia="宋体" w:cs="Times New Roman"/>
                <w:b/>
                <w:color w:val="auto"/>
                <w:lang w:val="en-US" w:eastAsia="zh-CN"/>
              </w:rPr>
              <w:t>1</w:t>
            </w:r>
            <w:r>
              <w:rPr>
                <w:rFonts w:hint="eastAsia" w:ascii="Times New Roman" w:hAnsi="Times New Roman" w:eastAsia="宋体" w:cs="Times New Roman"/>
                <w:b/>
                <w:color w:val="auto"/>
                <w:lang w:val="en-US" w:eastAsia="zh-CN"/>
              </w:rPr>
              <w:t>4、《省美丽浙江建设领导小组办公室关于印发&lt;浙江省2024年空气质量改善攻坚行动方案&gt;的通知》</w:t>
            </w:r>
            <w:r>
              <w:rPr>
                <w:rFonts w:hint="default" w:ascii="Times New Roman" w:hAnsi="Times New Roman" w:eastAsia="宋体" w:cs="Times New Roman"/>
                <w:b/>
                <w:color w:val="auto"/>
                <w:lang w:eastAsia="zh-CN"/>
              </w:rPr>
              <w:t>符合性分析</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对照《省美丽浙江建设领导小组办公室关于印发&lt;浙江省2024年空气质量改善攻坚行动方案&gt;的通知》，本项目分析情况见表1-11。</w:t>
            </w:r>
          </w:p>
          <w:p>
            <w:pPr>
              <w:spacing w:line="240" w:lineRule="auto"/>
              <w:jc w:val="center"/>
              <w:rPr>
                <w:rFonts w:hint="default"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表1-11  《省美丽浙江建设领导小组办公室关于印发&lt;浙江省2024年空气质量改善攻坚行动方案&gt;的通知》符合性分析</w:t>
            </w:r>
          </w:p>
          <w:tbl>
            <w:tblPr>
              <w:tblStyle w:val="30"/>
              <w:tblW w:w="7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4604"/>
              <w:gridCol w:w="1804"/>
              <w:gridCol w:w="7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主要任务</w:t>
                  </w: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内容</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rPr>
                    <w:t>项目情况</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rPr>
                    <w:t>是否符合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restart"/>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（一）推动产业结构绿色低碳转型</w:t>
                  </w: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源头优化产业结构。坚决遏制高耗能、高排放、低水平项目盲目上马，新改扩建“两高一低”项目严格落实“十项准入要求”，一般应达到大气污染防治绩效A级（引领性）水平、采用清洁运输方式。新建项目应对照《工业重点领域能效标杆水平和基准水平》中的能效标杆水平建设实施，推动能效水平应提尽提，力争全面达到标杆水平。涉及产能置换的项目，被置换产能及其配套设施关停后，新建项目方可投产。新改扩建项目优先生产、使用非溶剂型涂料、油墨、胶粘剂、清洗剂等产品和原辅材料，一般应不得人为添加卤代烃物质。原则上不再新增自备燃煤机组。</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本项目使用非溶剂型涂料</w:t>
                  </w:r>
                  <w:r>
                    <w:rPr>
                      <w:rFonts w:hint="eastAsia"/>
                      <w:bCs/>
                      <w:color w:val="auto"/>
                      <w:sz w:val="21"/>
                      <w:szCs w:val="21"/>
                    </w:rPr>
                    <w:t>，符合国家有关低VOCs含量产品规定。</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大力推进制造业绿色升级。严格执行《产业结构调整指导目录（2024年本）》和《绿色低碳转型产业指导目录（2024版）》，加快推进高效节能装备制造、先进交通装备制造、节能降碳改造、重点工业行业绿色低碳转型、温室气体控制等绿色低碳产业发展，依法依规淘汰落后产能，推动涉气行业生产、用能设备更新；重点区域进一步提高要求，加快退出限制类涉气行业工艺和装备。加大烧结砖生产线整合力度。压减湖州、金华、衢州等地水泥熟料产能，完成3条以上2500吨/日及以下熟料生产线停产，加快产能置换退出；持续推动行业协会和水泥熟料企业常态化组织实施错峰生产，提升错峰生产比例，大气污染防治绩效D级企业一般应年度错峰生产时间在80天以上。</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本项目</w:t>
                  </w:r>
                  <w:r>
                    <w:rPr>
                      <w:rFonts w:hint="eastAsia" w:ascii="Times New Roman" w:hAnsi="Times New Roman" w:eastAsia="宋体" w:cs="Times New Roman"/>
                      <w:color w:val="auto"/>
                      <w:sz w:val="21"/>
                      <w:szCs w:val="21"/>
                      <w:lang w:val="en-US" w:eastAsia="zh-CN"/>
                    </w:rPr>
                    <w:t>符合</w:t>
                  </w:r>
                  <w:r>
                    <w:rPr>
                      <w:rFonts w:hint="default" w:ascii="Times New Roman" w:hAnsi="Times New Roman" w:eastAsia="宋体" w:cs="Times New Roman"/>
                      <w:color w:val="auto"/>
                      <w:sz w:val="21"/>
                      <w:szCs w:val="21"/>
                      <w:lang w:val="en-US" w:eastAsia="zh-CN"/>
                    </w:rPr>
                    <w:t>《产业结构调整指导目录（2024年本）》和《绿色低碳转型产业指导目录（2024版）》</w:t>
                  </w:r>
                  <w:r>
                    <w:rPr>
                      <w:rFonts w:hint="default" w:ascii="Times New Roman" w:hAnsi="Times New Roman" w:eastAsia="宋体" w:cs="Times New Roman"/>
                      <w:color w:val="auto"/>
                      <w:sz w:val="21"/>
                      <w:szCs w:val="21"/>
                      <w:lang w:eastAsia="zh-CN"/>
                    </w:rPr>
                    <w:t>。</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推进涉气产业集群升级改造。按照《浙江省人民政府办公厅关于开展全省重点行业污染整治提升工作的通知》部署，全面推进复合布加工、废橡胶利用、木质家具、烧结砖、玻璃制造、化工、修造船等涉气产业集群整治提升；结合本地产业特色，各市对存在大气污染防治突出问题的重点涉气产业集群开展整治提升。加快完善废气治理活性炭集中再生公共服务体系，全省新增10000家以上中小微涉气企业纳入体系，舟山市加快探索废气治理活性炭再生处置模式。因地制宜建设集中涂装中心、溶剂回收中心等“绿岛”项目。</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本项目</w:t>
                  </w:r>
                  <w:r>
                    <w:rPr>
                      <w:rFonts w:hint="eastAsia" w:ascii="Times New Roman" w:hAnsi="Times New Roman" w:eastAsia="宋体" w:cs="Times New Roman"/>
                      <w:color w:val="auto"/>
                      <w:sz w:val="21"/>
                      <w:szCs w:val="21"/>
                      <w:lang w:val="en-US" w:eastAsia="zh-CN"/>
                    </w:rPr>
                    <w:t>产生的废气经有效收集后进行妥善处理</w:t>
                  </w:r>
                  <w:r>
                    <w:rPr>
                      <w:rFonts w:hint="eastAsia"/>
                      <w:color w:val="auto"/>
                      <w:sz w:val="21"/>
                      <w:szCs w:val="21"/>
                      <w:lang w:eastAsia="zh-CN"/>
                    </w:rPr>
                    <w:t>。</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restart"/>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（二）加速能源清洁低碳转型</w:t>
                  </w: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1.大力发展清洁低碳能源。加快绿色能源基础设施建设，非化石能源消费比重达到23%，提升电能占终端能源消费比重，天然气消费量190亿立方米左右。</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本项目使用</w:t>
                  </w:r>
                  <w:r>
                    <w:rPr>
                      <w:rFonts w:hint="eastAsia" w:ascii="Times New Roman" w:hAnsi="Times New Roman" w:eastAsia="宋体" w:cs="Times New Roman"/>
                      <w:color w:val="auto"/>
                      <w:sz w:val="21"/>
                      <w:szCs w:val="21"/>
                      <w:lang w:val="en-US" w:eastAsia="zh-CN"/>
                    </w:rPr>
                    <w:t>电能，不使用其他能源</w:t>
                  </w:r>
                  <w:r>
                    <w:rPr>
                      <w:rFonts w:hint="default" w:ascii="Times New Roman" w:hAnsi="Times New Roman" w:eastAsia="宋体" w:cs="Times New Roman"/>
                      <w:color w:val="auto"/>
                      <w:sz w:val="21"/>
                      <w:szCs w:val="21"/>
                      <w:lang w:val="en-US" w:eastAsia="zh-CN"/>
                    </w:rPr>
                    <w:t>。</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严格调控煤炭消费总量。杭州市、宁波市、湖州市、嘉兴市、绍兴市和舟山市新改扩建用煤项目依法实行煤炭等量或减量替代，替代方案不完善的不予审批，不得将使用石油焦、焦炭、兰炭等高污染燃料作为煤炭等量或减量替代措施；在保障能源安全供应的前提下，及时采取有效的减煤措施。对促进新能源消纳利用、保障电网运行安全中发挥支撑性调节性作用的清洁高效煤电机组，合理保障其煤炭消费量。</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本项目不涉及。</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推动锅炉整合提升。禁止建设企业自备燃煤锅炉，新建容量在10蒸吨/小时及以下工业锅炉一般应优先选用蓄热式电加热锅炉、冷凝式燃气锅炉。各地要积极优化热力管网布局，重点区域加快淘汰整合覆盖范围内的燃煤锅炉等小型用煤设施，杭州市、绍兴市要推动绍兴滨海热电公司供热半径30公里范围内的中小用煤设施淘汰整合，湖州市加快推动主城区燃煤热电企业关停搬迁。推动35蒸吨/小时燃煤锅炉淘汰和65蒸吨/小时以下的企业备用燃煤锅炉实施清洁能源替代，杭州市萧山区立即淘汰35蒸吨/小时以下燃煤锅炉。摸排淘汰茶水炉、经营性炉灶、储粮烘干设备、农产品加工等燃煤设施。推动2蒸吨/小时及以下生物质锅炉等落后用能设施更新改造，积极采用电能、天然气替代，全省力争完成500台以上，瑞安市、乐清市、江山市等落后生物质锅炉集中的地区要制定实施专项方案。</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本项目不涉及。</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实施工业炉窑清洁能源替代。不再新增燃料类煤气发生炉，新改扩建加热炉、热处理炉、干燥炉、熔化炉一般应采用清洁低碳能源。加快淘汰燃料类煤气发生炉，推动淘汰间歇式固定床煤气发生炉。加快推进宁波市、湖州市等玻璃熔窑清洁能源替代。</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本项目不涉及。</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restart"/>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（四）实施面源综合治理</w:t>
                  </w: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lang w:val="en-US" w:eastAsia="zh-CN"/>
                    </w:rPr>
                    <w:t>.强化扬尘综合治理。各类施工场地严格落实“七个百分之百”扬尘防控长效机制，运用卫星遥感、视频监控等技术开展裸地扬尘排查治理。开展港口、码头大型干散货物料堆场扬尘防控措施治理，实施治理项目63个。新建矿山一般应采用皮带长廊、水运、铁路等清洁运输方式，采用新能源运输车辆和矿山机械；新建露天矿山严格落实矿山粉尘防治措施，建设扬尘监测设施。</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本项目</w:t>
                  </w:r>
                  <w:r>
                    <w:rPr>
                      <w:rFonts w:hint="eastAsia" w:ascii="Times New Roman" w:hAnsi="Times New Roman" w:eastAsia="宋体" w:cs="Times New Roman"/>
                      <w:color w:val="auto"/>
                      <w:sz w:val="21"/>
                      <w:szCs w:val="21"/>
                      <w:lang w:val="en-US" w:eastAsia="zh-CN"/>
                    </w:rPr>
                    <w:t>利用自</w:t>
                  </w:r>
                  <w:r>
                    <w:rPr>
                      <w:rFonts w:hint="default" w:ascii="Times New Roman" w:hAnsi="Times New Roman" w:eastAsia="宋体" w:cs="Times New Roman"/>
                      <w:color w:val="auto"/>
                      <w:sz w:val="21"/>
                      <w:szCs w:val="21"/>
                      <w:lang w:val="en-US" w:eastAsia="zh-CN"/>
                    </w:rPr>
                    <w:t>有的闲置工业厂房组织生产，并不新建厂房。</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加强重点领域恶臭异味治理。开展工业园区、重点企业、市政设施和畜禽养殖领域恶臭异味排查，实施治理项目100个以上。加强餐饮企业油烟治理设施定期清洗，支持有条件的地区实施治理设施第三方运维管理。</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本项目</w:t>
                  </w:r>
                  <w:r>
                    <w:rPr>
                      <w:rFonts w:hint="eastAsia" w:ascii="Times New Roman" w:hAnsi="Times New Roman" w:eastAsia="宋体" w:cs="Times New Roman"/>
                      <w:color w:val="auto"/>
                      <w:sz w:val="21"/>
                      <w:szCs w:val="21"/>
                      <w:lang w:val="en-US" w:eastAsia="zh-CN"/>
                    </w:rPr>
                    <w:t>不涉及</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restart"/>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（五）强化污染物协同减排</w:t>
                  </w: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加快推进重点行业超低排放改造。钢铁企业加快实施超低排放改造查缺补漏工程，50%以上的钢铁产能完成超低排放全流程评估监测公示。无法稳定达到超低排放限值的燃煤火电、自备燃煤锅炉实施烟气治理升级改造，采取选择性催化还原（SCR）脱硝等高效治理工艺。加快推进水泥行业全面完成有组织、无组织超低排放改造，70%以上水泥熟料产能完成主要工程改造。研究启动生活垃圾焚烧行业超低排放改造和排放标准制订，新建垃圾焚烧厂按超低排放要求建设，加强对排放不稳定、飞灰产生量大的焚烧厂技术改造。</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本项目不涉及。</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深化挥发性有机物综合治理提升。全面推进涉及使用溶剂型工业涂料的汽车和摩托车整车、工程机械、车辆零部件、木质家具、船舶制造，使用溶剂型油墨的吸收性承印物凹版印刷，使用溶剂型胶粘剂的软包装复合、纺织品复合、家具胶粘等行业挥发性有机物（VOCs）源头替代（其中，汽车和摩托车整车、工程机械制造要实现“应替尽替”），实施源头替代企业1000家以上。石化、化工行业集中的34个县（市、区）实现统一的泄漏检测与修复（LDAR）数字化管理。加强数字化运用管理，各市建立VOCs治理用活性炭集中再生监管服务平台。</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本项目</w:t>
                  </w:r>
                  <w:r>
                    <w:rPr>
                      <w:rFonts w:hint="default" w:ascii="Times New Roman" w:hAnsi="Times New Roman" w:eastAsia="宋体" w:cs="Times New Roman"/>
                      <w:color w:val="auto"/>
                      <w:sz w:val="21"/>
                      <w:szCs w:val="21"/>
                      <w:lang w:val="en-US" w:eastAsia="zh-CN"/>
                    </w:rPr>
                    <w:t>使用非溶剂型涂料</w:t>
                  </w:r>
                  <w:r>
                    <w:rPr>
                      <w:rFonts w:hint="eastAsia"/>
                      <w:color w:val="auto"/>
                      <w:sz w:val="21"/>
                      <w:szCs w:val="21"/>
                      <w:lang w:eastAsia="zh-CN"/>
                    </w:rPr>
                    <w:t>，</w:t>
                  </w:r>
                  <w:r>
                    <w:rPr>
                      <w:rFonts w:hint="eastAsia" w:ascii="Times New Roman" w:hAnsi="Times New Roman" w:eastAsia="宋体" w:cs="Times New Roman"/>
                      <w:color w:val="auto"/>
                      <w:sz w:val="21"/>
                      <w:szCs w:val="21"/>
                      <w:lang w:val="en-US" w:eastAsia="zh-CN"/>
                    </w:rPr>
                    <w:t>产生的废气经有效收集后进行妥善处理</w:t>
                  </w:r>
                  <w:r>
                    <w:rPr>
                      <w:rFonts w:hint="eastAsia"/>
                      <w:color w:val="auto"/>
                      <w:sz w:val="21"/>
                      <w:szCs w:val="21"/>
                      <w:lang w:eastAsia="zh-CN"/>
                    </w:rPr>
                    <w:t>。</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开展低效失效大气污染治理设施排查整治。持续开展低效VOCs治理设施排查整治，做好低效设施升级改造“回头看”，建立问题清单，组织开展交叉检查。开展挥发性有机液体储罐泄漏情况排查和改造，大型储油库、大型石化企业换用低泄漏的呼吸阀、紧急泄压阀，引导企业开展内浮顶罐排放废气收集处理或浮盘高效密封改造。全面开展锅炉和工业炉窑低效污染治理设施排查和分类处置。印刷企业对标行业排放标准要求，全面实施升级改造。</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本项目</w:t>
                  </w:r>
                  <w:r>
                    <w:rPr>
                      <w:rFonts w:hint="eastAsia" w:ascii="Times New Roman" w:hAnsi="Times New Roman" w:eastAsia="宋体" w:cs="Times New Roman"/>
                      <w:color w:val="auto"/>
                      <w:sz w:val="21"/>
                      <w:szCs w:val="21"/>
                      <w:lang w:val="en-US" w:eastAsia="zh-CN"/>
                    </w:rPr>
                    <w:t>使用的有机废气处理装置均不属于低效处理设施。</w:t>
                  </w:r>
                  <w:r>
                    <w:rPr>
                      <w:rFonts w:hint="eastAsia"/>
                      <w:color w:val="auto"/>
                      <w:sz w:val="21"/>
                      <w:szCs w:val="21"/>
                      <w:lang w:eastAsia="zh-CN"/>
                    </w:rPr>
                    <w:t>。</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4" w:type="dxa"/>
                  <w:vMerge w:val="continue"/>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p>
              </w:tc>
              <w:tc>
                <w:tcPr>
                  <w:tcW w:w="463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推进重点行业废气治理升级改造。综合采取产品结构调整、原辅材料替代和末端高效治理，举一反三全面完成漆包线等行业氮氧化物治理，其中使用含氮涂料且采用燃烧法处理VOCs废气的企业，要实施开展源头替代或末端治理，确保氮氧化物排放达到国家排放标准。以绩效评级为抓手，推动工业企业开展提级改造，重点区域力争培育大气污染防治绩效A/B级、引领性企业达到12%以上，其他区域力争达到8%以上。</w:t>
                  </w:r>
                </w:p>
              </w:tc>
              <w:tc>
                <w:tcPr>
                  <w:tcW w:w="1815"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本项目不涉及。</w:t>
                  </w:r>
                </w:p>
              </w:tc>
              <w:tc>
                <w:tcPr>
                  <w:tcW w:w="723" w:type="dxa"/>
                  <w:vAlign w:val="center"/>
                </w:tcPr>
                <w:p>
                  <w:pPr>
                    <w:keepNext w:val="0"/>
                    <w:keepLines w:val="0"/>
                    <w:pageBreakBefore w:val="0"/>
                    <w:widowControl w:val="0"/>
                    <w:kinsoku/>
                    <w:wordWrap/>
                    <w:overflowPunct/>
                    <w:topLinePunct w:val="0"/>
                    <w:autoSpaceDE/>
                    <w:autoSpaceDN/>
                    <w:bidi w:val="0"/>
                    <w:adjustRightInd/>
                    <w:snapToGrid/>
                    <w:spacing w:line="250" w:lineRule="exact"/>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不涉及</w:t>
                  </w:r>
                </w:p>
              </w:tc>
            </w:tr>
          </w:tbl>
          <w:p>
            <w:pPr>
              <w:pStyle w:val="120"/>
              <w:spacing w:line="360" w:lineRule="auto"/>
              <w:ind w:left="60" w:leftChars="25" w:right="60" w:rightChars="25" w:firstLine="480" w:firstLineChars="200"/>
              <w:rPr>
                <w:rFonts w:hint="default"/>
                <w:color w:val="auto"/>
                <w:lang w:val="en-US" w:eastAsia="zh-CN"/>
              </w:rPr>
            </w:pPr>
          </w:p>
        </w:tc>
      </w:tr>
    </w:tbl>
    <w:p>
      <w:pPr>
        <w:pStyle w:val="4"/>
        <w:rPr>
          <w:rFonts w:hint="default" w:ascii="Times New Roman" w:hAnsi="Times New Roman" w:eastAsia="宋体" w:cs="Times New Roman"/>
          <w:color w:val="FF0000"/>
        </w:rPr>
      </w:pPr>
      <w:r>
        <w:rPr>
          <w:rFonts w:hint="default" w:ascii="Times New Roman" w:hAnsi="Times New Roman" w:eastAsia="宋体" w:cs="Times New Roman"/>
          <w:color w:val="FF0000"/>
        </w:rPr>
        <w:br w:type="page"/>
      </w:r>
      <w:bookmarkStart w:id="14" w:name="_Toc99693253"/>
      <w:r>
        <w:rPr>
          <w:rFonts w:hint="default" w:ascii="Times New Roman" w:hAnsi="Times New Roman" w:eastAsia="宋体" w:cs="Times New Roman"/>
          <w:b/>
          <w:color w:val="auto"/>
        </w:rPr>
        <w:t>二、建设项目工程分析</w:t>
      </w:r>
      <w:bookmarkEnd w:id="11"/>
      <w:bookmarkEnd w:id="12"/>
      <w:bookmarkEnd w:id="14"/>
    </w:p>
    <w:tbl>
      <w:tblPr>
        <w:tblStyle w:val="29"/>
        <w:tblW w:w="8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7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09"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建设内容</w:t>
            </w:r>
          </w:p>
        </w:tc>
        <w:tc>
          <w:tcPr>
            <w:tcW w:w="7656" w:type="dxa"/>
            <w:vAlign w:val="center"/>
          </w:tcPr>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2.1项目由来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color w:val="auto"/>
                <w:szCs w:val="24"/>
                <w:lang w:val="en-US" w:eastAsia="zh-CN"/>
              </w:rPr>
            </w:pPr>
            <w:r>
              <w:rPr>
                <w:rFonts w:hint="eastAsia" w:cs="Times New Roman"/>
                <w:color w:val="auto"/>
                <w:szCs w:val="24"/>
                <w:lang w:eastAsia="zh-CN"/>
              </w:rPr>
              <w:t>浙江鑫桦钢管有限公司</w:t>
            </w:r>
            <w:r>
              <w:rPr>
                <w:rFonts w:hint="default" w:ascii="Times New Roman" w:hAnsi="Times New Roman" w:cs="Times New Roman"/>
                <w:color w:val="auto"/>
                <w:szCs w:val="24"/>
                <w:lang w:val="en-US" w:eastAsia="zh-CN"/>
              </w:rPr>
              <w:t>成立于</w:t>
            </w:r>
            <w:r>
              <w:rPr>
                <w:rFonts w:hint="default" w:cs="Times New Roman"/>
                <w:color w:val="auto"/>
                <w:szCs w:val="24"/>
                <w:lang w:val="en-US" w:eastAsia="zh-CN"/>
              </w:rPr>
              <w:t>20</w:t>
            </w:r>
            <w:r>
              <w:rPr>
                <w:rFonts w:hint="eastAsia" w:cs="Times New Roman"/>
                <w:color w:val="auto"/>
                <w:szCs w:val="24"/>
                <w:lang w:val="en-US" w:eastAsia="zh-CN"/>
              </w:rPr>
              <w:t>10</w:t>
            </w:r>
            <w:r>
              <w:rPr>
                <w:rFonts w:hint="default" w:cs="Times New Roman"/>
                <w:color w:val="auto"/>
                <w:szCs w:val="24"/>
                <w:lang w:val="en-US" w:eastAsia="zh-CN"/>
              </w:rPr>
              <w:t>年，</w:t>
            </w:r>
            <w:r>
              <w:rPr>
                <w:rFonts w:hint="eastAsia" w:cs="Times New Roman"/>
                <w:color w:val="auto"/>
                <w:szCs w:val="24"/>
                <w:lang w:val="en-US" w:eastAsia="zh-CN"/>
              </w:rPr>
              <w:t>地址位于德清县钟管镇横塘桥路2号，利用自有厂房组织生产，是一家主营螺旋埋弧焊管生产的企业。</w:t>
            </w:r>
            <w:r>
              <w:rPr>
                <w:rFonts w:hint="eastAsia" w:ascii="Times New Roman" w:hAnsi="Times New Roman" w:eastAsia="宋体" w:cs="Times New Roman"/>
                <w:color w:val="auto"/>
                <w:szCs w:val="24"/>
                <w:lang w:val="en-US" w:eastAsia="zh-CN"/>
              </w:rPr>
              <w:t>企业于2021年报批的年产</w:t>
            </w:r>
            <w:r>
              <w:rPr>
                <w:rFonts w:hint="default" w:ascii="Times New Roman" w:hAnsi="Times New Roman" w:eastAsia="宋体" w:cs="Times New Roman"/>
                <w:color w:val="auto"/>
                <w:szCs w:val="24"/>
                <w:lang w:val="en-US" w:eastAsia="zh-CN"/>
              </w:rPr>
              <w:t>100</w:t>
            </w:r>
            <w:r>
              <w:rPr>
                <w:rFonts w:hint="eastAsia" w:ascii="Times New Roman" w:hAnsi="Times New Roman" w:eastAsia="宋体" w:cs="Times New Roman"/>
                <w:color w:val="auto"/>
                <w:szCs w:val="24"/>
                <w:lang w:val="en-US" w:eastAsia="zh-CN"/>
              </w:rPr>
              <w:t>万平方米内外环氧粉末、</w:t>
            </w:r>
            <w:r>
              <w:rPr>
                <w:rFonts w:hint="default" w:ascii="Times New Roman" w:hAnsi="Times New Roman" w:eastAsia="宋体" w:cs="Times New Roman"/>
                <w:color w:val="auto"/>
                <w:szCs w:val="24"/>
                <w:lang w:val="en-US" w:eastAsia="zh-CN"/>
              </w:rPr>
              <w:t>5.6</w:t>
            </w:r>
            <w:r>
              <w:rPr>
                <w:rFonts w:hint="eastAsia" w:ascii="Times New Roman" w:hAnsi="Times New Roman" w:eastAsia="宋体" w:cs="Times New Roman"/>
                <w:color w:val="auto"/>
                <w:szCs w:val="24"/>
                <w:lang w:val="en-US" w:eastAsia="zh-CN"/>
              </w:rPr>
              <w:t>万平方米内</w:t>
            </w:r>
            <w:r>
              <w:rPr>
                <w:rFonts w:hint="default" w:ascii="Times New Roman" w:hAnsi="Times New Roman" w:eastAsia="宋体" w:cs="Times New Roman"/>
                <w:color w:val="auto"/>
                <w:szCs w:val="24"/>
                <w:lang w:val="en-US" w:eastAsia="zh-CN"/>
              </w:rPr>
              <w:t>8710-2</w:t>
            </w:r>
            <w:r>
              <w:rPr>
                <w:rFonts w:hint="eastAsia" w:ascii="Times New Roman" w:hAnsi="Times New Roman" w:eastAsia="宋体" w:cs="Times New Roman"/>
                <w:color w:val="auto"/>
                <w:szCs w:val="24"/>
                <w:lang w:val="en-US" w:eastAsia="zh-CN"/>
              </w:rPr>
              <w:t>饮用水涂料外</w:t>
            </w:r>
            <w:r>
              <w:rPr>
                <w:rFonts w:hint="default" w:ascii="Times New Roman" w:hAnsi="Times New Roman" w:eastAsia="宋体" w:cs="Times New Roman"/>
                <w:color w:val="auto"/>
                <w:szCs w:val="24"/>
                <w:lang w:val="en-US" w:eastAsia="zh-CN"/>
              </w:rPr>
              <w:t>8710-3</w:t>
            </w:r>
            <w:r>
              <w:rPr>
                <w:rFonts w:hint="eastAsia" w:ascii="Times New Roman" w:hAnsi="Times New Roman" w:eastAsia="宋体" w:cs="Times New Roman"/>
                <w:color w:val="auto"/>
                <w:szCs w:val="24"/>
                <w:lang w:val="en-US" w:eastAsia="zh-CN"/>
              </w:rPr>
              <w:t>涂料喷涂钢管项目中，新增了1条粉末涂覆线、1台抛丸机、1间上漆房，由于企业生产的产品规格从</w:t>
            </w:r>
            <w:r>
              <w:rPr>
                <w:rFonts w:hint="default" w:ascii="Times New Roman" w:hAnsi="Times New Roman" w:eastAsia="宋体" w:cs="Times New Roman"/>
                <w:color w:val="auto"/>
                <w:szCs w:val="24"/>
                <w:lang w:val="en-US" w:eastAsia="zh-CN"/>
              </w:rPr>
              <w:t>φ159mm~φ</w:t>
            </w:r>
            <w:r>
              <w:rPr>
                <w:rFonts w:hint="eastAsia" w:ascii="Times New Roman" w:hAnsi="Times New Roman" w:eastAsia="宋体" w:cs="Times New Roman"/>
                <w:color w:val="auto"/>
                <w:szCs w:val="24"/>
                <w:lang w:val="en-US" w:eastAsia="zh-CN"/>
              </w:rPr>
              <w:t>3420mm不等，产品规格跨度较大，大管径管道和小管径管道在同一生产线上生产，从而导致企业现有生产效率不高。</w:t>
            </w:r>
            <w:r>
              <w:rPr>
                <w:rFonts w:hint="eastAsia" w:cs="Times New Roman"/>
                <w:color w:val="auto"/>
                <w:szCs w:val="24"/>
                <w:lang w:val="en-US" w:eastAsia="zh-CN"/>
              </w:rPr>
              <w:t>为提升生产效率，企业拟购置全自动密闭涂装线、粉末涂覆线等设备（新增的设备用于</w:t>
            </w:r>
            <w:r>
              <w:rPr>
                <w:rFonts w:hint="eastAsia" w:ascii="Times New Roman" w:hAnsi="Times New Roman" w:eastAsia="宋体" w:cs="Times New Roman"/>
                <w:color w:val="auto"/>
                <w:szCs w:val="24"/>
                <w:lang w:val="en-US" w:eastAsia="zh-CN"/>
              </w:rPr>
              <w:t>大管径管道生产，原有设备用于小管径管道生产</w:t>
            </w:r>
            <w:r>
              <w:rPr>
                <w:rFonts w:hint="eastAsia" w:cs="Times New Roman"/>
                <w:color w:val="auto"/>
                <w:szCs w:val="24"/>
                <w:lang w:val="en-US" w:eastAsia="zh-CN"/>
              </w:rPr>
              <w:t>），对现有涂料及环氧粉末进行调整，选用更环保的涂料及环氧粉末进行替代，技改完成后产品、产能保持不变，仍为年产5万吨螺旋埋弧焊管，其中螺旋埋弧焊管表面防腐产能从原有的3.57万吨增加至4.5万吨。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color w:val="auto"/>
                <w:szCs w:val="24"/>
              </w:rPr>
            </w:pPr>
            <w:r>
              <w:rPr>
                <w:rFonts w:hint="default" w:ascii="Times New Roman" w:hAnsi="Times New Roman" w:cs="Times New Roman"/>
                <w:color w:val="auto"/>
                <w:szCs w:val="24"/>
              </w:rPr>
              <w:t>为科学、客观地评价项目对周围环境造成的影响，根据《中华人民共和国环境影响评价法》和《建设项目环境保护管理条例》中有关规定，本项目需进行环境影响评价。对照生态环境部部令第16号《建设项目环境影响评价分类管理名录》（2021年版），本项目的环境影响报告类型为报告表</w:t>
            </w:r>
            <w:r>
              <w:rPr>
                <w:rFonts w:hint="default" w:ascii="Times New Roman" w:hAnsi="Times New Roman" w:cs="Times New Roman"/>
                <w:color w:val="auto"/>
                <w:szCs w:val="24"/>
                <w:lang w:eastAsia="zh-CN"/>
              </w:rPr>
              <w:t>，</w:t>
            </w:r>
            <w:r>
              <w:rPr>
                <w:rFonts w:hint="default" w:ascii="Times New Roman" w:hAnsi="Times New Roman" w:cs="Times New Roman"/>
                <w:color w:val="auto"/>
                <w:szCs w:val="24"/>
                <w:lang w:val="en-US" w:eastAsia="zh-CN"/>
              </w:rPr>
              <w:t>详见表2-1</w:t>
            </w:r>
            <w:r>
              <w:rPr>
                <w:rFonts w:hint="default" w:ascii="Times New Roman" w:hAnsi="Times New Roman" w:cs="Times New Roman"/>
                <w:color w:val="auto"/>
                <w:szCs w:val="24"/>
              </w:rPr>
              <w:t>。</w:t>
            </w:r>
            <w:r>
              <w:rPr>
                <w:rFonts w:hint="eastAsia" w:cs="Times New Roman"/>
                <w:color w:val="auto"/>
                <w:szCs w:val="24"/>
                <w:lang w:eastAsia="zh-CN"/>
              </w:rPr>
              <w:t>浙江鑫桦钢管有限公司</w:t>
            </w:r>
            <w:r>
              <w:rPr>
                <w:rFonts w:hint="default" w:ascii="Times New Roman" w:hAnsi="Times New Roman" w:cs="Times New Roman"/>
                <w:color w:val="auto"/>
                <w:szCs w:val="24"/>
              </w:rPr>
              <w:t>委托</w:t>
            </w:r>
            <w:r>
              <w:rPr>
                <w:rFonts w:hint="default" w:ascii="Times New Roman" w:hAnsi="Times New Roman" w:cs="Times New Roman"/>
                <w:color w:val="auto"/>
                <w:szCs w:val="24"/>
                <w:lang w:val="en-US" w:eastAsia="zh-CN"/>
              </w:rPr>
              <w:t>我</w:t>
            </w:r>
            <w:r>
              <w:rPr>
                <w:rFonts w:hint="default" w:ascii="Times New Roman" w:hAnsi="Times New Roman" w:cs="Times New Roman"/>
                <w:color w:val="auto"/>
                <w:szCs w:val="24"/>
              </w:rPr>
              <w:t>公司承担该项目的环境影响评价工作。我公司在现场踏勘、资料收集的基础上，</w:t>
            </w:r>
            <w:r>
              <w:rPr>
                <w:rFonts w:hint="default" w:ascii="Times New Roman" w:hAnsi="Times New Roman" w:cs="Times New Roman"/>
                <w:color w:val="auto"/>
                <w:szCs w:val="21"/>
              </w:rPr>
              <w:t>依据《</w:t>
            </w:r>
            <w:r>
              <w:rPr>
                <w:rFonts w:hint="default" w:ascii="Times New Roman" w:hAnsi="Times New Roman" w:cs="Times New Roman"/>
                <w:color w:val="auto"/>
              </w:rPr>
              <w:fldChar w:fldCharType="begin"/>
            </w:r>
            <w:r>
              <w:rPr>
                <w:rFonts w:hint="default" w:ascii="Times New Roman" w:hAnsi="Times New Roman" w:cs="Times New Roman"/>
                <w:color w:val="auto"/>
              </w:rPr>
              <w:instrText xml:space="preserve"> HYPERLINK "http://www.mee.gov.cn/xxgk2018/xxgk/xxgk05/202101/W020210104371003931528.pdf" </w:instrText>
            </w:r>
            <w:r>
              <w:rPr>
                <w:rFonts w:hint="default" w:ascii="Times New Roman" w:hAnsi="Times New Roman" w:cs="Times New Roman"/>
                <w:color w:val="auto"/>
              </w:rPr>
              <w:fldChar w:fldCharType="separate"/>
            </w:r>
            <w:r>
              <w:rPr>
                <w:rFonts w:hint="default" w:ascii="Times New Roman" w:hAnsi="Times New Roman" w:cs="Times New Roman"/>
                <w:color w:val="auto"/>
                <w:szCs w:val="21"/>
              </w:rPr>
              <w:t>建设项目环境影响报告表编制技术指南（污染影响类）（试行）</w:t>
            </w:r>
            <w:r>
              <w:rPr>
                <w:rFonts w:hint="default" w:ascii="Times New Roman" w:hAnsi="Times New Roman" w:cs="Times New Roman"/>
                <w:color w:val="auto"/>
                <w:szCs w:val="21"/>
              </w:rPr>
              <w:fldChar w:fldCharType="end"/>
            </w:r>
            <w:r>
              <w:rPr>
                <w:rFonts w:hint="default" w:ascii="Times New Roman" w:hAnsi="Times New Roman" w:cs="Times New Roman"/>
                <w:color w:val="auto"/>
                <w:szCs w:val="21"/>
              </w:rPr>
              <w:t>》等有关技术规范要求</w:t>
            </w:r>
            <w:r>
              <w:rPr>
                <w:rFonts w:hint="default" w:ascii="Times New Roman" w:hAnsi="Times New Roman" w:cs="Times New Roman"/>
                <w:color w:val="auto"/>
                <w:szCs w:val="24"/>
              </w:rPr>
              <w:t>，并通过对有关资料的整理分析和计算，编制本项目环境影响报告表。</w:t>
            </w:r>
          </w:p>
          <w:p>
            <w:pPr>
              <w:pStyle w:val="166"/>
              <w:rPr>
                <w:rFonts w:hint="default" w:eastAsia="宋体"/>
                <w:color w:val="auto"/>
                <w:sz w:val="24"/>
                <w:szCs w:val="24"/>
              </w:rPr>
            </w:pPr>
            <w:r>
              <w:rPr>
                <w:rFonts w:hint="default" w:eastAsia="宋体"/>
                <w:color w:val="auto"/>
                <w:sz w:val="24"/>
                <w:szCs w:val="24"/>
              </w:rPr>
              <w:t>表2-1  建设项目环境影响评价分类管理名录</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7"/>
              <w:gridCol w:w="1263"/>
              <w:gridCol w:w="2086"/>
              <w:gridCol w:w="2384"/>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jc w:val="center"/>
              </w:trPr>
              <w:tc>
                <w:tcPr>
                  <w:tcW w:w="1820" w:type="dxa"/>
                  <w:gridSpan w:val="2"/>
                  <w:tcBorders>
                    <w:tl2br w:val="single" w:color="auto" w:sz="4" w:space="0"/>
                  </w:tcBorders>
                  <w:vAlign w:val="center"/>
                </w:tcPr>
                <w:p>
                  <w:pPr>
                    <w:tabs>
                      <w:tab w:val="left" w:pos="3255"/>
                    </w:tabs>
                    <w:jc w:val="right"/>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环评类别</w:t>
                  </w:r>
                </w:p>
                <w:p>
                  <w:pPr>
                    <w:pStyle w:val="40"/>
                    <w:rPr>
                      <w:rFonts w:hint="default" w:ascii="Times New Roman" w:hAnsi="Times New Roman" w:cs="Times New Roman"/>
                      <w:b/>
                      <w:color w:val="auto"/>
                    </w:rPr>
                  </w:pPr>
                  <w:r>
                    <w:rPr>
                      <w:rFonts w:hint="default" w:ascii="Times New Roman" w:hAnsi="Times New Roman" w:cs="Times New Roman"/>
                      <w:b/>
                      <w:color w:val="auto"/>
                      <w:sz w:val="21"/>
                      <w:szCs w:val="21"/>
                    </w:rPr>
                    <w:t>项目类别</w:t>
                  </w:r>
                </w:p>
              </w:tc>
              <w:tc>
                <w:tcPr>
                  <w:tcW w:w="2086" w:type="dxa"/>
                  <w:vAlign w:val="center"/>
                </w:tcPr>
                <w:p>
                  <w:pPr>
                    <w:tabs>
                      <w:tab w:val="left" w:pos="3255"/>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报告书</w:t>
                  </w:r>
                </w:p>
              </w:tc>
              <w:tc>
                <w:tcPr>
                  <w:tcW w:w="2384" w:type="dxa"/>
                  <w:shd w:val="clear" w:color="auto" w:fill="BEBEBE" w:themeFill="background1" w:themeFillShade="BF"/>
                  <w:vAlign w:val="center"/>
                </w:tcPr>
                <w:p>
                  <w:pPr>
                    <w:tabs>
                      <w:tab w:val="left" w:pos="3255"/>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报告表</w:t>
                  </w:r>
                </w:p>
              </w:tc>
              <w:tc>
                <w:tcPr>
                  <w:tcW w:w="1081" w:type="dxa"/>
                  <w:vAlign w:val="center"/>
                </w:tcPr>
                <w:p>
                  <w:pPr>
                    <w:tabs>
                      <w:tab w:val="left" w:pos="3255"/>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登记表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371" w:type="dxa"/>
                  <w:gridSpan w:val="5"/>
                  <w:shd w:val="clear" w:color="auto" w:fill="FFFFFF" w:themeFill="background1"/>
                  <w:vAlign w:val="center"/>
                </w:tcPr>
                <w:p>
                  <w:pPr>
                    <w:keepNext w:val="0"/>
                    <w:keepLines w:val="0"/>
                    <w:widowControl/>
                    <w:suppressLineNumbers w:val="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三十、金属制品业33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57" w:type="dxa"/>
                  <w:vAlign w:val="center"/>
                </w:tcPr>
                <w:p>
                  <w:pPr>
                    <w:tabs>
                      <w:tab w:val="left" w:pos="3255"/>
                    </w:tabs>
                    <w:jc w:val="left"/>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66</w:t>
                  </w:r>
                </w:p>
              </w:tc>
              <w:tc>
                <w:tcPr>
                  <w:tcW w:w="1263" w:type="dxa"/>
                  <w:vAlign w:val="center"/>
                </w:tcPr>
                <w:p>
                  <w:pPr>
                    <w:tabs>
                      <w:tab w:val="left" w:pos="3255"/>
                    </w:tabs>
                    <w:jc w:val="left"/>
                    <w:rPr>
                      <w:rFonts w:hint="eastAsia" w:cs="Times New Roman"/>
                      <w:color w:val="auto"/>
                      <w:sz w:val="21"/>
                      <w:szCs w:val="21"/>
                      <w:lang w:val="en-US" w:eastAsia="zh-CN"/>
                    </w:rPr>
                  </w:pPr>
                  <w:r>
                    <w:rPr>
                      <w:rFonts w:hint="eastAsia" w:cs="Times New Roman"/>
                      <w:color w:val="auto"/>
                      <w:sz w:val="21"/>
                      <w:szCs w:val="21"/>
                      <w:lang w:val="en-US" w:eastAsia="zh-CN"/>
                    </w:rPr>
                    <w:t>建筑、安全用金属制品制造335</w:t>
                  </w:r>
                </w:p>
              </w:tc>
              <w:tc>
                <w:tcPr>
                  <w:tcW w:w="2086" w:type="dxa"/>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有电镀工艺的；年用溶剂型涂料（含稀释剂）10吨及以上的</w:t>
                  </w:r>
                </w:p>
              </w:tc>
              <w:tc>
                <w:tcPr>
                  <w:tcW w:w="2384" w:type="dxa"/>
                  <w:shd w:val="clear" w:color="auto" w:fill="BEBEBE" w:themeFill="background1" w:themeFillShade="BF"/>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其他（仅分割、焊接、组装的除外；年用非溶剂型低VOCs含量涂料10吨以下的除外）</w:t>
                  </w:r>
                </w:p>
              </w:tc>
              <w:tc>
                <w:tcPr>
                  <w:tcW w:w="1081" w:type="dxa"/>
                  <w:vAlign w:val="center"/>
                </w:tcPr>
                <w:p>
                  <w:pPr>
                    <w:tabs>
                      <w:tab w:val="left" w:pos="3255"/>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bl>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2.2项目组成</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本项目工程组成详见下表。</w:t>
            </w:r>
          </w:p>
          <w:p>
            <w:pPr>
              <w:pStyle w:val="166"/>
              <w:rPr>
                <w:rFonts w:hint="default" w:eastAsia="宋体"/>
                <w:color w:val="auto"/>
                <w:sz w:val="24"/>
                <w:szCs w:val="24"/>
              </w:rPr>
            </w:pPr>
            <w:r>
              <w:rPr>
                <w:rFonts w:hint="default" w:eastAsia="宋体"/>
                <w:color w:val="auto"/>
                <w:sz w:val="24"/>
                <w:szCs w:val="24"/>
              </w:rPr>
              <w:t>表2-</w:t>
            </w:r>
            <w:r>
              <w:rPr>
                <w:rFonts w:hint="default" w:eastAsia="宋体"/>
                <w:color w:val="auto"/>
                <w:sz w:val="24"/>
                <w:szCs w:val="24"/>
                <w:lang w:val="en-US" w:eastAsia="zh-CN"/>
              </w:rPr>
              <w:t>2</w:t>
            </w:r>
            <w:r>
              <w:rPr>
                <w:rFonts w:hint="default" w:eastAsia="宋体"/>
                <w:color w:val="auto"/>
                <w:sz w:val="24"/>
                <w:szCs w:val="24"/>
              </w:rPr>
              <w:t xml:space="preserve">  本项目工程内容</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7"/>
              <w:gridCol w:w="1081"/>
              <w:gridCol w:w="51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Align w:val="center"/>
                </w:tcPr>
                <w:p>
                  <w:pPr>
                    <w:spacing w:line="0" w:lineRule="atLeast"/>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工程类别</w:t>
                  </w:r>
                </w:p>
              </w:tc>
              <w:tc>
                <w:tcPr>
                  <w:tcW w:w="1081" w:type="dxa"/>
                  <w:vAlign w:val="center"/>
                </w:tcPr>
                <w:p>
                  <w:pPr>
                    <w:spacing w:line="0" w:lineRule="atLeast"/>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建设内容</w:t>
                  </w:r>
                </w:p>
              </w:tc>
              <w:tc>
                <w:tcPr>
                  <w:tcW w:w="5183" w:type="dxa"/>
                  <w:vAlign w:val="center"/>
                </w:tcPr>
                <w:p>
                  <w:pPr>
                    <w:spacing w:line="0" w:lineRule="atLeast"/>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建设规模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Align w:val="center"/>
                </w:tcPr>
                <w:p>
                  <w:pPr>
                    <w:tabs>
                      <w:tab w:val="left" w:pos="3255"/>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主体工程</w:t>
                  </w:r>
                </w:p>
              </w:tc>
              <w:tc>
                <w:tcPr>
                  <w:tcW w:w="1081" w:type="dxa"/>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生产车间</w:t>
                  </w:r>
                </w:p>
              </w:tc>
              <w:tc>
                <w:tcPr>
                  <w:tcW w:w="5183" w:type="dxa"/>
                  <w:vAlign w:val="center"/>
                </w:tcPr>
                <w:p>
                  <w:pPr>
                    <w:tabs>
                      <w:tab w:val="left" w:pos="3255"/>
                    </w:tabs>
                    <w:jc w:val="left"/>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利用</w:t>
                  </w:r>
                  <w:r>
                    <w:rPr>
                      <w:rFonts w:hint="eastAsia" w:cs="Times New Roman"/>
                      <w:color w:val="auto"/>
                      <w:sz w:val="21"/>
                      <w:szCs w:val="21"/>
                      <w:lang w:val="en-US" w:eastAsia="zh-CN"/>
                    </w:rPr>
                    <w:t>现有</w:t>
                  </w:r>
                  <w:r>
                    <w:rPr>
                      <w:rFonts w:hint="default" w:ascii="Times New Roman" w:hAnsi="Times New Roman" w:cs="Times New Roman"/>
                      <w:color w:val="auto"/>
                      <w:sz w:val="21"/>
                      <w:szCs w:val="21"/>
                      <w:lang w:val="en-US" w:eastAsia="zh-CN"/>
                    </w:rPr>
                    <w:t>厂</w:t>
                  </w:r>
                  <w:r>
                    <w:rPr>
                      <w:rFonts w:hint="default" w:ascii="Times New Roman" w:hAnsi="Times New Roman" w:eastAsia="宋体" w:cs="Times New Roman"/>
                      <w:color w:val="auto"/>
                      <w:sz w:val="21"/>
                      <w:szCs w:val="21"/>
                      <w:lang w:val="en-US" w:eastAsia="zh-CN"/>
                    </w:rPr>
                    <w:t>区</w:t>
                  </w:r>
                  <w:r>
                    <w:rPr>
                      <w:rFonts w:hint="eastAsia" w:ascii="Times New Roman" w:hAnsi="Times New Roman" w:eastAsia="宋体" w:cs="Times New Roman"/>
                      <w:color w:val="auto"/>
                      <w:sz w:val="21"/>
                      <w:szCs w:val="21"/>
                      <w:lang w:val="en-US" w:eastAsia="zh-CN"/>
                    </w:rPr>
                    <w:t>进行改造</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新增的油漆全自动密闭涂装线位于现有钢管生产车间北侧、粉末涂覆线及抛丸机等放置于现有涂装车间内。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restart"/>
                  <w:vAlign w:val="center"/>
                </w:tcPr>
                <w:p>
                  <w:pPr>
                    <w:tabs>
                      <w:tab w:val="left" w:pos="3255"/>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公用工程</w:t>
                  </w:r>
                </w:p>
              </w:tc>
              <w:tc>
                <w:tcPr>
                  <w:tcW w:w="1081" w:type="dxa"/>
                  <w:vAlign w:val="center"/>
                </w:tcPr>
                <w:p>
                  <w:pPr>
                    <w:tabs>
                      <w:tab w:val="left" w:pos="3255"/>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供水</w:t>
                  </w:r>
                </w:p>
              </w:tc>
              <w:tc>
                <w:tcPr>
                  <w:tcW w:w="5183" w:type="dxa"/>
                  <w:vAlign w:val="center"/>
                </w:tcPr>
                <w:p>
                  <w:pPr>
                    <w:tabs>
                      <w:tab w:val="left" w:pos="3255"/>
                    </w:tabs>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德清县水务公司供应。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continue"/>
                  <w:vAlign w:val="center"/>
                </w:tcPr>
                <w:p>
                  <w:pPr>
                    <w:adjustRightInd w:val="0"/>
                    <w:spacing w:after="120"/>
                    <w:jc w:val="center"/>
                    <w:rPr>
                      <w:rFonts w:hint="default" w:ascii="Times New Roman" w:hAnsi="Times New Roman" w:cs="Times New Roman"/>
                      <w:color w:val="auto"/>
                      <w:kern w:val="24"/>
                      <w:sz w:val="21"/>
                      <w:szCs w:val="21"/>
                    </w:rPr>
                  </w:pPr>
                </w:p>
              </w:tc>
              <w:tc>
                <w:tcPr>
                  <w:tcW w:w="1081" w:type="dxa"/>
                  <w:vAlign w:val="center"/>
                </w:tcPr>
                <w:p>
                  <w:pPr>
                    <w:tabs>
                      <w:tab w:val="left" w:pos="3255"/>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供电</w:t>
                  </w:r>
                </w:p>
              </w:tc>
              <w:tc>
                <w:tcPr>
                  <w:tcW w:w="5183" w:type="dxa"/>
                  <w:vAlign w:val="center"/>
                </w:tcPr>
                <w:p>
                  <w:pPr>
                    <w:tabs>
                      <w:tab w:val="left" w:pos="3255"/>
                    </w:tabs>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国网德清供电公司供应。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continue"/>
                  <w:vAlign w:val="center"/>
                </w:tcPr>
                <w:p>
                  <w:pPr>
                    <w:adjustRightInd w:val="0"/>
                    <w:spacing w:after="120"/>
                    <w:jc w:val="center"/>
                    <w:rPr>
                      <w:rFonts w:hint="default" w:ascii="Times New Roman" w:hAnsi="Times New Roman" w:cs="Times New Roman"/>
                      <w:color w:val="auto"/>
                      <w:kern w:val="24"/>
                      <w:sz w:val="21"/>
                      <w:szCs w:val="21"/>
                    </w:rPr>
                  </w:pPr>
                </w:p>
              </w:tc>
              <w:tc>
                <w:tcPr>
                  <w:tcW w:w="1081" w:type="dxa"/>
                  <w:vAlign w:val="center"/>
                </w:tcPr>
                <w:p>
                  <w:pPr>
                    <w:tabs>
                      <w:tab w:val="left" w:pos="3255"/>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排水</w:t>
                  </w:r>
                </w:p>
              </w:tc>
              <w:tc>
                <w:tcPr>
                  <w:tcW w:w="5183" w:type="dxa"/>
                  <w:vAlign w:val="center"/>
                </w:tcPr>
                <w:p>
                  <w:pPr>
                    <w:tabs>
                      <w:tab w:val="left" w:pos="3255"/>
                    </w:tabs>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项目排水采用雨、污分流制。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restart"/>
                  <w:vAlign w:val="center"/>
                </w:tcPr>
                <w:p>
                  <w:pPr>
                    <w:jc w:val="center"/>
                    <w:rPr>
                      <w:rFonts w:hint="default" w:ascii="Times New Roman" w:hAnsi="Times New Roman" w:eastAsia="宋体" w:cs="Times New Roman"/>
                      <w:color w:val="auto"/>
                      <w:kern w:val="2"/>
                      <w:sz w:val="21"/>
                      <w:szCs w:val="22"/>
                      <w:lang w:val="en-US" w:eastAsia="zh-CN" w:bidi="ar-SA"/>
                    </w:rPr>
                  </w:pPr>
                  <w:r>
                    <w:rPr>
                      <w:rFonts w:hint="default" w:ascii="Times New Roman" w:hAnsi="Times New Roman" w:cs="Times New Roman"/>
                      <w:color w:val="auto"/>
                      <w:sz w:val="21"/>
                      <w:lang w:val="en-US" w:eastAsia="zh-CN"/>
                    </w:rPr>
                    <w:t>储运</w:t>
                  </w:r>
                  <w:r>
                    <w:rPr>
                      <w:rFonts w:hint="default" w:ascii="Times New Roman" w:hAnsi="Times New Roman" w:cs="Times New Roman"/>
                      <w:color w:val="auto"/>
                      <w:sz w:val="21"/>
                    </w:rPr>
                    <w:t>工程</w:t>
                  </w:r>
                </w:p>
              </w:tc>
              <w:tc>
                <w:tcPr>
                  <w:tcW w:w="1081" w:type="dxa"/>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原材料区</w:t>
                  </w:r>
                </w:p>
              </w:tc>
              <w:tc>
                <w:tcPr>
                  <w:tcW w:w="5183" w:type="dxa"/>
                  <w:vAlign w:val="center"/>
                </w:tcPr>
                <w:p>
                  <w:pPr>
                    <w:tabs>
                      <w:tab w:val="left" w:pos="3255"/>
                    </w:tabs>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位于</w:t>
                  </w:r>
                  <w:r>
                    <w:rPr>
                      <w:rFonts w:hint="default" w:ascii="Times New Roman" w:hAnsi="Times New Roman" w:cs="Times New Roman"/>
                      <w:color w:val="auto"/>
                      <w:sz w:val="21"/>
                      <w:szCs w:val="21"/>
                      <w:lang w:val="en-US" w:eastAsia="zh-CN"/>
                    </w:rPr>
                    <w:t>车间</w:t>
                  </w:r>
                  <w:r>
                    <w:rPr>
                      <w:rFonts w:hint="eastAsia" w:cs="Times New Roman"/>
                      <w:color w:val="auto"/>
                      <w:sz w:val="21"/>
                      <w:szCs w:val="21"/>
                      <w:lang w:val="en-US" w:eastAsia="zh-CN"/>
                    </w:rPr>
                    <w:t>北侧</w:t>
                  </w:r>
                  <w:r>
                    <w:rPr>
                      <w:rFonts w:hint="default" w:ascii="Times New Roman" w:hAnsi="Times New Roman" w:eastAsia="宋体"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continue"/>
                  <w:vAlign w:val="center"/>
                </w:tcPr>
                <w:p>
                  <w:pPr>
                    <w:jc w:val="center"/>
                    <w:rPr>
                      <w:rFonts w:hint="default" w:ascii="Times New Roman" w:hAnsi="Times New Roman" w:cs="Times New Roman"/>
                      <w:color w:val="FF0000"/>
                      <w:sz w:val="21"/>
                      <w:lang w:val="en-US" w:eastAsia="zh-CN"/>
                    </w:rPr>
                  </w:pPr>
                </w:p>
              </w:tc>
              <w:tc>
                <w:tcPr>
                  <w:tcW w:w="1081" w:type="dxa"/>
                  <w:vAlign w:val="center"/>
                </w:tcPr>
                <w:p>
                  <w:pPr>
                    <w:tabs>
                      <w:tab w:val="left" w:pos="3255"/>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成品区</w:t>
                  </w:r>
                </w:p>
              </w:tc>
              <w:tc>
                <w:tcPr>
                  <w:tcW w:w="5183" w:type="dxa"/>
                  <w:vAlign w:val="center"/>
                </w:tcPr>
                <w:p>
                  <w:pPr>
                    <w:tabs>
                      <w:tab w:val="left" w:pos="3255"/>
                    </w:tabs>
                    <w:jc w:val="left"/>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位于</w:t>
                  </w:r>
                  <w:r>
                    <w:rPr>
                      <w:rFonts w:hint="eastAsia" w:cs="Times New Roman"/>
                      <w:color w:val="auto"/>
                      <w:sz w:val="21"/>
                      <w:szCs w:val="21"/>
                      <w:lang w:val="en-US" w:eastAsia="zh-CN"/>
                    </w:rPr>
                    <w:t>生产车间内，暂存后由货车外运</w:t>
                  </w:r>
                  <w:r>
                    <w:rPr>
                      <w:rFonts w:hint="default" w:ascii="Times New Roman" w:hAnsi="Times New Roman" w:eastAsia="宋体"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restart"/>
                  <w:vAlign w:val="center"/>
                </w:tcPr>
                <w:p>
                  <w:pPr>
                    <w:tabs>
                      <w:tab w:val="left" w:pos="3255"/>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环保工程</w:t>
                  </w:r>
                </w:p>
              </w:tc>
              <w:tc>
                <w:tcPr>
                  <w:tcW w:w="1081" w:type="dxa"/>
                  <w:vAlign w:val="center"/>
                </w:tcPr>
                <w:p>
                  <w:pPr>
                    <w:tabs>
                      <w:tab w:val="left" w:pos="3255"/>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废气</w:t>
                  </w:r>
                </w:p>
              </w:tc>
              <w:tc>
                <w:tcPr>
                  <w:tcW w:w="5183" w:type="dxa"/>
                  <w:vAlign w:val="center"/>
                </w:tcPr>
                <w:p>
                  <w:pPr>
                    <w:tabs>
                      <w:tab w:val="left" w:pos="3255"/>
                    </w:tabs>
                    <w:jc w:val="left"/>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小管内抛、小管外抛、大管内抛、大管外抛</w:t>
                  </w:r>
                  <w:r>
                    <w:rPr>
                      <w:rFonts w:hint="default" w:ascii="Times New Roman" w:hAnsi="Times New Roman" w:cs="Times New Roman"/>
                      <w:color w:val="auto"/>
                      <w:sz w:val="21"/>
                      <w:szCs w:val="21"/>
                      <w:lang w:val="en-US" w:eastAsia="zh-CN"/>
                    </w:rPr>
                    <w:t>过程产生的</w:t>
                  </w:r>
                  <w:r>
                    <w:rPr>
                      <w:rFonts w:hint="eastAsia" w:cs="Times New Roman"/>
                      <w:color w:val="auto"/>
                      <w:sz w:val="21"/>
                      <w:szCs w:val="21"/>
                      <w:lang w:val="en-US" w:eastAsia="zh-CN"/>
                    </w:rPr>
                    <w:t>粉尘经过各自的脉冲布袋除尘装置（共四套）处理</w:t>
                  </w:r>
                  <w:r>
                    <w:rPr>
                      <w:rFonts w:hint="default" w:ascii="Times New Roman" w:hAnsi="Times New Roman" w:cs="Times New Roman"/>
                      <w:color w:val="auto"/>
                      <w:sz w:val="21"/>
                      <w:szCs w:val="21"/>
                      <w:lang w:val="en-US" w:eastAsia="zh-CN"/>
                    </w:rPr>
                    <w:t>，尾气通过</w:t>
                  </w:r>
                  <w:r>
                    <w:rPr>
                      <w:rFonts w:hint="eastAsia" w:cs="Times New Roman"/>
                      <w:color w:val="auto"/>
                      <w:sz w:val="21"/>
                      <w:szCs w:val="21"/>
                      <w:lang w:val="en-US" w:eastAsia="zh-CN"/>
                    </w:rPr>
                    <w:t>4</w:t>
                  </w:r>
                  <w:r>
                    <w:rPr>
                      <w:rFonts w:hint="default" w:ascii="Times New Roman" w:hAnsi="Times New Roman" w:cs="Times New Roman"/>
                      <w:color w:val="auto"/>
                      <w:sz w:val="21"/>
                      <w:szCs w:val="21"/>
                      <w:lang w:val="en-US" w:eastAsia="zh-CN"/>
                    </w:rPr>
                    <w:t>根15m高的排气筒（DA00</w:t>
                  </w:r>
                  <w:r>
                    <w:rPr>
                      <w:rFonts w:hint="eastAsia" w:ascii="Times New Roman" w:hAnsi="Times New Roman" w:cs="Times New Roman"/>
                      <w:color w:val="auto"/>
                      <w:sz w:val="21"/>
                      <w:szCs w:val="21"/>
                      <w:lang w:val="en-US" w:eastAsia="zh-CN"/>
                    </w:rPr>
                    <w:t>4</w:t>
                  </w:r>
                  <w:r>
                    <w:rPr>
                      <w:rFonts w:hint="eastAsia" w:cs="Times New Roman"/>
                      <w:color w:val="auto"/>
                      <w:sz w:val="21"/>
                      <w:szCs w:val="21"/>
                      <w:lang w:val="en-US" w:eastAsia="zh-CN"/>
                    </w:rPr>
                    <w:t>、</w:t>
                  </w:r>
                  <w:r>
                    <w:rPr>
                      <w:rFonts w:hint="default" w:ascii="Times New Roman" w:hAnsi="Times New Roman" w:cs="Times New Roman"/>
                      <w:color w:val="auto"/>
                      <w:sz w:val="21"/>
                      <w:szCs w:val="21"/>
                      <w:lang w:val="en-US" w:eastAsia="zh-CN"/>
                    </w:rPr>
                    <w:t>DA00</w:t>
                  </w:r>
                  <w:r>
                    <w:rPr>
                      <w:rFonts w:hint="eastAsia" w:cs="Times New Roman"/>
                      <w:color w:val="auto"/>
                      <w:sz w:val="21"/>
                      <w:szCs w:val="21"/>
                      <w:lang w:val="en-US" w:eastAsia="zh-CN"/>
                    </w:rPr>
                    <w:t>2、</w:t>
                  </w:r>
                  <w:r>
                    <w:rPr>
                      <w:rFonts w:hint="default" w:ascii="Times New Roman" w:hAnsi="Times New Roman" w:cs="Times New Roman"/>
                      <w:color w:val="auto"/>
                      <w:sz w:val="21"/>
                      <w:szCs w:val="21"/>
                      <w:lang w:val="en-US" w:eastAsia="zh-CN"/>
                    </w:rPr>
                    <w:t>DA00</w:t>
                  </w:r>
                  <w:r>
                    <w:rPr>
                      <w:rFonts w:hint="eastAsia" w:cs="Times New Roman"/>
                      <w:color w:val="auto"/>
                      <w:sz w:val="21"/>
                      <w:szCs w:val="21"/>
                      <w:lang w:val="en-US" w:eastAsia="zh-CN"/>
                    </w:rPr>
                    <w:t>7、</w:t>
                  </w:r>
                  <w:r>
                    <w:rPr>
                      <w:rFonts w:hint="default" w:ascii="Times New Roman" w:hAnsi="Times New Roman" w:cs="Times New Roman"/>
                      <w:color w:val="auto"/>
                      <w:sz w:val="21"/>
                      <w:szCs w:val="21"/>
                      <w:lang w:val="en-US" w:eastAsia="zh-CN"/>
                    </w:rPr>
                    <w:t>DA00</w:t>
                  </w:r>
                  <w:r>
                    <w:rPr>
                      <w:rFonts w:hint="eastAsia"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）排放。</w:t>
                  </w:r>
                </w:p>
                <w:p>
                  <w:pPr>
                    <w:tabs>
                      <w:tab w:val="left" w:pos="3255"/>
                    </w:tabs>
                    <w:jc w:val="left"/>
                    <w:rPr>
                      <w:rFonts w:hint="default" w:cs="Times New Roman"/>
                      <w:color w:val="auto"/>
                      <w:sz w:val="21"/>
                      <w:szCs w:val="21"/>
                      <w:lang w:val="en-US" w:eastAsia="zh-CN"/>
                    </w:rPr>
                  </w:pPr>
                  <w:r>
                    <w:rPr>
                      <w:rFonts w:hint="eastAsia" w:cs="Times New Roman"/>
                      <w:color w:val="auto"/>
                      <w:sz w:val="21"/>
                      <w:szCs w:val="21"/>
                      <w:lang w:val="en-US" w:eastAsia="zh-CN"/>
                    </w:rPr>
                    <w:t>小管刷漆过程产生的有机废气</w:t>
                  </w:r>
                  <w:r>
                    <w:rPr>
                      <w:rFonts w:hint="default" w:ascii="Times New Roman" w:hAnsi="Times New Roman" w:cs="Times New Roman"/>
                      <w:color w:val="auto"/>
                      <w:sz w:val="21"/>
                      <w:szCs w:val="21"/>
                      <w:lang w:val="en-US" w:eastAsia="zh-CN"/>
                    </w:rPr>
                    <w:t>通过一套</w:t>
                  </w:r>
                  <w:r>
                    <w:rPr>
                      <w:rFonts w:hint="eastAsia" w:cs="Times New Roman"/>
                      <w:color w:val="auto"/>
                      <w:sz w:val="21"/>
                      <w:szCs w:val="21"/>
                      <w:lang w:val="en-US" w:eastAsia="zh-CN"/>
                    </w:rPr>
                    <w:t>两级活性炭吸附装置</w:t>
                  </w:r>
                  <w:r>
                    <w:rPr>
                      <w:rFonts w:hint="default" w:ascii="Times New Roman" w:hAnsi="Times New Roman" w:cs="Times New Roman"/>
                      <w:color w:val="auto"/>
                      <w:sz w:val="21"/>
                      <w:szCs w:val="21"/>
                      <w:lang w:val="en-US" w:eastAsia="zh-CN"/>
                    </w:rPr>
                    <w:t>处理，尾气通过1根15m高的排气筒（DA00</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lang w:val="en-US" w:eastAsia="zh-CN"/>
                    </w:rPr>
                    <w:t>）排放。</w:t>
                  </w:r>
                </w:p>
                <w:p>
                  <w:pPr>
                    <w:tabs>
                      <w:tab w:val="left" w:pos="3255"/>
                    </w:tabs>
                    <w:jc w:val="left"/>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大管喷漆过程产生的有机废气</w:t>
                  </w:r>
                  <w:r>
                    <w:rPr>
                      <w:rFonts w:hint="default" w:ascii="Times New Roman" w:hAnsi="Times New Roman" w:cs="Times New Roman"/>
                      <w:color w:val="auto"/>
                      <w:sz w:val="21"/>
                      <w:szCs w:val="21"/>
                      <w:lang w:val="en-US" w:eastAsia="zh-CN"/>
                    </w:rPr>
                    <w:t>通过一套</w:t>
                  </w:r>
                  <w:r>
                    <w:rPr>
                      <w:rFonts w:hint="eastAsia" w:ascii="Times New Roman" w:hAnsi="Times New Roman" w:cs="Times New Roman"/>
                      <w:color w:val="auto"/>
                      <w:sz w:val="21"/>
                      <w:szCs w:val="21"/>
                      <w:lang w:val="en-US" w:eastAsia="zh-CN"/>
                    </w:rPr>
                    <w:t>水喷淋+干式过滤+活性炭吸脱附装置</w:t>
                  </w:r>
                  <w:r>
                    <w:rPr>
                      <w:rFonts w:hint="default" w:ascii="Times New Roman" w:hAnsi="Times New Roman" w:cs="Times New Roman"/>
                      <w:color w:val="auto"/>
                      <w:sz w:val="21"/>
                      <w:szCs w:val="21"/>
                      <w:lang w:val="en-US" w:eastAsia="zh-CN"/>
                    </w:rPr>
                    <w:t>处理，尾气通过1根15m高的排气筒（DA00</w:t>
                  </w:r>
                  <w:r>
                    <w:rPr>
                      <w:rFonts w:hint="eastAsia" w:ascii="Times New Roman" w:hAnsi="Times New Roman" w:cs="Times New Roman"/>
                      <w:color w:val="auto"/>
                      <w:sz w:val="21"/>
                      <w:szCs w:val="21"/>
                      <w:lang w:val="en-US" w:eastAsia="zh-CN"/>
                    </w:rPr>
                    <w:t>5</w:t>
                  </w:r>
                  <w:r>
                    <w:rPr>
                      <w:rFonts w:hint="default" w:ascii="Times New Roman" w:hAnsi="Times New Roman" w:eastAsia="宋体" w:cs="Times New Roman"/>
                      <w:color w:val="auto"/>
                      <w:sz w:val="21"/>
                      <w:szCs w:val="21"/>
                      <w:lang w:val="en-US" w:eastAsia="zh-CN"/>
                    </w:rPr>
                    <w:t>）排放。</w:t>
                  </w:r>
                </w:p>
                <w:p>
                  <w:pPr>
                    <w:tabs>
                      <w:tab w:val="left" w:pos="3255"/>
                    </w:tabs>
                    <w:jc w:val="left"/>
                    <w:rPr>
                      <w:rFonts w:hint="default" w:ascii="Times New Roman" w:hAnsi="Times New Roman" w:eastAsia="宋体" w:cs="Times New Roman"/>
                      <w:color w:val="auto"/>
                      <w:sz w:val="21"/>
                      <w:szCs w:val="21"/>
                      <w:lang w:val="en-US" w:eastAsia="zh-CN"/>
                    </w:rPr>
                  </w:pPr>
                  <w:r>
                    <w:rPr>
                      <w:rFonts w:hint="eastAsia"/>
                      <w:color w:val="auto"/>
                      <w:sz w:val="21"/>
                      <w:szCs w:val="21"/>
                      <w:lang w:val="en-US" w:eastAsia="zh-CN"/>
                    </w:rPr>
                    <w:t>小管外壁喷塑、</w:t>
                  </w:r>
                  <w:r>
                    <w:rPr>
                      <w:rFonts w:hint="eastAsia" w:cs="Times New Roman"/>
                      <w:color w:val="auto"/>
                      <w:sz w:val="21"/>
                      <w:szCs w:val="21"/>
                      <w:lang w:val="en-US" w:eastAsia="zh-CN"/>
                    </w:rPr>
                    <w:t>大管</w:t>
                  </w:r>
                  <w:r>
                    <w:rPr>
                      <w:rFonts w:hint="eastAsia"/>
                      <w:color w:val="auto"/>
                      <w:sz w:val="21"/>
                      <w:szCs w:val="21"/>
                      <w:lang w:val="en-US" w:eastAsia="zh-CN"/>
                    </w:rPr>
                    <w:t>外壁喷塑</w:t>
                  </w:r>
                  <w:r>
                    <w:rPr>
                      <w:rFonts w:hint="eastAsia" w:cs="Times New Roman"/>
                      <w:color w:val="auto"/>
                      <w:sz w:val="21"/>
                      <w:szCs w:val="21"/>
                      <w:lang w:val="en-US" w:eastAsia="zh-CN"/>
                    </w:rPr>
                    <w:t>产生的粉尘及有机废气通过两套滤芯除尘+布袋除尘器+</w:t>
                  </w:r>
                  <w:r>
                    <w:rPr>
                      <w:rFonts w:hint="default" w:ascii="Times New Roman" w:hAnsi="Times New Roman" w:cs="Times New Roman"/>
                      <w:color w:val="auto"/>
                      <w:sz w:val="21"/>
                      <w:szCs w:val="21"/>
                      <w:lang w:val="en-US" w:eastAsia="zh-CN"/>
                    </w:rPr>
                    <w:t>两级活性炭吸附装置处理，尾气通过</w:t>
                  </w:r>
                  <w:r>
                    <w:rPr>
                      <w:rFonts w:hint="eastAsia" w:cs="Times New Roman"/>
                      <w:color w:val="auto"/>
                      <w:sz w:val="21"/>
                      <w:szCs w:val="21"/>
                      <w:lang w:val="en-US" w:eastAsia="zh-CN"/>
                    </w:rPr>
                    <w:t>2</w:t>
                  </w:r>
                  <w:r>
                    <w:rPr>
                      <w:rFonts w:hint="default" w:ascii="Times New Roman" w:hAnsi="Times New Roman" w:cs="Times New Roman"/>
                      <w:color w:val="auto"/>
                      <w:sz w:val="21"/>
                      <w:szCs w:val="21"/>
                      <w:lang w:val="en-US" w:eastAsia="zh-CN"/>
                    </w:rPr>
                    <w:t>根15m高的排气筒（DA00</w:t>
                  </w:r>
                  <w:r>
                    <w:rPr>
                      <w:rFonts w:hint="eastAsia" w:cs="Times New Roman"/>
                      <w:color w:val="auto"/>
                      <w:sz w:val="21"/>
                      <w:szCs w:val="21"/>
                      <w:lang w:val="en-US" w:eastAsia="zh-CN"/>
                    </w:rPr>
                    <w:t>3、</w:t>
                  </w:r>
                  <w:r>
                    <w:rPr>
                      <w:rFonts w:hint="default" w:ascii="Times New Roman" w:hAnsi="Times New Roman" w:cs="Times New Roman"/>
                      <w:color w:val="auto"/>
                      <w:sz w:val="21"/>
                      <w:szCs w:val="21"/>
                      <w:lang w:val="en-US" w:eastAsia="zh-CN"/>
                    </w:rPr>
                    <w:t>DA00</w:t>
                  </w:r>
                  <w:r>
                    <w:rPr>
                      <w:rFonts w:hint="eastAsia" w:cs="Times New Roman"/>
                      <w:color w:val="auto"/>
                      <w:sz w:val="21"/>
                      <w:szCs w:val="21"/>
                      <w:lang w:val="en-US" w:eastAsia="zh-CN"/>
                    </w:rPr>
                    <w:t>8</w:t>
                  </w:r>
                  <w:r>
                    <w:rPr>
                      <w:rFonts w:hint="default" w:ascii="Times New Roman" w:hAnsi="Times New Roman" w:eastAsia="宋体" w:cs="Times New Roman"/>
                      <w:color w:val="auto"/>
                      <w:sz w:val="21"/>
                      <w:szCs w:val="21"/>
                      <w:lang w:val="en-US" w:eastAsia="zh-CN"/>
                    </w:rPr>
                    <w:t>）排放。</w:t>
                  </w:r>
                </w:p>
                <w:p>
                  <w:pPr>
                    <w:tabs>
                      <w:tab w:val="left" w:pos="3255"/>
                    </w:tabs>
                    <w:jc w:val="left"/>
                    <w:rPr>
                      <w:rFonts w:hint="default" w:ascii="Times New Roman" w:hAnsi="Times New Roman" w:cs="Times New Roman"/>
                      <w:color w:val="FF0000"/>
                      <w:sz w:val="21"/>
                      <w:szCs w:val="21"/>
                      <w:lang w:val="en-US"/>
                    </w:rPr>
                  </w:pPr>
                  <w:r>
                    <w:rPr>
                      <w:rFonts w:hint="eastAsia" w:cs="Times New Roman"/>
                      <w:color w:val="auto"/>
                      <w:sz w:val="21"/>
                      <w:szCs w:val="21"/>
                      <w:lang w:val="en-US" w:eastAsia="zh-CN"/>
                    </w:rPr>
                    <w:t>大管及小管内喷粉产生的粉尘及有机废气通过移动式旋风除尘+布袋除尘器+</w:t>
                  </w:r>
                  <w:r>
                    <w:rPr>
                      <w:rFonts w:hint="default" w:ascii="Times New Roman" w:hAnsi="Times New Roman" w:cs="Times New Roman"/>
                      <w:color w:val="auto"/>
                      <w:sz w:val="21"/>
                      <w:szCs w:val="21"/>
                      <w:lang w:val="en-US" w:eastAsia="zh-CN"/>
                    </w:rPr>
                    <w:t>两级活性炭吸附装置</w:t>
                  </w:r>
                  <w:r>
                    <w:rPr>
                      <w:rFonts w:hint="eastAsia" w:cs="Times New Roman"/>
                      <w:color w:val="auto"/>
                      <w:sz w:val="21"/>
                      <w:szCs w:val="21"/>
                      <w:lang w:val="en-US" w:eastAsia="zh-CN"/>
                    </w:rPr>
                    <w:t>处理，尾气车间内无组织排放。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continue"/>
                  <w:vAlign w:val="center"/>
                </w:tcPr>
                <w:p>
                  <w:pPr>
                    <w:autoSpaceDE w:val="0"/>
                    <w:autoSpaceDN w:val="0"/>
                    <w:adjustRightInd w:val="0"/>
                    <w:snapToGrid w:val="0"/>
                    <w:spacing w:beforeLines="25"/>
                    <w:jc w:val="center"/>
                    <w:rPr>
                      <w:rFonts w:hint="default" w:ascii="Times New Roman" w:hAnsi="Times New Roman" w:cs="Times New Roman"/>
                      <w:color w:val="auto"/>
                      <w:sz w:val="21"/>
                      <w:szCs w:val="21"/>
                    </w:rPr>
                  </w:pPr>
                </w:p>
              </w:tc>
              <w:tc>
                <w:tcPr>
                  <w:tcW w:w="1081" w:type="dxa"/>
                  <w:vAlign w:val="center"/>
                </w:tcPr>
                <w:p>
                  <w:pPr>
                    <w:tabs>
                      <w:tab w:val="left" w:pos="3255"/>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废水</w:t>
                  </w:r>
                </w:p>
              </w:tc>
              <w:tc>
                <w:tcPr>
                  <w:tcW w:w="5183" w:type="dxa"/>
                  <w:vAlign w:val="center"/>
                </w:tcPr>
                <w:p>
                  <w:pPr>
                    <w:tabs>
                      <w:tab w:val="left" w:pos="3255"/>
                    </w:tabs>
                    <w:jc w:val="left"/>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生活污水经厂区化粪</w:t>
                  </w:r>
                  <w:r>
                    <w:rPr>
                      <w:rFonts w:hint="default" w:ascii="Times New Roman" w:hAnsi="Times New Roman" w:eastAsia="宋体" w:cs="Times New Roman"/>
                      <w:color w:val="auto"/>
                      <w:sz w:val="21"/>
                      <w:szCs w:val="21"/>
                      <w:lang w:eastAsia="zh-CN"/>
                    </w:rPr>
                    <w:t>池预处理后纳管排放，最终经德清鸿晟水务科技有限公司处理后外排。</w:t>
                  </w:r>
                </w:p>
                <w:p>
                  <w:pPr>
                    <w:tabs>
                      <w:tab w:val="left" w:pos="3255"/>
                    </w:tabs>
                    <w:jc w:val="lef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中频炉循环冷却水和钢管冷却水循环使用，不排放。</w:t>
                  </w:r>
                </w:p>
                <w:p>
                  <w:pPr>
                    <w:pStyle w:val="38"/>
                    <w:jc w:val="left"/>
                    <w:rPr>
                      <w:rFonts w:hint="default"/>
                      <w:color w:val="auto"/>
                      <w:lang w:val="en-US" w:eastAsia="zh-CN"/>
                    </w:rPr>
                  </w:pPr>
                  <w:r>
                    <w:rPr>
                      <w:rFonts w:hint="eastAsia" w:ascii="Times New Roman" w:hAnsi="Times New Roman" w:eastAsia="宋体" w:cs="Times New Roman"/>
                      <w:color w:val="auto"/>
                      <w:sz w:val="21"/>
                      <w:szCs w:val="21"/>
                      <w:lang w:val="en-US" w:eastAsia="zh-CN"/>
                    </w:rPr>
                    <w:t>水喷淋废水循环使用，定期做危废处置，不排放。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continue"/>
                  <w:vAlign w:val="center"/>
                </w:tcPr>
                <w:p>
                  <w:pPr>
                    <w:autoSpaceDE w:val="0"/>
                    <w:autoSpaceDN w:val="0"/>
                    <w:adjustRightInd w:val="0"/>
                    <w:snapToGrid w:val="0"/>
                    <w:spacing w:beforeLines="25"/>
                    <w:jc w:val="center"/>
                    <w:rPr>
                      <w:rFonts w:hint="default" w:ascii="Times New Roman" w:hAnsi="Times New Roman" w:cs="Times New Roman"/>
                      <w:color w:val="auto"/>
                      <w:sz w:val="21"/>
                      <w:szCs w:val="21"/>
                    </w:rPr>
                  </w:pPr>
                </w:p>
              </w:tc>
              <w:tc>
                <w:tcPr>
                  <w:tcW w:w="1081" w:type="dxa"/>
                  <w:vAlign w:val="center"/>
                </w:tcPr>
                <w:p>
                  <w:pPr>
                    <w:tabs>
                      <w:tab w:val="left" w:pos="3255"/>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噪声</w:t>
                  </w:r>
                </w:p>
              </w:tc>
              <w:tc>
                <w:tcPr>
                  <w:tcW w:w="5183" w:type="dxa"/>
                  <w:vAlign w:val="center"/>
                </w:tcPr>
                <w:p>
                  <w:pPr>
                    <w:tabs>
                      <w:tab w:val="left" w:pos="3255"/>
                    </w:tabs>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选用低噪声设备，生产设备均位于室内，采取减振、隔声等降噪措施。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7" w:type="dxa"/>
                  <w:vMerge w:val="continue"/>
                  <w:vAlign w:val="center"/>
                </w:tcPr>
                <w:p>
                  <w:pPr>
                    <w:autoSpaceDE w:val="0"/>
                    <w:autoSpaceDN w:val="0"/>
                    <w:adjustRightInd w:val="0"/>
                    <w:snapToGrid w:val="0"/>
                    <w:spacing w:beforeLines="25"/>
                    <w:jc w:val="center"/>
                    <w:rPr>
                      <w:rFonts w:hint="default" w:ascii="Times New Roman" w:hAnsi="Times New Roman" w:cs="Times New Roman"/>
                      <w:color w:val="auto"/>
                      <w:sz w:val="21"/>
                      <w:szCs w:val="21"/>
                    </w:rPr>
                  </w:pPr>
                </w:p>
              </w:tc>
              <w:tc>
                <w:tcPr>
                  <w:tcW w:w="1081" w:type="dxa"/>
                  <w:vAlign w:val="center"/>
                </w:tcPr>
                <w:p>
                  <w:pPr>
                    <w:tabs>
                      <w:tab w:val="left" w:pos="3255"/>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固废</w:t>
                  </w:r>
                </w:p>
              </w:tc>
              <w:tc>
                <w:tcPr>
                  <w:tcW w:w="5183" w:type="dxa"/>
                  <w:vAlign w:val="center"/>
                </w:tcPr>
                <w:p>
                  <w:pPr>
                    <w:tabs>
                      <w:tab w:val="left" w:pos="3255"/>
                    </w:tabs>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设置规范的危废、固废暂存场地。生活垃圾：收集后委托当地环卫部门清运处理，不外排；</w:t>
                  </w:r>
                  <w:r>
                    <w:rPr>
                      <w:rFonts w:hint="default" w:ascii="Times New Roman" w:hAnsi="Times New Roman" w:cs="Times New Roman"/>
                      <w:color w:val="auto"/>
                      <w:sz w:val="21"/>
                      <w:szCs w:val="21"/>
                      <w:lang w:val="en-US" w:eastAsia="zh-CN"/>
                    </w:rPr>
                    <w:t>一般固废：固废堆场暂存后均妥善处置，不外排；</w:t>
                  </w:r>
                  <w:r>
                    <w:rPr>
                      <w:rFonts w:hint="default" w:ascii="Times New Roman" w:hAnsi="Times New Roman" w:cs="Times New Roman"/>
                      <w:color w:val="auto"/>
                      <w:sz w:val="21"/>
                      <w:szCs w:val="21"/>
                    </w:rPr>
                    <w:t>危险废物：</w:t>
                  </w:r>
                  <w:r>
                    <w:rPr>
                      <w:rFonts w:hint="default" w:ascii="Times New Roman" w:hAnsi="Times New Roman" w:cs="Times New Roman"/>
                      <w:color w:val="auto"/>
                      <w:sz w:val="21"/>
                      <w:szCs w:val="21"/>
                      <w:lang w:val="en-US" w:eastAsia="zh-CN"/>
                    </w:rPr>
                    <w:t>车间东南侧</w:t>
                  </w:r>
                  <w:r>
                    <w:rPr>
                      <w:rFonts w:hint="default" w:ascii="Times New Roman" w:hAnsi="Times New Roman" w:cs="Times New Roman"/>
                      <w:color w:val="auto"/>
                      <w:sz w:val="21"/>
                      <w:szCs w:val="21"/>
                    </w:rPr>
                    <w:t>设置</w:t>
                  </w:r>
                  <w:r>
                    <w:rPr>
                      <w:rFonts w:hint="default" w:ascii="Times New Roman" w:hAnsi="Times New Roman" w:cs="Times New Roman"/>
                      <w:color w:val="auto"/>
                      <w:sz w:val="21"/>
                      <w:szCs w:val="21"/>
                      <w:lang w:val="en-US" w:eastAsia="zh-CN"/>
                    </w:rPr>
                    <w:t>一间</w:t>
                  </w:r>
                  <w:r>
                    <w:rPr>
                      <w:rFonts w:hint="eastAsia" w:cs="Times New Roman"/>
                      <w:color w:val="auto"/>
                      <w:sz w:val="21"/>
                      <w:szCs w:val="21"/>
                      <w:lang w:val="en-US" w:eastAsia="zh-CN"/>
                    </w:rPr>
                    <w:t>25</w:t>
                  </w:r>
                  <w:r>
                    <w:rPr>
                      <w:rFonts w:hint="default" w:ascii="Times New Roman" w:hAnsi="Times New Roman" w:cs="Times New Roman"/>
                      <w:color w:val="auto"/>
                      <w:sz w:val="21"/>
                      <w:szCs w:val="21"/>
                      <w:lang w:val="en-US" w:eastAsia="zh-CN"/>
                    </w:rPr>
                    <w:t>m</w:t>
                  </w:r>
                  <w:r>
                    <w:rPr>
                      <w:rFonts w:hint="default" w:ascii="Times New Roman" w:hAnsi="Times New Roman" w:cs="Times New Roman"/>
                      <w:color w:val="auto"/>
                      <w:sz w:val="21"/>
                      <w:szCs w:val="21"/>
                      <w:vertAlign w:val="superscript"/>
                      <w:lang w:val="en-US" w:eastAsia="zh-CN"/>
                    </w:rPr>
                    <w:t>2</w:t>
                  </w:r>
                  <w:r>
                    <w:rPr>
                      <w:rFonts w:hint="default" w:ascii="Times New Roman" w:hAnsi="Times New Roman" w:cs="Times New Roman"/>
                      <w:color w:val="auto"/>
                      <w:sz w:val="21"/>
                      <w:szCs w:val="21"/>
                      <w:lang w:val="en-US" w:eastAsia="zh-CN"/>
                    </w:rPr>
                    <w:t>的</w:t>
                  </w:r>
                  <w:r>
                    <w:rPr>
                      <w:rFonts w:hint="default" w:ascii="Times New Roman" w:hAnsi="Times New Roman" w:cs="Times New Roman"/>
                      <w:color w:val="auto"/>
                      <w:sz w:val="21"/>
                      <w:szCs w:val="21"/>
                    </w:rPr>
                    <w:t>危险废物暂存间。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1107" w:type="dxa"/>
                  <w:vMerge w:val="restart"/>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依托工程</w:t>
                  </w:r>
                </w:p>
              </w:tc>
              <w:tc>
                <w:tcPr>
                  <w:tcW w:w="1081" w:type="dxa"/>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生产设备</w:t>
                  </w:r>
                </w:p>
              </w:tc>
              <w:tc>
                <w:tcPr>
                  <w:tcW w:w="5183" w:type="dxa"/>
                  <w:vAlign w:val="center"/>
                </w:tcPr>
                <w:p>
                  <w:pPr>
                    <w:tabs>
                      <w:tab w:val="left" w:pos="3255"/>
                    </w:tabs>
                    <w:jc w:val="left"/>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小管外抛丸设备、小管刷漆房、</w:t>
                  </w:r>
                  <w:r>
                    <w:rPr>
                      <w:rFonts w:hint="eastAsia"/>
                      <w:color w:val="auto"/>
                      <w:sz w:val="21"/>
                      <w:szCs w:val="21"/>
                      <w:lang w:val="en-US" w:eastAsia="zh-CN"/>
                    </w:rPr>
                    <w:t>小管外壁喷塑等生产设备均属于现有生产设备。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1107" w:type="dxa"/>
                  <w:vMerge w:val="continue"/>
                  <w:vAlign w:val="center"/>
                </w:tcPr>
                <w:p>
                  <w:pPr>
                    <w:tabs>
                      <w:tab w:val="left" w:pos="3255"/>
                    </w:tabs>
                    <w:jc w:val="center"/>
                    <w:rPr>
                      <w:rFonts w:hint="eastAsia" w:ascii="Times New Roman" w:hAnsi="Times New Roman" w:eastAsia="宋体" w:cs="Times New Roman"/>
                      <w:color w:val="auto"/>
                      <w:sz w:val="21"/>
                      <w:szCs w:val="21"/>
                      <w:lang w:val="en-US" w:eastAsia="zh-CN"/>
                    </w:rPr>
                  </w:pPr>
                </w:p>
              </w:tc>
              <w:tc>
                <w:tcPr>
                  <w:tcW w:w="1081" w:type="dxa"/>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废气处理设备</w:t>
                  </w:r>
                </w:p>
              </w:tc>
              <w:tc>
                <w:tcPr>
                  <w:tcW w:w="5183" w:type="dxa"/>
                  <w:vAlign w:val="center"/>
                </w:tcPr>
                <w:p>
                  <w:pPr>
                    <w:tabs>
                      <w:tab w:val="left" w:pos="3255"/>
                    </w:tabs>
                    <w:jc w:val="left"/>
                    <w:rPr>
                      <w:rFonts w:hint="default" w:cs="Times New Roman"/>
                      <w:color w:val="auto"/>
                      <w:sz w:val="21"/>
                      <w:szCs w:val="21"/>
                      <w:lang w:val="en-US" w:eastAsia="zh-CN"/>
                    </w:rPr>
                  </w:pPr>
                  <w:r>
                    <w:rPr>
                      <w:rFonts w:hint="eastAsia" w:cs="Times New Roman"/>
                      <w:color w:val="auto"/>
                      <w:sz w:val="21"/>
                      <w:szCs w:val="21"/>
                      <w:lang w:val="en-US" w:eastAsia="zh-CN"/>
                    </w:rPr>
                    <w:t>小管外抛布袋除尘器、小管刷漆两级活性炭吸附装置、</w:t>
                  </w:r>
                  <w:r>
                    <w:rPr>
                      <w:rFonts w:hint="eastAsia"/>
                      <w:color w:val="auto"/>
                      <w:sz w:val="21"/>
                      <w:szCs w:val="21"/>
                      <w:lang w:val="en-US" w:eastAsia="zh-CN"/>
                    </w:rPr>
                    <w:t>小管外壁喷塑</w:t>
                  </w:r>
                  <w:r>
                    <w:rPr>
                      <w:rFonts w:hint="eastAsia" w:cs="Times New Roman"/>
                      <w:color w:val="auto"/>
                      <w:sz w:val="21"/>
                      <w:szCs w:val="21"/>
                      <w:lang w:val="en-US" w:eastAsia="zh-CN"/>
                    </w:rPr>
                    <w:t>旋风除尘+布袋除尘器+</w:t>
                  </w:r>
                  <w:r>
                    <w:rPr>
                      <w:rFonts w:hint="default" w:ascii="Times New Roman" w:hAnsi="Times New Roman" w:cs="Times New Roman"/>
                      <w:color w:val="auto"/>
                      <w:sz w:val="21"/>
                      <w:szCs w:val="21"/>
                      <w:lang w:val="en-US" w:eastAsia="zh-CN"/>
                    </w:rPr>
                    <w:t>两级活性炭吸附装置</w:t>
                  </w:r>
                  <w:r>
                    <w:rPr>
                      <w:rFonts w:hint="eastAsia" w:cs="Times New Roman"/>
                      <w:color w:val="auto"/>
                      <w:sz w:val="21"/>
                      <w:szCs w:val="21"/>
                      <w:lang w:val="en-US" w:eastAsia="zh-CN"/>
                    </w:rPr>
                    <w:t>均利用现有废气处理设备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1107" w:type="dxa"/>
                  <w:vMerge w:val="continue"/>
                  <w:vAlign w:val="center"/>
                </w:tcPr>
                <w:p>
                  <w:pPr>
                    <w:tabs>
                      <w:tab w:val="left" w:pos="3255"/>
                    </w:tabs>
                    <w:jc w:val="center"/>
                    <w:rPr>
                      <w:rFonts w:hint="eastAsia" w:ascii="Times New Roman" w:hAnsi="Times New Roman" w:eastAsia="宋体" w:cs="Times New Roman"/>
                      <w:color w:val="auto"/>
                      <w:sz w:val="21"/>
                      <w:szCs w:val="21"/>
                      <w:lang w:val="en-US" w:eastAsia="zh-CN"/>
                    </w:rPr>
                  </w:pPr>
                </w:p>
              </w:tc>
              <w:tc>
                <w:tcPr>
                  <w:tcW w:w="1081" w:type="dxa"/>
                  <w:vAlign w:val="center"/>
                </w:tcPr>
                <w:p>
                  <w:pPr>
                    <w:tabs>
                      <w:tab w:val="left" w:pos="3255"/>
                    </w:tabs>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固废储存</w:t>
                  </w:r>
                </w:p>
              </w:tc>
              <w:tc>
                <w:tcPr>
                  <w:tcW w:w="5183" w:type="dxa"/>
                  <w:vAlign w:val="center"/>
                </w:tcPr>
                <w:p>
                  <w:pPr>
                    <w:tabs>
                      <w:tab w:val="left" w:pos="3255"/>
                    </w:tabs>
                    <w:jc w:val="left"/>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一般固废及危险废物储存均利用现有仓库。</w:t>
                  </w:r>
                </w:p>
              </w:tc>
            </w:tr>
          </w:tbl>
          <w:p>
            <w:pPr>
              <w:spacing w:line="240" w:lineRule="auto"/>
              <w:jc w:val="left"/>
              <w:rPr>
                <w:rFonts w:hint="default" w:ascii="Times New Roman" w:hAnsi="Times New Roman" w:cs="Times New Roman"/>
                <w:b/>
                <w:color w:val="auto"/>
                <w:szCs w:val="24"/>
              </w:rPr>
            </w:pPr>
          </w:p>
          <w:p>
            <w:pPr>
              <w:spacing w:line="360" w:lineRule="auto"/>
              <w:jc w:val="left"/>
              <w:rPr>
                <w:rFonts w:hint="default" w:ascii="Times New Roman" w:hAnsi="Times New Roman" w:cs="Times New Roman"/>
                <w:b/>
                <w:bCs/>
                <w:color w:val="auto"/>
                <w:sz w:val="21"/>
                <w:szCs w:val="21"/>
              </w:rPr>
            </w:pPr>
            <w:r>
              <w:rPr>
                <w:rFonts w:hint="default" w:ascii="Times New Roman" w:hAnsi="Times New Roman" w:cs="Times New Roman"/>
                <w:b/>
                <w:color w:val="auto"/>
                <w:szCs w:val="24"/>
              </w:rPr>
              <w:t>2.3产品及产能</w:t>
            </w:r>
          </w:p>
          <w:p>
            <w:pPr>
              <w:spacing w:line="360" w:lineRule="auto"/>
              <w:ind w:firstLine="480" w:firstLineChars="200"/>
              <w:rPr>
                <w:rFonts w:hint="default" w:ascii="Times New Roman" w:hAnsi="Times New Roman" w:cs="Times New Roman"/>
                <w:color w:val="FF0000"/>
                <w:szCs w:val="24"/>
              </w:rPr>
            </w:pPr>
            <w:r>
              <w:rPr>
                <w:rFonts w:hint="default" w:ascii="Times New Roman" w:hAnsi="Times New Roman" w:cs="Times New Roman"/>
                <w:color w:val="auto"/>
                <w:szCs w:val="24"/>
              </w:rPr>
              <w:t>本项目产品方案见表</w:t>
            </w:r>
            <w:r>
              <w:rPr>
                <w:rFonts w:hint="eastAsia" w:cs="Times New Roman"/>
                <w:color w:val="auto"/>
                <w:szCs w:val="24"/>
                <w:lang w:val="en-US" w:eastAsia="zh-CN"/>
              </w:rPr>
              <w:t>2-3</w:t>
            </w:r>
            <w:r>
              <w:rPr>
                <w:rFonts w:hint="default" w:ascii="Times New Roman" w:hAnsi="Times New Roman" w:cs="Times New Roman"/>
                <w:color w:val="auto"/>
                <w:szCs w:val="24"/>
              </w:rPr>
              <w:t>。</w:t>
            </w:r>
          </w:p>
          <w:p>
            <w:pPr>
              <w:pStyle w:val="166"/>
              <w:rPr>
                <w:rFonts w:hint="default" w:eastAsia="宋体"/>
                <w:color w:val="auto"/>
                <w:sz w:val="24"/>
                <w:szCs w:val="24"/>
              </w:rPr>
            </w:pPr>
            <w:r>
              <w:rPr>
                <w:rFonts w:hint="default" w:eastAsia="宋体"/>
                <w:color w:val="auto"/>
                <w:sz w:val="24"/>
                <w:szCs w:val="24"/>
              </w:rPr>
              <w:t>表2-</w:t>
            </w:r>
            <w:r>
              <w:rPr>
                <w:rFonts w:hint="default" w:eastAsia="宋体"/>
                <w:color w:val="auto"/>
                <w:sz w:val="24"/>
                <w:szCs w:val="24"/>
                <w:lang w:val="en-US" w:eastAsia="zh-CN"/>
              </w:rPr>
              <w:t>3</w:t>
            </w:r>
            <w:r>
              <w:rPr>
                <w:rFonts w:hint="default" w:eastAsia="宋体"/>
                <w:color w:val="auto"/>
                <w:sz w:val="24"/>
                <w:szCs w:val="24"/>
              </w:rPr>
              <w:t xml:space="preserve">  产品方案一览表</w:t>
            </w:r>
          </w:p>
          <w:tbl>
            <w:tblPr>
              <w:tblStyle w:val="29"/>
              <w:tblW w:w="7370"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413"/>
              <w:gridCol w:w="2035"/>
              <w:gridCol w:w="1200"/>
              <w:gridCol w:w="1200"/>
              <w:gridCol w:w="1200"/>
              <w:gridCol w:w="1322"/>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413" w:type="dxa"/>
                  <w:vMerge w:val="restart"/>
                  <w:vAlign w:val="center"/>
                </w:tcPr>
                <w:p>
                  <w:pPr>
                    <w:tabs>
                      <w:tab w:val="left" w:pos="3255"/>
                    </w:tabs>
                    <w:jc w:val="center"/>
                    <w:rPr>
                      <w:b/>
                      <w:bCs/>
                      <w:color w:val="auto"/>
                      <w:sz w:val="21"/>
                      <w:szCs w:val="21"/>
                    </w:rPr>
                  </w:pPr>
                  <w:r>
                    <w:rPr>
                      <w:b/>
                      <w:bCs/>
                      <w:color w:val="auto"/>
                      <w:sz w:val="21"/>
                      <w:szCs w:val="21"/>
                    </w:rPr>
                    <w:t>序号</w:t>
                  </w:r>
                </w:p>
              </w:tc>
              <w:tc>
                <w:tcPr>
                  <w:tcW w:w="2035" w:type="dxa"/>
                  <w:vMerge w:val="restart"/>
                  <w:vAlign w:val="center"/>
                </w:tcPr>
                <w:p>
                  <w:pPr>
                    <w:tabs>
                      <w:tab w:val="left" w:pos="3255"/>
                    </w:tabs>
                    <w:jc w:val="center"/>
                    <w:rPr>
                      <w:b/>
                      <w:bCs/>
                      <w:color w:val="auto"/>
                      <w:sz w:val="21"/>
                      <w:szCs w:val="21"/>
                    </w:rPr>
                  </w:pPr>
                  <w:r>
                    <w:rPr>
                      <w:b/>
                      <w:bCs/>
                      <w:color w:val="auto"/>
                      <w:sz w:val="21"/>
                      <w:szCs w:val="21"/>
                    </w:rPr>
                    <w:t>名称</w:t>
                  </w:r>
                </w:p>
              </w:tc>
              <w:tc>
                <w:tcPr>
                  <w:tcW w:w="3600" w:type="dxa"/>
                  <w:gridSpan w:val="3"/>
                  <w:vAlign w:val="center"/>
                </w:tcPr>
                <w:p>
                  <w:pPr>
                    <w:tabs>
                      <w:tab w:val="left" w:pos="3255"/>
                    </w:tabs>
                    <w:jc w:val="center"/>
                    <w:rPr>
                      <w:b/>
                      <w:bCs/>
                      <w:color w:val="auto"/>
                      <w:sz w:val="21"/>
                      <w:szCs w:val="21"/>
                    </w:rPr>
                  </w:pPr>
                  <w:r>
                    <w:rPr>
                      <w:b/>
                      <w:bCs/>
                      <w:color w:val="auto"/>
                      <w:sz w:val="21"/>
                      <w:szCs w:val="21"/>
                    </w:rPr>
                    <w:t>设计年生产能力</w:t>
                  </w:r>
                </w:p>
              </w:tc>
              <w:tc>
                <w:tcPr>
                  <w:tcW w:w="1322" w:type="dxa"/>
                  <w:vMerge w:val="restart"/>
                  <w:tcBorders>
                    <w:right w:val="single" w:color="auto" w:sz="4" w:space="0"/>
                  </w:tcBorders>
                  <w:vAlign w:val="center"/>
                </w:tcPr>
                <w:p>
                  <w:pPr>
                    <w:tabs>
                      <w:tab w:val="left" w:pos="3255"/>
                    </w:tabs>
                    <w:jc w:val="center"/>
                    <w:rPr>
                      <w:b/>
                      <w:bCs/>
                      <w:color w:val="auto"/>
                      <w:sz w:val="21"/>
                      <w:szCs w:val="21"/>
                    </w:rPr>
                  </w:pPr>
                  <w:r>
                    <w:rPr>
                      <w:b/>
                      <w:bCs/>
                      <w:color w:val="auto"/>
                      <w:sz w:val="21"/>
                      <w:szCs w:val="21"/>
                    </w:rPr>
                    <w:t>年生产时间</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413" w:type="dxa"/>
                  <w:vMerge w:val="continue"/>
                  <w:vAlign w:val="center"/>
                </w:tcPr>
                <w:p>
                  <w:pPr>
                    <w:tabs>
                      <w:tab w:val="left" w:pos="3255"/>
                    </w:tabs>
                    <w:jc w:val="center"/>
                    <w:rPr>
                      <w:color w:val="auto"/>
                      <w:sz w:val="21"/>
                      <w:szCs w:val="21"/>
                    </w:rPr>
                  </w:pPr>
                </w:p>
              </w:tc>
              <w:tc>
                <w:tcPr>
                  <w:tcW w:w="2035" w:type="dxa"/>
                  <w:vMerge w:val="continue"/>
                  <w:vAlign w:val="center"/>
                </w:tcPr>
                <w:p>
                  <w:pPr>
                    <w:tabs>
                      <w:tab w:val="left" w:pos="3255"/>
                    </w:tabs>
                    <w:jc w:val="center"/>
                    <w:rPr>
                      <w:color w:val="auto"/>
                      <w:sz w:val="21"/>
                      <w:szCs w:val="21"/>
                    </w:rPr>
                  </w:pPr>
                </w:p>
              </w:tc>
              <w:tc>
                <w:tcPr>
                  <w:tcW w:w="1200" w:type="dxa"/>
                  <w:tcBorders>
                    <w:right w:val="single" w:color="auto" w:sz="4" w:space="0"/>
                  </w:tcBorders>
                  <w:vAlign w:val="center"/>
                </w:tcPr>
                <w:p>
                  <w:pPr>
                    <w:tabs>
                      <w:tab w:val="left" w:pos="3255"/>
                    </w:tabs>
                    <w:jc w:val="center"/>
                    <w:rPr>
                      <w:rFonts w:hint="default" w:eastAsia="宋体"/>
                      <w:color w:val="auto"/>
                      <w:sz w:val="21"/>
                      <w:szCs w:val="21"/>
                      <w:lang w:val="en-US" w:eastAsia="zh-CN"/>
                    </w:rPr>
                  </w:pPr>
                  <w:r>
                    <w:rPr>
                      <w:rFonts w:hint="eastAsia"/>
                      <w:color w:val="auto"/>
                      <w:sz w:val="21"/>
                      <w:szCs w:val="21"/>
                      <w:lang w:val="en-US" w:eastAsia="zh-CN"/>
                    </w:rPr>
                    <w:t>技改前</w:t>
                  </w:r>
                </w:p>
              </w:tc>
              <w:tc>
                <w:tcPr>
                  <w:tcW w:w="1200" w:type="dxa"/>
                  <w:tcBorders>
                    <w:left w:val="single" w:color="auto" w:sz="4" w:space="0"/>
                    <w:right w:val="single" w:color="auto" w:sz="4" w:space="0"/>
                  </w:tcBorders>
                  <w:vAlign w:val="center"/>
                </w:tcPr>
                <w:p>
                  <w:pPr>
                    <w:tabs>
                      <w:tab w:val="left" w:pos="3255"/>
                    </w:tabs>
                    <w:jc w:val="center"/>
                    <w:rPr>
                      <w:rFonts w:hint="default"/>
                      <w:color w:val="auto"/>
                      <w:sz w:val="21"/>
                      <w:szCs w:val="21"/>
                      <w:lang w:val="en-US" w:eastAsia="zh-CN"/>
                    </w:rPr>
                  </w:pPr>
                  <w:r>
                    <w:rPr>
                      <w:rFonts w:hint="eastAsia"/>
                      <w:color w:val="auto"/>
                      <w:sz w:val="21"/>
                      <w:szCs w:val="21"/>
                      <w:lang w:val="en-US" w:eastAsia="zh-CN"/>
                    </w:rPr>
                    <w:t>技改后</w:t>
                  </w:r>
                </w:p>
              </w:tc>
              <w:tc>
                <w:tcPr>
                  <w:tcW w:w="1200" w:type="dxa"/>
                  <w:tcBorders>
                    <w:left w:val="single" w:color="auto" w:sz="4" w:space="0"/>
                  </w:tcBorders>
                  <w:vAlign w:val="center"/>
                </w:tcPr>
                <w:p>
                  <w:pPr>
                    <w:tabs>
                      <w:tab w:val="left" w:pos="3255"/>
                    </w:tabs>
                    <w:jc w:val="center"/>
                    <w:rPr>
                      <w:rFonts w:hint="default"/>
                      <w:color w:val="auto"/>
                      <w:sz w:val="21"/>
                      <w:szCs w:val="21"/>
                      <w:lang w:val="en-US" w:eastAsia="zh-CN"/>
                    </w:rPr>
                  </w:pPr>
                  <w:r>
                    <w:rPr>
                      <w:rFonts w:hint="eastAsia"/>
                      <w:color w:val="auto"/>
                      <w:sz w:val="21"/>
                      <w:szCs w:val="21"/>
                      <w:lang w:val="en-US" w:eastAsia="zh-CN"/>
                    </w:rPr>
                    <w:t>增减量</w:t>
                  </w:r>
                </w:p>
              </w:tc>
              <w:tc>
                <w:tcPr>
                  <w:tcW w:w="1322" w:type="dxa"/>
                  <w:vMerge w:val="continue"/>
                  <w:tcBorders>
                    <w:right w:val="single" w:color="auto" w:sz="4" w:space="0"/>
                  </w:tcBorders>
                  <w:vAlign w:val="center"/>
                </w:tcPr>
                <w:p>
                  <w:pPr>
                    <w:tabs>
                      <w:tab w:val="left" w:pos="3255"/>
                    </w:tabs>
                    <w:jc w:val="center"/>
                    <w:rPr>
                      <w:color w:val="auto"/>
                      <w:sz w:val="21"/>
                      <w:szCs w:val="21"/>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413" w:type="dxa"/>
                  <w:vMerge w:val="restart"/>
                  <w:vAlign w:val="center"/>
                </w:tcPr>
                <w:p>
                  <w:pPr>
                    <w:tabs>
                      <w:tab w:val="left" w:pos="3255"/>
                    </w:tabs>
                    <w:jc w:val="center"/>
                    <w:rPr>
                      <w:rFonts w:hint="eastAsia" w:eastAsia="宋体"/>
                      <w:color w:val="auto"/>
                      <w:sz w:val="21"/>
                      <w:szCs w:val="21"/>
                      <w:lang w:val="en-US" w:eastAsia="zh-CN"/>
                    </w:rPr>
                  </w:pPr>
                  <w:r>
                    <w:rPr>
                      <w:rFonts w:hint="eastAsia"/>
                      <w:color w:val="auto"/>
                      <w:sz w:val="21"/>
                      <w:szCs w:val="21"/>
                      <w:lang w:val="en-US" w:eastAsia="zh-CN"/>
                    </w:rPr>
                    <w:t>1</w:t>
                  </w:r>
                </w:p>
              </w:tc>
              <w:tc>
                <w:tcPr>
                  <w:tcW w:w="2035" w:type="dxa"/>
                  <w:vAlign w:val="center"/>
                </w:tcPr>
                <w:p>
                  <w:pPr>
                    <w:tabs>
                      <w:tab w:val="left" w:pos="3255"/>
                    </w:tabs>
                    <w:jc w:val="center"/>
                    <w:rPr>
                      <w:rFonts w:hint="default"/>
                      <w:color w:val="auto"/>
                      <w:sz w:val="21"/>
                      <w:szCs w:val="21"/>
                      <w:lang w:val="en-US" w:eastAsia="zh-CN"/>
                    </w:rPr>
                  </w:pPr>
                  <w:r>
                    <w:rPr>
                      <w:rFonts w:hint="eastAsia" w:ascii="Times New Roman" w:hAnsi="Times New Roman" w:eastAsia="宋体" w:cs="Times New Roman"/>
                      <w:color w:val="auto"/>
                      <w:sz w:val="21"/>
                      <w:szCs w:val="21"/>
                      <w:lang w:val="en-US" w:eastAsia="zh-CN"/>
                    </w:rPr>
                    <w:t>螺旋埋弧焊管</w:t>
                  </w:r>
                  <w:r>
                    <w:rPr>
                      <w:rFonts w:hint="default" w:ascii="Times New Roman" w:hAnsi="Times New Roman" w:eastAsia="宋体" w:cs="Times New Roman"/>
                      <w:color w:val="auto"/>
                      <w:sz w:val="21"/>
                      <w:szCs w:val="21"/>
                      <w:lang w:val="en-US" w:eastAsia="zh-CN"/>
                    </w:rPr>
                    <w:t>φ159~</w:t>
                  </w:r>
                  <w:r>
                    <w:rPr>
                      <w:rFonts w:hint="eastAsia" w:ascii="Times New Roman" w:hAnsi="Times New Roman" w:eastAsia="宋体" w:cs="Times New Roman"/>
                      <w:color w:val="auto"/>
                      <w:sz w:val="21"/>
                      <w:szCs w:val="21"/>
                      <w:lang w:val="en-US" w:eastAsia="zh-CN"/>
                    </w:rPr>
                    <w:t>3420mm</w:t>
                  </w:r>
                </w:p>
              </w:tc>
              <w:tc>
                <w:tcPr>
                  <w:tcW w:w="1200" w:type="dxa"/>
                  <w:tcBorders>
                    <w:right w:val="single" w:color="auto" w:sz="4" w:space="0"/>
                  </w:tcBorders>
                  <w:vAlign w:val="center"/>
                </w:tcPr>
                <w:p>
                  <w:pPr>
                    <w:tabs>
                      <w:tab w:val="left" w:pos="3255"/>
                    </w:tabs>
                    <w:jc w:val="center"/>
                    <w:rPr>
                      <w:rFonts w:hint="default"/>
                      <w:color w:val="auto"/>
                      <w:sz w:val="21"/>
                      <w:szCs w:val="21"/>
                      <w:lang w:val="en-US" w:eastAsia="zh-CN"/>
                    </w:rPr>
                  </w:pPr>
                  <w:r>
                    <w:rPr>
                      <w:rFonts w:hint="eastAsia"/>
                      <w:color w:val="auto"/>
                      <w:sz w:val="21"/>
                      <w:szCs w:val="21"/>
                      <w:lang w:val="en-US" w:eastAsia="zh-CN"/>
                    </w:rPr>
                    <w:t>5万吨</w:t>
                  </w:r>
                </w:p>
              </w:tc>
              <w:tc>
                <w:tcPr>
                  <w:tcW w:w="1200" w:type="dxa"/>
                  <w:tcBorders>
                    <w:left w:val="single" w:color="auto" w:sz="4" w:space="0"/>
                    <w:right w:val="single" w:color="auto" w:sz="4" w:space="0"/>
                  </w:tcBorders>
                  <w:vAlign w:val="center"/>
                </w:tcPr>
                <w:p>
                  <w:pPr>
                    <w:tabs>
                      <w:tab w:val="left" w:pos="3255"/>
                    </w:tabs>
                    <w:jc w:val="center"/>
                    <w:rPr>
                      <w:rFonts w:hint="eastAsia"/>
                      <w:color w:val="auto"/>
                      <w:sz w:val="21"/>
                      <w:szCs w:val="21"/>
                      <w:lang w:val="en-US" w:eastAsia="zh-CN"/>
                    </w:rPr>
                  </w:pPr>
                  <w:r>
                    <w:rPr>
                      <w:rFonts w:hint="eastAsia"/>
                      <w:color w:val="auto"/>
                      <w:sz w:val="21"/>
                      <w:szCs w:val="21"/>
                      <w:lang w:val="en-US" w:eastAsia="zh-CN"/>
                    </w:rPr>
                    <w:t>5万吨</w:t>
                  </w:r>
                </w:p>
              </w:tc>
              <w:tc>
                <w:tcPr>
                  <w:tcW w:w="1200" w:type="dxa"/>
                  <w:tcBorders>
                    <w:left w:val="single" w:color="auto" w:sz="4" w:space="0"/>
                  </w:tcBorders>
                  <w:vAlign w:val="center"/>
                </w:tcPr>
                <w:p>
                  <w:pPr>
                    <w:tabs>
                      <w:tab w:val="left" w:pos="3255"/>
                    </w:tabs>
                    <w:jc w:val="center"/>
                    <w:rPr>
                      <w:rFonts w:hint="default"/>
                      <w:color w:val="auto"/>
                      <w:sz w:val="21"/>
                      <w:szCs w:val="21"/>
                      <w:lang w:val="en-US" w:eastAsia="zh-CN"/>
                    </w:rPr>
                  </w:pPr>
                  <w:r>
                    <w:rPr>
                      <w:rFonts w:hint="eastAsia"/>
                      <w:color w:val="auto"/>
                      <w:sz w:val="21"/>
                      <w:szCs w:val="21"/>
                      <w:lang w:val="en-US" w:eastAsia="zh-CN"/>
                    </w:rPr>
                    <w:t>0</w:t>
                  </w:r>
                </w:p>
              </w:tc>
              <w:tc>
                <w:tcPr>
                  <w:tcW w:w="1322" w:type="dxa"/>
                  <w:tcBorders>
                    <w:right w:val="single" w:color="auto" w:sz="4" w:space="0"/>
                  </w:tcBorders>
                  <w:vAlign w:val="center"/>
                </w:tcPr>
                <w:p>
                  <w:pPr>
                    <w:tabs>
                      <w:tab w:val="left" w:pos="3255"/>
                    </w:tabs>
                    <w:jc w:val="center"/>
                    <w:rPr>
                      <w:color w:val="auto"/>
                      <w:sz w:val="21"/>
                      <w:szCs w:val="21"/>
                    </w:rPr>
                  </w:pPr>
                  <w:r>
                    <w:rPr>
                      <w:color w:val="auto"/>
                      <w:sz w:val="21"/>
                      <w:szCs w:val="21"/>
                    </w:rPr>
                    <w:t>300d</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54" w:hRule="atLeast"/>
                <w:jc w:val="center"/>
              </w:trPr>
              <w:tc>
                <w:tcPr>
                  <w:tcW w:w="413" w:type="dxa"/>
                  <w:vMerge w:val="continue"/>
                  <w:vAlign w:val="center"/>
                </w:tcPr>
                <w:p>
                  <w:pPr>
                    <w:tabs>
                      <w:tab w:val="left" w:pos="3255"/>
                    </w:tabs>
                    <w:jc w:val="center"/>
                    <w:rPr>
                      <w:rFonts w:hint="eastAsia" w:eastAsia="宋体"/>
                      <w:color w:val="auto"/>
                      <w:sz w:val="21"/>
                      <w:szCs w:val="21"/>
                      <w:lang w:val="en-US" w:eastAsia="zh-CN"/>
                    </w:rPr>
                  </w:pPr>
                </w:p>
              </w:tc>
              <w:tc>
                <w:tcPr>
                  <w:tcW w:w="2035"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其中：防腐</w:t>
                  </w:r>
                  <w:r>
                    <w:rPr>
                      <w:rFonts w:hint="eastAsia" w:cs="Times New Roman"/>
                      <w:color w:val="auto"/>
                      <w:kern w:val="2"/>
                      <w:sz w:val="21"/>
                      <w:szCs w:val="21"/>
                      <w:lang w:val="en-US" w:eastAsia="zh-CN" w:bidi="ar-SA"/>
                    </w:rPr>
                    <w:t>涂装</w:t>
                  </w:r>
                  <w:r>
                    <w:rPr>
                      <w:rFonts w:hint="eastAsia" w:ascii="Times New Roman" w:hAnsi="Times New Roman" w:eastAsia="宋体" w:cs="Times New Roman"/>
                      <w:color w:val="auto"/>
                      <w:kern w:val="2"/>
                      <w:sz w:val="21"/>
                      <w:szCs w:val="21"/>
                      <w:lang w:val="en-US" w:eastAsia="zh-CN" w:bidi="ar-SA"/>
                    </w:rPr>
                    <w:t>产能</w:t>
                  </w:r>
                </w:p>
              </w:tc>
              <w:tc>
                <w:tcPr>
                  <w:tcW w:w="1200" w:type="dxa"/>
                  <w:tcBorders>
                    <w:right w:val="single" w:color="auto" w:sz="4" w:space="0"/>
                  </w:tcBorders>
                  <w:vAlign w:val="center"/>
                </w:tcPr>
                <w:p>
                  <w:pPr>
                    <w:pStyle w:val="116"/>
                    <w:rPr>
                      <w:rFonts w:hint="default"/>
                      <w:color w:val="auto"/>
                      <w:sz w:val="21"/>
                      <w:szCs w:val="21"/>
                      <w:lang w:val="en-US" w:eastAsia="zh-CN"/>
                    </w:rPr>
                  </w:pPr>
                  <w:r>
                    <w:rPr>
                      <w:rFonts w:hint="eastAsia"/>
                      <w:color w:val="auto"/>
                      <w:sz w:val="21"/>
                      <w:szCs w:val="21"/>
                      <w:lang w:val="en-US" w:eastAsia="zh-CN"/>
                    </w:rPr>
                    <w:t>3.57万吨</w:t>
                  </w:r>
                </w:p>
              </w:tc>
              <w:tc>
                <w:tcPr>
                  <w:tcW w:w="1200" w:type="dxa"/>
                  <w:tcBorders>
                    <w:left w:val="single" w:color="auto" w:sz="4" w:space="0"/>
                    <w:right w:val="single" w:color="auto" w:sz="4" w:space="0"/>
                  </w:tcBorders>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4.5万吨</w:t>
                  </w:r>
                </w:p>
              </w:tc>
              <w:tc>
                <w:tcPr>
                  <w:tcW w:w="1200" w:type="dxa"/>
                  <w:tcBorders>
                    <w:left w:val="single" w:color="auto" w:sz="4" w:space="0"/>
                  </w:tcBorders>
                  <w:vAlign w:val="center"/>
                </w:tcPr>
                <w:p>
                  <w:pPr>
                    <w:tabs>
                      <w:tab w:val="left" w:pos="3255"/>
                    </w:tabs>
                    <w:jc w:val="center"/>
                    <w:rPr>
                      <w:rFonts w:hint="default"/>
                      <w:color w:val="auto"/>
                      <w:sz w:val="21"/>
                      <w:szCs w:val="21"/>
                      <w:lang w:val="en-US" w:eastAsia="zh-CN"/>
                    </w:rPr>
                  </w:pPr>
                  <w:r>
                    <w:rPr>
                      <w:rFonts w:hint="eastAsia"/>
                      <w:color w:val="auto"/>
                      <w:sz w:val="21"/>
                      <w:szCs w:val="21"/>
                      <w:lang w:val="en-US" w:eastAsia="zh-CN"/>
                    </w:rPr>
                    <w:t>+0.93万吨</w:t>
                  </w:r>
                </w:p>
              </w:tc>
              <w:tc>
                <w:tcPr>
                  <w:tcW w:w="1322" w:type="dxa"/>
                  <w:tcBorders>
                    <w:right w:val="single" w:color="auto" w:sz="4" w:space="0"/>
                  </w:tcBorders>
                  <w:vAlign w:val="center"/>
                </w:tcPr>
                <w:p>
                  <w:pPr>
                    <w:tabs>
                      <w:tab w:val="left" w:pos="3255"/>
                    </w:tabs>
                    <w:jc w:val="center"/>
                    <w:rPr>
                      <w:color w:val="auto"/>
                      <w:sz w:val="21"/>
                      <w:szCs w:val="21"/>
                    </w:rPr>
                  </w:pPr>
                  <w:r>
                    <w:rPr>
                      <w:color w:val="auto"/>
                      <w:sz w:val="21"/>
                      <w:szCs w:val="21"/>
                    </w:rPr>
                    <w:t>300d</w:t>
                  </w:r>
                </w:p>
              </w:tc>
            </w:tr>
          </w:tbl>
          <w:p>
            <w:pPr>
              <w:pStyle w:val="40"/>
              <w:spacing w:line="240" w:lineRule="auto"/>
              <w:rPr>
                <w:rFonts w:hint="default" w:ascii="Times New Roman" w:hAnsi="Times New Roman" w:cs="Times New Roman"/>
                <w:color w:val="FF0000"/>
              </w:rPr>
            </w:pPr>
          </w:p>
          <w:p>
            <w:pPr>
              <w:pStyle w:val="40"/>
              <w:spacing w:line="240" w:lineRule="auto"/>
              <w:jc w:val="center"/>
              <w:rPr>
                <w:rFonts w:hint="default" w:ascii="Times New Roman" w:hAnsi="Times New Roman" w:cs="Times New Roman"/>
                <w:color w:val="FF0000"/>
              </w:rPr>
            </w:pPr>
            <w:r>
              <w:rPr>
                <w:rFonts w:ascii="宋体" w:hAnsi="宋体" w:eastAsia="宋体" w:cs="宋体"/>
                <w:sz w:val="24"/>
                <w:szCs w:val="24"/>
              </w:rPr>
              <w:drawing>
                <wp:inline distT="0" distB="0" distL="114300" distR="114300">
                  <wp:extent cx="3582035" cy="2388870"/>
                  <wp:effectExtent l="0" t="0" r="12065" b="11430"/>
                  <wp:docPr id="1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IMG_256"/>
                          <pic:cNvPicPr>
                            <a:picLocks noChangeAspect="1"/>
                          </pic:cNvPicPr>
                        </pic:nvPicPr>
                        <pic:blipFill>
                          <a:blip r:embed="rId8"/>
                          <a:stretch>
                            <a:fillRect/>
                          </a:stretch>
                        </pic:blipFill>
                        <pic:spPr>
                          <a:xfrm>
                            <a:off x="0" y="0"/>
                            <a:ext cx="3582035" cy="2388870"/>
                          </a:xfrm>
                          <a:prstGeom prst="rect">
                            <a:avLst/>
                          </a:prstGeom>
                          <a:noFill/>
                          <a:ln w="9525">
                            <a:noFill/>
                          </a:ln>
                        </pic:spPr>
                      </pic:pic>
                    </a:graphicData>
                  </a:graphic>
                </wp:inline>
              </w:drawing>
            </w:r>
          </w:p>
          <w:p>
            <w:pPr>
              <w:pStyle w:val="166"/>
              <w:spacing w:line="240" w:lineRule="auto"/>
              <w:rPr>
                <w:rFonts w:hint="eastAsia" w:eastAsia="宋体"/>
                <w:color w:val="auto"/>
                <w:sz w:val="24"/>
                <w:szCs w:val="24"/>
              </w:rPr>
            </w:pPr>
            <w:r>
              <w:rPr>
                <w:rFonts w:hint="eastAsia" w:eastAsia="宋体"/>
                <w:color w:val="auto"/>
                <w:sz w:val="24"/>
                <w:szCs w:val="24"/>
              </w:rPr>
              <w:t>图2-1  产品照片</w:t>
            </w:r>
          </w:p>
          <w:p>
            <w:pPr>
              <w:pStyle w:val="40"/>
              <w:spacing w:line="240" w:lineRule="auto"/>
              <w:rPr>
                <w:rFonts w:hint="default" w:ascii="Times New Roman" w:hAnsi="Times New Roman" w:cs="Times New Roman"/>
                <w:color w:val="FF0000"/>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2.4生产设备</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本项目主要设备设施详见表2-4。</w:t>
            </w:r>
          </w:p>
          <w:p>
            <w:pPr>
              <w:pStyle w:val="166"/>
              <w:rPr>
                <w:rFonts w:hint="default" w:eastAsia="宋体"/>
                <w:color w:val="auto"/>
                <w:sz w:val="24"/>
                <w:szCs w:val="24"/>
              </w:rPr>
            </w:pPr>
            <w:r>
              <w:rPr>
                <w:rFonts w:hint="default" w:eastAsia="宋体"/>
                <w:color w:val="auto"/>
                <w:sz w:val="24"/>
                <w:szCs w:val="24"/>
              </w:rPr>
              <w:t>表2-</w:t>
            </w:r>
            <w:r>
              <w:rPr>
                <w:rFonts w:hint="default" w:eastAsia="宋体"/>
                <w:color w:val="auto"/>
                <w:sz w:val="24"/>
                <w:szCs w:val="24"/>
                <w:lang w:val="en-US" w:eastAsia="zh-CN"/>
              </w:rPr>
              <w:t xml:space="preserve">4  </w:t>
            </w:r>
            <w:r>
              <w:rPr>
                <w:rFonts w:hint="default" w:eastAsia="宋体"/>
                <w:color w:val="auto"/>
                <w:sz w:val="24"/>
                <w:szCs w:val="24"/>
              </w:rPr>
              <w:t>项目设备清单</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6"/>
              <w:gridCol w:w="1799"/>
              <w:gridCol w:w="1023"/>
              <w:gridCol w:w="1023"/>
              <w:gridCol w:w="1025"/>
              <w:gridCol w:w="1060"/>
              <w:gridCol w:w="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Merge w:val="restart"/>
                  <w:vAlign w:val="center"/>
                </w:tcPr>
                <w:p>
                  <w:pPr>
                    <w:jc w:val="center"/>
                    <w:rPr>
                      <w:rFonts w:hint="default" w:ascii="Times New Roman" w:hAnsi="Times New Roman" w:eastAsia="宋体" w:cs="Times New Roman"/>
                      <w:b/>
                      <w:color w:val="auto"/>
                      <w:sz w:val="21"/>
                      <w:szCs w:val="21"/>
                      <w:lang w:val="en-US" w:eastAsia="zh-CN"/>
                    </w:rPr>
                  </w:pPr>
                  <w:r>
                    <w:rPr>
                      <w:rFonts w:hint="default" w:ascii="Times New Roman" w:hAnsi="Times New Roman" w:cs="Times New Roman"/>
                      <w:b/>
                      <w:color w:val="auto"/>
                      <w:sz w:val="21"/>
                      <w:szCs w:val="21"/>
                      <w:lang w:val="en-US" w:eastAsia="zh-CN"/>
                    </w:rPr>
                    <w:t>序号</w:t>
                  </w:r>
                </w:p>
              </w:tc>
              <w:tc>
                <w:tcPr>
                  <w:tcW w:w="1799" w:type="dxa"/>
                  <w:vMerge w:val="restart"/>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设备名称</w:t>
                  </w:r>
                </w:p>
              </w:tc>
              <w:tc>
                <w:tcPr>
                  <w:tcW w:w="3071" w:type="dxa"/>
                  <w:gridSpan w:val="3"/>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数量</w:t>
                  </w:r>
                </w:p>
              </w:tc>
              <w:tc>
                <w:tcPr>
                  <w:tcW w:w="1060" w:type="dxa"/>
                  <w:vMerge w:val="restart"/>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lang w:val="en-US" w:eastAsia="zh-CN"/>
                    </w:rPr>
                    <w:t>主要工序</w:t>
                  </w:r>
                </w:p>
              </w:tc>
              <w:tc>
                <w:tcPr>
                  <w:tcW w:w="785" w:type="dxa"/>
                  <w:vMerge w:val="restart"/>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Merge w:val="continue"/>
                  <w:vAlign w:val="center"/>
                </w:tcPr>
                <w:p>
                  <w:pPr>
                    <w:jc w:val="center"/>
                    <w:rPr>
                      <w:rFonts w:hint="default" w:ascii="Times New Roman" w:hAnsi="Times New Roman" w:cs="Times New Roman"/>
                      <w:b/>
                      <w:color w:val="auto"/>
                      <w:sz w:val="21"/>
                      <w:szCs w:val="21"/>
                      <w:lang w:val="en-US" w:eastAsia="zh-CN"/>
                    </w:rPr>
                  </w:pPr>
                </w:p>
              </w:tc>
              <w:tc>
                <w:tcPr>
                  <w:tcW w:w="1799" w:type="dxa"/>
                  <w:vMerge w:val="continue"/>
                  <w:vAlign w:val="center"/>
                </w:tcPr>
                <w:p>
                  <w:pPr>
                    <w:jc w:val="center"/>
                    <w:rPr>
                      <w:rFonts w:hint="default" w:ascii="Times New Roman" w:hAnsi="Times New Roman" w:cs="Times New Roman"/>
                      <w:b/>
                      <w:color w:val="auto"/>
                      <w:sz w:val="21"/>
                      <w:szCs w:val="21"/>
                    </w:rPr>
                  </w:pPr>
                </w:p>
              </w:tc>
              <w:tc>
                <w:tcPr>
                  <w:tcW w:w="1023" w:type="dxa"/>
                  <w:vAlign w:val="center"/>
                </w:tcPr>
                <w:p>
                  <w:pPr>
                    <w:jc w:val="center"/>
                    <w:rPr>
                      <w:rFonts w:hint="eastAsia" w:ascii="Times New Roman" w:hAnsi="Times New Roman" w:eastAsia="宋体" w:cs="Times New Roman"/>
                      <w:b/>
                      <w:color w:val="auto"/>
                      <w:sz w:val="21"/>
                      <w:szCs w:val="21"/>
                      <w:lang w:val="en-US" w:eastAsia="zh-CN"/>
                    </w:rPr>
                  </w:pPr>
                  <w:r>
                    <w:rPr>
                      <w:rFonts w:hint="eastAsia" w:cs="Times New Roman"/>
                      <w:b/>
                      <w:color w:val="auto"/>
                      <w:sz w:val="21"/>
                      <w:szCs w:val="21"/>
                      <w:lang w:val="en-US" w:eastAsia="zh-CN"/>
                    </w:rPr>
                    <w:t>技改前</w:t>
                  </w:r>
                </w:p>
              </w:tc>
              <w:tc>
                <w:tcPr>
                  <w:tcW w:w="1023" w:type="dxa"/>
                  <w:vAlign w:val="center"/>
                </w:tcPr>
                <w:p>
                  <w:pPr>
                    <w:jc w:val="center"/>
                    <w:rPr>
                      <w:rFonts w:hint="default" w:cs="Times New Roman"/>
                      <w:b/>
                      <w:color w:val="auto"/>
                      <w:sz w:val="21"/>
                      <w:szCs w:val="21"/>
                      <w:lang w:val="en-US" w:eastAsia="zh-CN"/>
                    </w:rPr>
                  </w:pPr>
                  <w:r>
                    <w:rPr>
                      <w:rFonts w:hint="eastAsia" w:cs="Times New Roman"/>
                      <w:b/>
                      <w:color w:val="auto"/>
                      <w:sz w:val="21"/>
                      <w:szCs w:val="21"/>
                      <w:lang w:val="en-US" w:eastAsia="zh-CN"/>
                    </w:rPr>
                    <w:t>技改后</w:t>
                  </w:r>
                </w:p>
              </w:tc>
              <w:tc>
                <w:tcPr>
                  <w:tcW w:w="1025" w:type="dxa"/>
                  <w:vAlign w:val="center"/>
                </w:tcPr>
                <w:p>
                  <w:pPr>
                    <w:jc w:val="center"/>
                    <w:rPr>
                      <w:rFonts w:hint="eastAsia" w:ascii="Times New Roman" w:hAnsi="Times New Roman" w:eastAsia="宋体" w:cs="Times New Roman"/>
                      <w:b/>
                      <w:color w:val="auto"/>
                      <w:sz w:val="21"/>
                      <w:szCs w:val="21"/>
                      <w:lang w:val="en-US" w:eastAsia="zh-CN"/>
                    </w:rPr>
                  </w:pPr>
                  <w:r>
                    <w:rPr>
                      <w:rFonts w:hint="eastAsia" w:cs="Times New Roman"/>
                      <w:b/>
                      <w:color w:val="auto"/>
                      <w:sz w:val="21"/>
                      <w:szCs w:val="21"/>
                      <w:lang w:val="en-US" w:eastAsia="zh-CN"/>
                    </w:rPr>
                    <w:t>变化量</w:t>
                  </w:r>
                </w:p>
              </w:tc>
              <w:tc>
                <w:tcPr>
                  <w:tcW w:w="1060" w:type="dxa"/>
                  <w:vMerge w:val="continue"/>
                  <w:vAlign w:val="center"/>
                </w:tcPr>
                <w:p>
                  <w:pPr>
                    <w:jc w:val="center"/>
                    <w:rPr>
                      <w:rFonts w:hint="default" w:ascii="Times New Roman" w:hAnsi="Times New Roman" w:cs="Times New Roman"/>
                      <w:b/>
                      <w:color w:val="auto"/>
                      <w:sz w:val="21"/>
                      <w:szCs w:val="21"/>
                      <w:lang w:val="en-US" w:eastAsia="zh-CN"/>
                    </w:rPr>
                  </w:pPr>
                </w:p>
              </w:tc>
              <w:tc>
                <w:tcPr>
                  <w:tcW w:w="785" w:type="dxa"/>
                  <w:vMerge w:val="continue"/>
                  <w:vAlign w:val="center"/>
                </w:tcPr>
                <w:p>
                  <w:pPr>
                    <w:jc w:val="center"/>
                    <w:rPr>
                      <w:rFonts w:hint="default" w:ascii="Times New Roman" w:hAnsi="Times New Roman" w:cs="Times New Roman"/>
                      <w:b/>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w:t>
                  </w:r>
                </w:p>
              </w:tc>
              <w:tc>
                <w:tcPr>
                  <w:tcW w:w="1799"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粉末涂覆线</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1台</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2台</w:t>
                  </w:r>
                </w:p>
              </w:tc>
              <w:tc>
                <w:tcPr>
                  <w:tcW w:w="1025" w:type="dxa"/>
                  <w:vAlign w:val="center"/>
                </w:tcPr>
                <w:p>
                  <w:pPr>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+1台</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喷涂粉末</w:t>
                  </w:r>
                </w:p>
              </w:tc>
              <w:tc>
                <w:tcPr>
                  <w:tcW w:w="785" w:type="dxa"/>
                  <w:vMerge w:val="restart"/>
                  <w:vAlign w:val="center"/>
                </w:tcPr>
                <w:p>
                  <w:pPr>
                    <w:snapToGrid w:val="0"/>
                    <w:ind w:right="-12" w:rightChars="-5"/>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涂装车间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799"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水冷系统</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1台</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冷却</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w:t>
                  </w:r>
                </w:p>
              </w:tc>
              <w:tc>
                <w:tcPr>
                  <w:tcW w:w="1799"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抛丸机</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1台</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+3台</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抛丸</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4</w:t>
                  </w:r>
                </w:p>
              </w:tc>
              <w:tc>
                <w:tcPr>
                  <w:tcW w:w="1799"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打磨机</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2台</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端口打磨</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5</w:t>
                  </w:r>
                </w:p>
              </w:tc>
              <w:tc>
                <w:tcPr>
                  <w:tcW w:w="1799"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刷</w:t>
                  </w:r>
                  <w:r>
                    <w:rPr>
                      <w:rFonts w:hint="eastAsia" w:ascii="Times New Roman" w:hAnsi="Times New Roman" w:eastAsia="宋体" w:cs="Times New Roman"/>
                      <w:color w:val="auto"/>
                      <w:sz w:val="21"/>
                      <w:szCs w:val="21"/>
                      <w:lang w:val="en-US" w:eastAsia="zh-CN"/>
                    </w:rPr>
                    <w:t>漆房1</w:t>
                  </w:r>
                  <w:r>
                    <w:rPr>
                      <w:rFonts w:hint="eastAsia"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m</w:t>
                  </w:r>
                  <w:r>
                    <w:rPr>
                      <w:rFonts w:hint="default"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13.5</w:t>
                  </w:r>
                  <w:r>
                    <w:rPr>
                      <w:rFonts w:hint="eastAsia" w:ascii="Times New Roman" w:hAnsi="Times New Roman" w:eastAsia="宋体" w:cs="Times New Roman"/>
                      <w:color w:val="auto"/>
                      <w:sz w:val="21"/>
                      <w:szCs w:val="21"/>
                      <w:lang w:val="en-US" w:eastAsia="zh-CN"/>
                    </w:rPr>
                    <w:t>m</w:t>
                  </w:r>
                  <w:r>
                    <w:rPr>
                      <w:rFonts w:hint="default"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2</w:t>
                  </w:r>
                  <w:r>
                    <w:rPr>
                      <w:rFonts w:hint="eastAsia" w:ascii="Times New Roman" w:hAnsi="Times New Roman" w:eastAsia="宋体" w:cs="Times New Roman"/>
                      <w:color w:val="auto"/>
                      <w:sz w:val="21"/>
                      <w:szCs w:val="21"/>
                      <w:lang w:val="en-US" w:eastAsia="zh-CN"/>
                    </w:rPr>
                    <w:t>.5m</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1间</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1间</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小线刷漆</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6</w:t>
                  </w:r>
                </w:p>
              </w:tc>
              <w:tc>
                <w:tcPr>
                  <w:tcW w:w="1799"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喷漆房</w:t>
                  </w:r>
                  <w:r>
                    <w:rPr>
                      <w:rFonts w:hint="eastAsia" w:ascii="Times New Roman" w:hAnsi="Times New Roman" w:eastAsia="宋体" w:cs="Times New Roman"/>
                      <w:color w:val="auto"/>
                      <w:sz w:val="21"/>
                      <w:szCs w:val="21"/>
                      <w:lang w:val="en-US" w:eastAsia="zh-CN"/>
                    </w:rPr>
                    <w:t>1</w:t>
                  </w:r>
                  <w:r>
                    <w:rPr>
                      <w:rFonts w:hint="eastAsia" w:cs="Times New Roman"/>
                      <w:color w:val="auto"/>
                      <w:sz w:val="21"/>
                      <w:szCs w:val="21"/>
                      <w:lang w:val="en-US" w:eastAsia="zh-CN"/>
                    </w:rPr>
                    <w:t>6</w:t>
                  </w:r>
                  <w:r>
                    <w:rPr>
                      <w:rFonts w:hint="eastAsia" w:ascii="Times New Roman" w:hAnsi="Times New Roman" w:eastAsia="宋体" w:cs="Times New Roman"/>
                      <w:color w:val="auto"/>
                      <w:sz w:val="21"/>
                      <w:szCs w:val="21"/>
                      <w:lang w:val="en-US" w:eastAsia="zh-CN"/>
                    </w:rPr>
                    <w:t>m</w:t>
                  </w:r>
                  <w:r>
                    <w:rPr>
                      <w:rFonts w:hint="default"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9</w:t>
                  </w:r>
                  <w:r>
                    <w:rPr>
                      <w:rFonts w:hint="eastAsia" w:ascii="Times New Roman" w:hAnsi="Times New Roman" w:eastAsia="宋体" w:cs="Times New Roman"/>
                      <w:color w:val="auto"/>
                      <w:sz w:val="21"/>
                      <w:szCs w:val="21"/>
                      <w:lang w:val="en-US" w:eastAsia="zh-CN"/>
                    </w:rPr>
                    <w:t>m</w:t>
                  </w:r>
                  <w:r>
                    <w:rPr>
                      <w:rFonts w:hint="default" w:ascii="Times New Roman" w:hAnsi="Times New Roman" w:eastAsia="宋体" w:cs="Times New Roman"/>
                      <w:color w:val="auto"/>
                      <w:sz w:val="21"/>
                      <w:szCs w:val="21"/>
                      <w:lang w:val="en-US" w:eastAsia="zh-CN"/>
                    </w:rPr>
                    <w:t>×</w:t>
                  </w:r>
                  <w:r>
                    <w:rPr>
                      <w:rFonts w:hint="eastAsia" w:cs="Times New Roman"/>
                      <w:color w:val="auto"/>
                      <w:sz w:val="21"/>
                      <w:szCs w:val="21"/>
                      <w:lang w:val="en-US" w:eastAsia="zh-CN"/>
                    </w:rPr>
                    <w:t>4</w:t>
                  </w:r>
                  <w:r>
                    <w:rPr>
                      <w:rFonts w:hint="eastAsia" w:ascii="Times New Roman" w:hAnsi="Times New Roman" w:eastAsia="宋体" w:cs="Times New Roman"/>
                      <w:color w:val="auto"/>
                      <w:sz w:val="21"/>
                      <w:szCs w:val="21"/>
                      <w:lang w:val="en-US" w:eastAsia="zh-CN"/>
                    </w:rPr>
                    <w:t>m</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0间</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1间</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+1间</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大线喷漆</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7</w:t>
                  </w:r>
                </w:p>
              </w:tc>
              <w:tc>
                <w:tcPr>
                  <w:tcW w:w="1799"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冷却塔</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1台</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冷却</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8</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上下管系统</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4台</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管道运送</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9</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存放钢板平台</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贮存</w:t>
                  </w:r>
                </w:p>
              </w:tc>
              <w:tc>
                <w:tcPr>
                  <w:tcW w:w="785" w:type="dxa"/>
                  <w:vMerge w:val="restart"/>
                  <w:vAlign w:val="center"/>
                </w:tcPr>
                <w:p>
                  <w:pPr>
                    <w:snapToGrid w:val="0"/>
                    <w:ind w:right="-12" w:rightChars="-5"/>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焊管生产车间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10</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拆卷机</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开卷</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11</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五辊机器</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输送</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12</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剪板接板一体机</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剪板接板</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13</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五辊开平压平机</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整理</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14</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铣边组合设备</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铣边</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15</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卷管成型机</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预弯曲</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16</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埋弧焊机</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焊接</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17</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龙门定型机组合</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飞剪</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18</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补焊设备</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补焊</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19</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小机器平口机</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平头</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20</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大型水压机</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水压试验</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21</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火焰平口组合</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切割</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6"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22</w:t>
                  </w:r>
                </w:p>
              </w:tc>
              <w:tc>
                <w:tcPr>
                  <w:tcW w:w="1799"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检测设备</w:t>
                  </w:r>
                </w:p>
              </w:tc>
              <w:tc>
                <w:tcPr>
                  <w:tcW w:w="102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23台</w:t>
                  </w:r>
                </w:p>
              </w:tc>
              <w:tc>
                <w:tcPr>
                  <w:tcW w:w="102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23台</w:t>
                  </w:r>
                </w:p>
              </w:tc>
              <w:tc>
                <w:tcPr>
                  <w:tcW w:w="1025"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060"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检测</w:t>
                  </w:r>
                </w:p>
              </w:tc>
              <w:tc>
                <w:tcPr>
                  <w:tcW w:w="785" w:type="dxa"/>
                  <w:vMerge w:val="continue"/>
                  <w:vAlign w:val="center"/>
                </w:tcPr>
                <w:p>
                  <w:pPr>
                    <w:snapToGrid w:val="0"/>
                    <w:ind w:right="-12" w:rightChars="-5"/>
                    <w:jc w:val="center"/>
                    <w:rPr>
                      <w:rFonts w:hint="default" w:ascii="Times New Roman" w:hAnsi="Times New Roman" w:cs="Times New Roman"/>
                      <w:color w:val="auto"/>
                      <w:sz w:val="21"/>
                      <w:szCs w:val="21"/>
                      <w:lang w:val="en-US" w:eastAsia="zh-CN"/>
                    </w:rPr>
                  </w:pPr>
                </w:p>
              </w:tc>
            </w:tr>
          </w:tbl>
          <w:p>
            <w:pPr>
              <w:spacing w:line="360" w:lineRule="auto"/>
              <w:jc w:val="left"/>
              <w:rPr>
                <w:rFonts w:hint="default" w:ascii="Times New Roman" w:hAnsi="Times New Roman" w:cs="Times New Roman"/>
                <w:b/>
                <w:color w:val="FF0000"/>
                <w:szCs w:val="24"/>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2.5原辅料清单</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1）主要原辅材料消耗情况</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项目原辅材料年消耗情况见表</w:t>
            </w:r>
            <w:r>
              <w:rPr>
                <w:rFonts w:hint="default" w:ascii="Times New Roman" w:hAnsi="Times New Roman" w:cs="Times New Roman"/>
                <w:color w:val="auto"/>
                <w:szCs w:val="24"/>
                <w:lang w:val="en-US" w:eastAsia="zh-CN"/>
              </w:rPr>
              <w:t>2-</w:t>
            </w:r>
            <w:r>
              <w:rPr>
                <w:rFonts w:hint="eastAsia" w:cs="Times New Roman"/>
                <w:color w:val="auto"/>
                <w:szCs w:val="24"/>
                <w:lang w:val="en-US" w:eastAsia="zh-CN"/>
              </w:rPr>
              <w:t>5</w:t>
            </w:r>
            <w:r>
              <w:rPr>
                <w:rFonts w:hint="default" w:ascii="Times New Roman" w:hAnsi="Times New Roman" w:cs="Times New Roman"/>
                <w:color w:val="auto"/>
                <w:szCs w:val="24"/>
              </w:rPr>
              <w:t>。</w:t>
            </w:r>
          </w:p>
          <w:p>
            <w:pPr>
              <w:pStyle w:val="166"/>
              <w:rPr>
                <w:rFonts w:hint="default" w:eastAsia="宋体"/>
                <w:color w:val="auto"/>
                <w:sz w:val="24"/>
                <w:szCs w:val="24"/>
                <w:lang w:val="en-US" w:eastAsia="zh-CN"/>
              </w:rPr>
            </w:pPr>
            <w:r>
              <w:rPr>
                <w:rFonts w:hint="default" w:eastAsia="宋体"/>
                <w:color w:val="auto"/>
                <w:sz w:val="24"/>
                <w:szCs w:val="24"/>
                <w:lang w:val="en-US" w:eastAsia="zh-CN"/>
              </w:rPr>
              <w:t>表2-</w:t>
            </w:r>
            <w:r>
              <w:rPr>
                <w:rFonts w:hint="eastAsia" w:eastAsia="宋体"/>
                <w:color w:val="auto"/>
                <w:sz w:val="24"/>
                <w:szCs w:val="24"/>
                <w:lang w:val="en-US" w:eastAsia="zh-CN"/>
              </w:rPr>
              <w:t>5</w:t>
            </w:r>
            <w:r>
              <w:rPr>
                <w:rFonts w:hint="default" w:eastAsia="宋体"/>
                <w:color w:val="auto"/>
                <w:sz w:val="24"/>
                <w:szCs w:val="24"/>
                <w:lang w:val="en-US" w:eastAsia="zh-CN"/>
              </w:rPr>
              <w:t xml:space="preserve">  项目主要原辅材料消耗清单</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1394"/>
              <w:gridCol w:w="988"/>
              <w:gridCol w:w="933"/>
              <w:gridCol w:w="905"/>
              <w:gridCol w:w="1141"/>
              <w:gridCol w:w="687"/>
              <w:gridCol w:w="6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序号</w:t>
                  </w:r>
                </w:p>
              </w:tc>
              <w:tc>
                <w:tcPr>
                  <w:tcW w:w="1394"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原材料名称</w:t>
                  </w:r>
                </w:p>
              </w:tc>
              <w:tc>
                <w:tcPr>
                  <w:tcW w:w="2826" w:type="dxa"/>
                  <w:gridSpan w:val="3"/>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b/>
                      <w:color w:val="auto"/>
                      <w:sz w:val="21"/>
                      <w:szCs w:val="21"/>
                      <w:lang w:val="en-US" w:eastAsia="zh-CN"/>
                    </w:rPr>
                  </w:pPr>
                  <w:r>
                    <w:rPr>
                      <w:rFonts w:hint="default" w:ascii="Times New Roman" w:hAnsi="Times New Roman" w:cs="Times New Roman"/>
                      <w:b/>
                      <w:color w:val="auto"/>
                      <w:sz w:val="21"/>
                      <w:szCs w:val="21"/>
                    </w:rPr>
                    <w:t>年使用量</w:t>
                  </w:r>
                  <w:r>
                    <w:rPr>
                      <w:rFonts w:hint="eastAsia" w:cs="Times New Roman"/>
                      <w:b/>
                      <w:color w:val="auto"/>
                      <w:sz w:val="21"/>
                      <w:szCs w:val="21"/>
                      <w:lang w:val="en-US" w:eastAsia="zh-CN"/>
                    </w:rPr>
                    <w:t>t/a</w:t>
                  </w:r>
                </w:p>
              </w:tc>
              <w:tc>
                <w:tcPr>
                  <w:tcW w:w="1141"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包装/规格</w:t>
                  </w:r>
                </w:p>
              </w:tc>
              <w:tc>
                <w:tcPr>
                  <w:tcW w:w="687"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形态</w:t>
                  </w:r>
                </w:p>
              </w:tc>
              <w:tc>
                <w:tcPr>
                  <w:tcW w:w="676"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最大储存量(t)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vMerge w:val="continue"/>
                  <w:tcBorders>
                    <w:left w:val="single" w:color="auto" w:sz="4" w:space="0"/>
                    <w:bottom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p>
              </w:tc>
              <w:tc>
                <w:tcPr>
                  <w:tcW w:w="1394" w:type="dxa"/>
                  <w:vMerge w:val="continue"/>
                  <w:tcBorders>
                    <w:left w:val="single" w:color="auto" w:sz="4" w:space="0"/>
                    <w:bottom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b/>
                      <w:color w:val="auto"/>
                      <w:sz w:val="21"/>
                      <w:szCs w:val="21"/>
                      <w:lang w:val="en-US" w:eastAsia="zh-CN"/>
                    </w:rPr>
                  </w:pPr>
                  <w:r>
                    <w:rPr>
                      <w:rFonts w:hint="eastAsia" w:cs="Times New Roman"/>
                      <w:b/>
                      <w:color w:val="auto"/>
                      <w:sz w:val="21"/>
                      <w:szCs w:val="21"/>
                      <w:lang w:val="en-US" w:eastAsia="zh-CN"/>
                    </w:rPr>
                    <w:t>技改前</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b/>
                      <w:color w:val="auto"/>
                      <w:sz w:val="21"/>
                      <w:szCs w:val="21"/>
                      <w:lang w:val="en-US" w:eastAsia="zh-CN"/>
                    </w:rPr>
                  </w:pPr>
                  <w:r>
                    <w:rPr>
                      <w:rFonts w:hint="eastAsia" w:cs="Times New Roman"/>
                      <w:b/>
                      <w:color w:val="auto"/>
                      <w:sz w:val="21"/>
                      <w:szCs w:val="21"/>
                      <w:lang w:val="en-US" w:eastAsia="zh-CN"/>
                    </w:rPr>
                    <w:t>技改后</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eastAsia" w:ascii="Times New Roman" w:hAnsi="Times New Roman" w:eastAsia="宋体" w:cs="Times New Roman"/>
                      <w:b/>
                      <w:color w:val="auto"/>
                      <w:sz w:val="21"/>
                      <w:szCs w:val="21"/>
                      <w:lang w:val="en-US" w:eastAsia="zh-CN"/>
                    </w:rPr>
                  </w:pPr>
                  <w:r>
                    <w:rPr>
                      <w:rFonts w:hint="eastAsia" w:cs="Times New Roman"/>
                      <w:b/>
                      <w:color w:val="auto"/>
                      <w:sz w:val="21"/>
                      <w:szCs w:val="21"/>
                      <w:lang w:val="en-US" w:eastAsia="zh-CN"/>
                    </w:rPr>
                    <w:t>变化量</w:t>
                  </w:r>
                </w:p>
              </w:tc>
              <w:tc>
                <w:tcPr>
                  <w:tcW w:w="1141" w:type="dxa"/>
                  <w:vMerge w:val="continue"/>
                  <w:tcBorders>
                    <w:left w:val="single" w:color="auto" w:sz="4" w:space="0"/>
                    <w:bottom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p>
              </w:tc>
              <w:tc>
                <w:tcPr>
                  <w:tcW w:w="687" w:type="dxa"/>
                  <w:vMerge w:val="continue"/>
                  <w:tcBorders>
                    <w:left w:val="single" w:color="auto" w:sz="4" w:space="0"/>
                    <w:bottom w:val="single" w:color="auto" w:sz="4" w:space="0"/>
                    <w:right w:val="single" w:color="auto" w:sz="4" w:space="0"/>
                  </w:tcBorders>
                  <w:vAlign w:val="center"/>
                </w:tcPr>
                <w:p>
                  <w:pPr>
                    <w:jc w:val="center"/>
                    <w:rPr>
                      <w:rFonts w:hint="default" w:ascii="Times New Roman" w:hAnsi="Times New Roman" w:cs="Times New Roman"/>
                      <w:b/>
                      <w:color w:val="auto"/>
                      <w:sz w:val="21"/>
                      <w:szCs w:val="21"/>
                    </w:rPr>
                  </w:pPr>
                </w:p>
              </w:tc>
              <w:tc>
                <w:tcPr>
                  <w:tcW w:w="676" w:type="dxa"/>
                  <w:vMerge w:val="continue"/>
                  <w:tcBorders>
                    <w:left w:val="single" w:color="auto" w:sz="4" w:space="0"/>
                    <w:bottom w:val="single" w:color="auto" w:sz="4" w:space="0"/>
                    <w:right w:val="single" w:color="auto" w:sz="4" w:space="0"/>
                  </w:tcBorders>
                  <w:vAlign w:val="center"/>
                </w:tcPr>
                <w:p>
                  <w:pPr>
                    <w:jc w:val="center"/>
                    <w:rPr>
                      <w:rFonts w:hint="default" w:ascii="Times New Roman" w:hAnsi="Times New Roman" w:cs="Times New Roman"/>
                      <w:b/>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钢带</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50528.8</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50528.8</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散装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固态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无铅焊丝</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56.3</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56.3</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15kg盒装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固态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焊剂</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85.2</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85.2</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25kg袋装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固态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4</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乙炔</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21瓶</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21瓶</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eastAsia" w:ascii="Times New Roman" w:hAnsi="Times New Roman" w:eastAsia="宋体" w:cs="Times New Roman"/>
                      <w:color w:val="auto"/>
                      <w:sz w:val="21"/>
                      <w:szCs w:val="21"/>
                      <w:lang w:val="en-US" w:eastAsia="zh-CN"/>
                    </w:rPr>
                  </w:pPr>
                  <w:r>
                    <w:rPr>
                      <w:rFonts w:hint="eastAsia"/>
                      <w:color w:val="auto"/>
                      <w:sz w:val="21"/>
                      <w:szCs w:val="21"/>
                    </w:rPr>
                    <w:t>40L/瓶</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气态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5</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氧气</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21瓶</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21瓶</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olor w:val="auto"/>
                      <w:sz w:val="21"/>
                      <w:szCs w:val="21"/>
                    </w:rPr>
                    <w:t>40L/瓶</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气态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6</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CO</w:t>
                  </w:r>
                  <w:r>
                    <w:rPr>
                      <w:rFonts w:hint="eastAsia" w:cs="Times New Roman"/>
                      <w:color w:val="auto"/>
                      <w:sz w:val="21"/>
                      <w:szCs w:val="21"/>
                      <w:vertAlign w:val="subscript"/>
                      <w:lang w:val="en-US" w:eastAsia="zh-CN"/>
                    </w:rPr>
                    <w:t>2</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11瓶</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11瓶</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40L/瓶</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气态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7</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钢丸</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35</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45</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+10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25kg袋装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固态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8</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塑粉</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170</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210</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+40</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25kg/袋+箱</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固态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8710-2饮水涂料</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2.99</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-2.99</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20kg桶装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液态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10</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8710-3涂料</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2.92</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-2.92</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20kg桶装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液态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11</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乙酸丁酯</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1.18</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-1.18</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20kg桶装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液态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12</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HCH-10外防腐无溶剂环氧防腐涂料</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25</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+25</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20kg桶装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液态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13</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eastAsia" w:cs="Times New Roman"/>
                      <w:color w:val="auto"/>
                      <w:sz w:val="21"/>
                      <w:szCs w:val="21"/>
                      <w:lang w:val="en-US" w:eastAsia="zh-CN"/>
                    </w:rPr>
                  </w:pPr>
                  <w:r>
                    <w:rPr>
                      <w:rFonts w:hint="eastAsia"/>
                      <w:color w:val="auto"/>
                      <w:sz w:val="21"/>
                      <w:szCs w:val="21"/>
                      <w:lang w:val="en-US" w:eastAsia="zh-CN"/>
                    </w:rPr>
                    <w:t>NT102内防腐无溶剂环氧树脂涂料</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25</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+25</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20kg桶装</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液态</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14</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水</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2225</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2385.2</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+160.2</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15</w:t>
                  </w:r>
                </w:p>
              </w:tc>
              <w:tc>
                <w:tcPr>
                  <w:tcW w:w="139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电</w:t>
                  </w:r>
                </w:p>
              </w:tc>
              <w:tc>
                <w:tcPr>
                  <w:tcW w:w="98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192</w:t>
                  </w:r>
                  <w:r>
                    <w:rPr>
                      <w:rFonts w:hint="default" w:ascii="Times New Roman" w:hAnsi="Times New Roman" w:cs="Times New Roman"/>
                      <w:color w:val="auto"/>
                      <w:sz w:val="21"/>
                      <w:szCs w:val="21"/>
                    </w:rPr>
                    <w:t>万</w:t>
                  </w:r>
                  <w:r>
                    <w:rPr>
                      <w:rFonts w:hint="default" w:ascii="Times New Roman" w:hAnsi="Times New Roman" w:cs="Times New Roman"/>
                      <w:color w:val="auto"/>
                      <w:sz w:val="21"/>
                      <w:szCs w:val="21"/>
                      <w:lang w:val="en-US" w:eastAsia="zh-CN"/>
                    </w:rPr>
                    <w:t>度</w:t>
                  </w:r>
                  <w:r>
                    <w:rPr>
                      <w:rFonts w:hint="default" w:ascii="Times New Roman" w:hAnsi="Times New Roman" w:cs="Times New Roman"/>
                      <w:color w:val="auto"/>
                      <w:sz w:val="21"/>
                      <w:szCs w:val="21"/>
                    </w:rPr>
                    <w:t>/a</w:t>
                  </w:r>
                </w:p>
              </w:tc>
              <w:tc>
                <w:tcPr>
                  <w:tcW w:w="933"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210</w:t>
                  </w:r>
                  <w:r>
                    <w:rPr>
                      <w:rFonts w:hint="default" w:ascii="Times New Roman" w:hAnsi="Times New Roman" w:cs="Times New Roman"/>
                      <w:color w:val="auto"/>
                      <w:sz w:val="21"/>
                      <w:szCs w:val="21"/>
                    </w:rPr>
                    <w:t>万</w:t>
                  </w:r>
                  <w:r>
                    <w:rPr>
                      <w:rFonts w:hint="default" w:ascii="Times New Roman" w:hAnsi="Times New Roman" w:cs="Times New Roman"/>
                      <w:color w:val="auto"/>
                      <w:sz w:val="21"/>
                      <w:szCs w:val="21"/>
                      <w:lang w:val="en-US" w:eastAsia="zh-CN"/>
                    </w:rPr>
                    <w:t>度</w:t>
                  </w:r>
                  <w:r>
                    <w:rPr>
                      <w:rFonts w:hint="default" w:ascii="Times New Roman" w:hAnsi="Times New Roman" w:cs="Times New Roman"/>
                      <w:color w:val="auto"/>
                      <w:sz w:val="21"/>
                      <w:szCs w:val="21"/>
                    </w:rPr>
                    <w:t>/a</w:t>
                  </w:r>
                </w:p>
              </w:tc>
              <w:tc>
                <w:tcPr>
                  <w:tcW w:w="905"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18</w:t>
                  </w:r>
                  <w:r>
                    <w:rPr>
                      <w:rFonts w:hint="default" w:ascii="Times New Roman" w:hAnsi="Times New Roman" w:cs="Times New Roman"/>
                      <w:color w:val="auto"/>
                      <w:sz w:val="21"/>
                      <w:szCs w:val="21"/>
                    </w:rPr>
                    <w:t>万</w:t>
                  </w:r>
                  <w:r>
                    <w:rPr>
                      <w:rFonts w:hint="default" w:ascii="Times New Roman" w:hAnsi="Times New Roman" w:cs="Times New Roman"/>
                      <w:color w:val="auto"/>
                      <w:sz w:val="21"/>
                      <w:szCs w:val="21"/>
                      <w:lang w:val="en-US" w:eastAsia="zh-CN"/>
                    </w:rPr>
                    <w:t>度</w:t>
                  </w:r>
                  <w:r>
                    <w:rPr>
                      <w:rFonts w:hint="default" w:ascii="Times New Roman" w:hAnsi="Times New Roman" w:cs="Times New Roman"/>
                      <w:color w:val="auto"/>
                      <w:sz w:val="21"/>
                      <w:szCs w:val="21"/>
                    </w:rPr>
                    <w:t>/a</w:t>
                  </w:r>
                </w:p>
              </w:tc>
              <w:tc>
                <w:tcPr>
                  <w:tcW w:w="1141"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68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676"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bl>
          <w:p>
            <w:pPr>
              <w:pStyle w:val="40"/>
              <w:spacing w:line="240" w:lineRule="auto"/>
              <w:rPr>
                <w:rFonts w:hint="default" w:ascii="Times New Roman" w:hAnsi="Times New Roman" w:cs="Times New Roman"/>
                <w:color w:val="FF0000"/>
                <w:lang w:val="en-US" w:eastAsia="zh-CN"/>
              </w:rPr>
            </w:pPr>
          </w:p>
          <w:p>
            <w:pPr>
              <w:spacing w:line="360" w:lineRule="auto"/>
              <w:ind w:firstLine="480" w:firstLineChars="200"/>
              <w:rPr>
                <w:rFonts w:hint="default" w:ascii="Times New Roman" w:hAnsi="Times New Roman" w:eastAsia="宋体" w:cs="Times New Roman"/>
                <w:color w:val="auto"/>
                <w:lang w:val="en-US" w:eastAsia="zh-CN"/>
              </w:rPr>
            </w:pPr>
            <w:r>
              <w:rPr>
                <w:rFonts w:hint="default" w:ascii="Times New Roman" w:hAnsi="Times New Roman" w:cs="Times New Roman"/>
                <w:color w:val="auto"/>
                <w:lang w:val="en-US" w:eastAsia="zh-CN"/>
              </w:rPr>
              <w:t>2</w:t>
            </w:r>
            <w:r>
              <w:rPr>
                <w:rFonts w:hint="default" w:ascii="Times New Roman" w:hAnsi="Times New Roman" w:cs="Times New Roman"/>
                <w:color w:val="auto"/>
              </w:rPr>
              <w:t>）</w:t>
            </w:r>
            <w:r>
              <w:rPr>
                <w:color w:val="auto"/>
              </w:rPr>
              <w:t>主要原辅材料</w:t>
            </w:r>
            <w:r>
              <w:rPr>
                <w:rFonts w:hint="eastAsia"/>
                <w:color w:val="auto"/>
              </w:rPr>
              <w:t>成分</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szCs w:val="24"/>
                <w:lang w:val="en-US" w:eastAsia="zh-CN"/>
              </w:rPr>
              <w:t>根据企业提供的</w:t>
            </w:r>
            <w:r>
              <w:rPr>
                <w:rFonts w:hint="eastAsia" w:cs="Times New Roman"/>
                <w:color w:val="auto"/>
                <w:szCs w:val="24"/>
                <w:lang w:val="en-US" w:eastAsia="zh-CN"/>
              </w:rPr>
              <w:t>涂料</w:t>
            </w:r>
            <w:r>
              <w:rPr>
                <w:rFonts w:hint="default" w:ascii="Times New Roman" w:hAnsi="Times New Roman" w:cs="Times New Roman"/>
                <w:color w:val="auto"/>
                <w:szCs w:val="24"/>
                <w:lang w:val="en-US" w:eastAsia="zh-CN"/>
              </w:rPr>
              <w:t>（MSDS）安全技术说明书，其成分</w:t>
            </w:r>
            <w:r>
              <w:rPr>
                <w:rFonts w:hint="default" w:ascii="Times New Roman" w:hAnsi="Times New Roman" w:cs="Times New Roman"/>
                <w:color w:val="auto"/>
              </w:rPr>
              <w:t>见表</w:t>
            </w:r>
            <w:r>
              <w:rPr>
                <w:rFonts w:hint="default" w:ascii="Times New Roman" w:hAnsi="Times New Roman" w:cs="Times New Roman"/>
                <w:color w:val="auto"/>
                <w:lang w:val="en-US" w:eastAsia="zh-CN"/>
              </w:rPr>
              <w:t>2-</w:t>
            </w:r>
            <w:r>
              <w:rPr>
                <w:rFonts w:hint="eastAsia" w:cs="Times New Roman"/>
                <w:color w:val="auto"/>
                <w:lang w:val="en-US" w:eastAsia="zh-CN"/>
              </w:rPr>
              <w:t>6</w:t>
            </w:r>
            <w:r>
              <w:rPr>
                <w:rFonts w:hint="default" w:ascii="Times New Roman" w:hAnsi="Times New Roman" w:cs="Times New Roman"/>
                <w:color w:val="auto"/>
              </w:rPr>
              <w:t>。</w:t>
            </w:r>
          </w:p>
          <w:p>
            <w:pPr>
              <w:pStyle w:val="166"/>
              <w:rPr>
                <w:rFonts w:hint="default" w:eastAsia="宋体"/>
                <w:color w:val="auto"/>
                <w:sz w:val="24"/>
                <w:szCs w:val="24"/>
                <w:lang w:val="en-US" w:eastAsia="zh-CN"/>
              </w:rPr>
            </w:pPr>
            <w:r>
              <w:rPr>
                <w:rFonts w:hint="default" w:eastAsia="宋体"/>
                <w:color w:val="auto"/>
                <w:sz w:val="24"/>
                <w:szCs w:val="24"/>
                <w:lang w:val="en-US" w:eastAsia="zh-CN"/>
              </w:rPr>
              <w:t>表2-</w:t>
            </w:r>
            <w:r>
              <w:rPr>
                <w:rFonts w:hint="eastAsia" w:eastAsia="宋体"/>
                <w:color w:val="auto"/>
                <w:sz w:val="24"/>
                <w:szCs w:val="24"/>
                <w:lang w:val="en-US" w:eastAsia="zh-CN"/>
              </w:rPr>
              <w:t>6</w:t>
            </w:r>
            <w:r>
              <w:rPr>
                <w:rFonts w:hint="default" w:eastAsia="宋体"/>
                <w:color w:val="auto"/>
                <w:sz w:val="24"/>
                <w:szCs w:val="24"/>
                <w:lang w:val="en-US" w:eastAsia="zh-CN"/>
              </w:rPr>
              <w:t xml:space="preserve">  </w:t>
            </w:r>
            <w:r>
              <w:rPr>
                <w:rFonts w:hint="eastAsia" w:eastAsia="宋体"/>
                <w:color w:val="auto"/>
                <w:sz w:val="24"/>
                <w:szCs w:val="24"/>
                <w:lang w:val="en-US" w:eastAsia="zh-CN"/>
              </w:rPr>
              <w:t>涂料</w:t>
            </w:r>
            <w:r>
              <w:rPr>
                <w:rFonts w:hint="default" w:eastAsia="宋体"/>
                <w:color w:val="auto"/>
                <w:sz w:val="24"/>
                <w:szCs w:val="24"/>
                <w:lang w:val="en-US" w:eastAsia="zh-CN"/>
              </w:rPr>
              <w:t>主要成分列表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1350"/>
              <w:gridCol w:w="1349"/>
              <w:gridCol w:w="1360"/>
              <w:gridCol w:w="1094"/>
              <w:gridCol w:w="15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1350"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原料名称</w:t>
                  </w:r>
                </w:p>
              </w:tc>
              <w:tc>
                <w:tcPr>
                  <w:tcW w:w="1349"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成分</w:t>
                  </w:r>
                </w:p>
              </w:tc>
              <w:tc>
                <w:tcPr>
                  <w:tcW w:w="1360" w:type="dxa"/>
                  <w:vAlign w:val="center"/>
                </w:tcPr>
                <w:p>
                  <w:pPr>
                    <w:adjustRightInd w:val="0"/>
                    <w:snapToGrid w:val="0"/>
                    <w:jc w:val="center"/>
                    <w:rPr>
                      <w:rFonts w:hint="default" w:ascii="Times New Roman" w:hAnsi="Times New Roman" w:eastAsia="宋体" w:cs="Times New Roman"/>
                      <w:b/>
                      <w:bCs/>
                      <w:color w:val="auto"/>
                      <w:sz w:val="21"/>
                      <w:szCs w:val="21"/>
                      <w:lang w:val="en-US" w:eastAsia="zh-CN"/>
                    </w:rPr>
                  </w:pPr>
                  <w:r>
                    <w:rPr>
                      <w:rFonts w:hint="eastAsia" w:cs="Times New Roman"/>
                      <w:b/>
                      <w:bCs/>
                      <w:color w:val="auto"/>
                      <w:sz w:val="21"/>
                      <w:szCs w:val="21"/>
                      <w:lang w:val="en-US" w:eastAsia="zh-CN"/>
                    </w:rPr>
                    <w:t>CAS</w:t>
                  </w:r>
                </w:p>
              </w:tc>
              <w:tc>
                <w:tcPr>
                  <w:tcW w:w="1094"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比例%</w:t>
                  </w:r>
                </w:p>
              </w:tc>
              <w:tc>
                <w:tcPr>
                  <w:tcW w:w="1504"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本环评取值%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restart"/>
                  <w:vAlign w:val="center"/>
                </w:tcPr>
                <w:p>
                  <w:pPr>
                    <w:adjustRightInd w:val="0"/>
                    <w:snapToGrid w:val="0"/>
                    <w:jc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val="en-US" w:eastAsia="zh-CN"/>
                    </w:rPr>
                    <w:t>1</w:t>
                  </w:r>
                </w:p>
              </w:tc>
              <w:tc>
                <w:tcPr>
                  <w:tcW w:w="1350" w:type="dxa"/>
                  <w:vMerge w:val="restart"/>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HCH-10外防腐无溶剂环氧防腐涂料</w:t>
                  </w:r>
                </w:p>
              </w:tc>
              <w:tc>
                <w:tcPr>
                  <w:tcW w:w="1349"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环氧树脂</w:t>
                  </w:r>
                </w:p>
              </w:tc>
              <w:tc>
                <w:tcPr>
                  <w:tcW w:w="1360" w:type="dxa"/>
                  <w:vAlign w:val="center"/>
                </w:tcPr>
                <w:p>
                  <w:pPr>
                    <w:widowControl/>
                    <w:jc w:val="center"/>
                    <w:rPr>
                      <w:rFonts w:hint="default" w:cs="Times New Roman"/>
                      <w:color w:val="auto"/>
                      <w:sz w:val="21"/>
                      <w:szCs w:val="21"/>
                      <w:lang w:val="en-US" w:eastAsia="zh-CN"/>
                    </w:rPr>
                  </w:pPr>
                  <w:r>
                    <w:rPr>
                      <w:rFonts w:hint="eastAsia" w:cs="Times New Roman"/>
                      <w:color w:val="auto"/>
                      <w:sz w:val="21"/>
                      <w:szCs w:val="21"/>
                      <w:lang w:val="en-US" w:eastAsia="zh-CN"/>
                    </w:rPr>
                    <w:t>63148-69-6</w:t>
                  </w:r>
                </w:p>
              </w:tc>
              <w:tc>
                <w:tcPr>
                  <w:tcW w:w="1094"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15-40</w:t>
                  </w:r>
                </w:p>
              </w:tc>
              <w:tc>
                <w:tcPr>
                  <w:tcW w:w="1504"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50"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49"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二甲苯</w:t>
                  </w:r>
                </w:p>
              </w:tc>
              <w:tc>
                <w:tcPr>
                  <w:tcW w:w="1360" w:type="dxa"/>
                  <w:vAlign w:val="center"/>
                </w:tcPr>
                <w:p>
                  <w:pPr>
                    <w:widowControl/>
                    <w:jc w:val="center"/>
                    <w:rPr>
                      <w:rFonts w:hint="default" w:cs="Times New Roman"/>
                      <w:color w:val="auto"/>
                      <w:sz w:val="21"/>
                      <w:szCs w:val="21"/>
                      <w:lang w:val="en-US" w:eastAsia="zh-CN"/>
                    </w:rPr>
                  </w:pPr>
                  <w:r>
                    <w:rPr>
                      <w:rFonts w:hint="eastAsia" w:cs="Times New Roman"/>
                      <w:color w:val="auto"/>
                      <w:sz w:val="21"/>
                      <w:szCs w:val="21"/>
                      <w:lang w:val="en-US" w:eastAsia="zh-CN"/>
                    </w:rPr>
                    <w:t>001330-20-7</w:t>
                  </w:r>
                </w:p>
              </w:tc>
              <w:tc>
                <w:tcPr>
                  <w:tcW w:w="1094"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w:t>
                  </w:r>
                </w:p>
              </w:tc>
              <w:tc>
                <w:tcPr>
                  <w:tcW w:w="1504"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50"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49"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颜料</w:t>
                  </w:r>
                </w:p>
              </w:tc>
              <w:tc>
                <w:tcPr>
                  <w:tcW w:w="1360" w:type="dxa"/>
                  <w:vAlign w:val="center"/>
                </w:tcPr>
                <w:p>
                  <w:pPr>
                    <w:widowControl/>
                    <w:jc w:val="center"/>
                    <w:rPr>
                      <w:rFonts w:hint="default" w:cs="Times New Roman"/>
                      <w:color w:val="auto"/>
                      <w:sz w:val="21"/>
                      <w:szCs w:val="21"/>
                      <w:lang w:val="en-US" w:eastAsia="zh-CN"/>
                    </w:rPr>
                  </w:pPr>
                  <w:r>
                    <w:rPr>
                      <w:rFonts w:hint="eastAsia" w:cs="Times New Roman"/>
                      <w:color w:val="auto"/>
                      <w:sz w:val="21"/>
                      <w:szCs w:val="21"/>
                      <w:lang w:val="en-US" w:eastAsia="zh-CN"/>
                    </w:rPr>
                    <w:t>/</w:t>
                  </w:r>
                </w:p>
              </w:tc>
              <w:tc>
                <w:tcPr>
                  <w:tcW w:w="1094"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1-20</w:t>
                  </w:r>
                </w:p>
              </w:tc>
              <w:tc>
                <w:tcPr>
                  <w:tcW w:w="1504" w:type="dxa"/>
                  <w:vAlign w:val="center"/>
                </w:tcPr>
                <w:p>
                  <w:pPr>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50"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49"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硫酸钡</w:t>
                  </w:r>
                </w:p>
              </w:tc>
              <w:tc>
                <w:tcPr>
                  <w:tcW w:w="1360" w:type="dxa"/>
                  <w:vAlign w:val="center"/>
                </w:tcPr>
                <w:p>
                  <w:pPr>
                    <w:widowControl/>
                    <w:jc w:val="center"/>
                    <w:rPr>
                      <w:rFonts w:hint="default" w:cs="Times New Roman"/>
                      <w:color w:val="auto"/>
                      <w:sz w:val="21"/>
                      <w:szCs w:val="21"/>
                      <w:lang w:val="en-US" w:eastAsia="zh-CN"/>
                    </w:rPr>
                  </w:pPr>
                  <w:r>
                    <w:rPr>
                      <w:rFonts w:hint="eastAsia" w:cs="Times New Roman"/>
                      <w:color w:val="auto"/>
                      <w:sz w:val="21"/>
                      <w:szCs w:val="21"/>
                      <w:lang w:val="en-US" w:eastAsia="zh-CN"/>
                    </w:rPr>
                    <w:t>7727-43-7</w:t>
                  </w:r>
                </w:p>
              </w:tc>
              <w:tc>
                <w:tcPr>
                  <w:tcW w:w="1094"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10-40</w:t>
                  </w:r>
                </w:p>
              </w:tc>
              <w:tc>
                <w:tcPr>
                  <w:tcW w:w="1504" w:type="dxa"/>
                  <w:vAlign w:val="center"/>
                </w:tcPr>
                <w:p>
                  <w:pPr>
                    <w:jc w:val="center"/>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restart"/>
                  <w:vAlign w:val="center"/>
                </w:tcPr>
                <w:p>
                  <w:pPr>
                    <w:adjustRightInd w:val="0"/>
                    <w:snapToGrid w:val="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w:t>
                  </w:r>
                </w:p>
              </w:tc>
              <w:tc>
                <w:tcPr>
                  <w:tcW w:w="1350" w:type="dxa"/>
                  <w:vMerge w:val="restart"/>
                  <w:vAlign w:val="center"/>
                </w:tcPr>
                <w:p>
                  <w:pPr>
                    <w:adjustRightInd w:val="0"/>
                    <w:snapToGrid w:val="0"/>
                    <w:jc w:val="center"/>
                    <w:rPr>
                      <w:rFonts w:hint="default" w:ascii="Times New Roman" w:hAnsi="Times New Roman" w:cs="Times New Roman"/>
                      <w:color w:val="auto"/>
                      <w:sz w:val="21"/>
                      <w:szCs w:val="21"/>
                    </w:rPr>
                  </w:pPr>
                  <w:r>
                    <w:rPr>
                      <w:rFonts w:hint="eastAsia"/>
                      <w:color w:val="auto"/>
                      <w:sz w:val="21"/>
                      <w:szCs w:val="21"/>
                      <w:lang w:val="en-US" w:eastAsia="zh-CN"/>
                    </w:rPr>
                    <w:t>NT102内防腐无溶剂环氧树脂涂料</w:t>
                  </w:r>
                </w:p>
              </w:tc>
              <w:tc>
                <w:tcPr>
                  <w:tcW w:w="1349"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环氧树脂</w:t>
                  </w:r>
                </w:p>
              </w:tc>
              <w:tc>
                <w:tcPr>
                  <w:tcW w:w="1360"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63148-69-6</w:t>
                  </w:r>
                </w:p>
              </w:tc>
              <w:tc>
                <w:tcPr>
                  <w:tcW w:w="109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15-30</w:t>
                  </w:r>
                </w:p>
              </w:tc>
              <w:tc>
                <w:tcPr>
                  <w:tcW w:w="150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50"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49"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二甲苯</w:t>
                  </w:r>
                </w:p>
              </w:tc>
              <w:tc>
                <w:tcPr>
                  <w:tcW w:w="1360"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001330-20-7</w:t>
                  </w:r>
                </w:p>
              </w:tc>
              <w:tc>
                <w:tcPr>
                  <w:tcW w:w="109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0-5</w:t>
                  </w:r>
                </w:p>
              </w:tc>
              <w:tc>
                <w:tcPr>
                  <w:tcW w:w="150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50"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49"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钛白粉</w:t>
                  </w:r>
                </w:p>
              </w:tc>
              <w:tc>
                <w:tcPr>
                  <w:tcW w:w="1360"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w:t>
                  </w:r>
                </w:p>
              </w:tc>
              <w:tc>
                <w:tcPr>
                  <w:tcW w:w="109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5-30</w:t>
                  </w:r>
                </w:p>
              </w:tc>
              <w:tc>
                <w:tcPr>
                  <w:tcW w:w="150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14"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50"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349"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硫酸钡</w:t>
                  </w:r>
                </w:p>
              </w:tc>
              <w:tc>
                <w:tcPr>
                  <w:tcW w:w="1360"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7727-43-7</w:t>
                  </w:r>
                </w:p>
              </w:tc>
              <w:tc>
                <w:tcPr>
                  <w:tcW w:w="109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10-40</w:t>
                  </w:r>
                </w:p>
              </w:tc>
              <w:tc>
                <w:tcPr>
                  <w:tcW w:w="1504"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35</w:t>
                  </w:r>
                </w:p>
              </w:tc>
            </w:tr>
          </w:tbl>
          <w:p>
            <w:pPr>
              <w:spacing w:line="240" w:lineRule="auto"/>
              <w:rPr>
                <w:rFonts w:hint="default" w:ascii="Times New Roman" w:hAnsi="Times New Roman" w:cs="Times New Roman"/>
                <w:color w:val="FF0000"/>
              </w:rPr>
            </w:pPr>
          </w:p>
          <w:p>
            <w:pPr>
              <w:pStyle w:val="14"/>
              <w:rPr>
                <w:rFonts w:hint="default"/>
              </w:rPr>
            </w:pPr>
          </w:p>
          <w:p>
            <w:pPr>
              <w:spacing w:line="360" w:lineRule="auto"/>
              <w:ind w:firstLine="480" w:firstLineChars="200"/>
              <w:rPr>
                <w:color w:val="auto"/>
              </w:rPr>
            </w:pPr>
            <w:r>
              <w:rPr>
                <w:color w:val="auto"/>
              </w:rPr>
              <w:t>本项目</w:t>
            </w:r>
            <w:r>
              <w:rPr>
                <w:rFonts w:hint="eastAsia"/>
                <w:color w:val="auto"/>
              </w:rPr>
              <w:t>油漆VOC含量符合性分析详见下表</w:t>
            </w:r>
            <w:r>
              <w:rPr>
                <w:color w:val="auto"/>
              </w:rPr>
              <w:t>。</w:t>
            </w:r>
          </w:p>
          <w:p>
            <w:pPr>
              <w:pStyle w:val="166"/>
              <w:rPr>
                <w:rFonts w:hint="eastAsia" w:eastAsia="宋体"/>
                <w:color w:val="auto"/>
                <w:sz w:val="24"/>
                <w:szCs w:val="24"/>
                <w:lang w:val="en-US" w:eastAsia="zh-CN"/>
              </w:rPr>
            </w:pPr>
            <w:r>
              <w:rPr>
                <w:rFonts w:hint="eastAsia" w:eastAsia="宋体"/>
                <w:color w:val="auto"/>
                <w:sz w:val="24"/>
                <w:szCs w:val="24"/>
                <w:lang w:val="en-US" w:eastAsia="zh-CN"/>
              </w:rPr>
              <w:t>表2-7  油漆VOC含量符合性一览表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1"/>
              <w:gridCol w:w="1183"/>
              <w:gridCol w:w="899"/>
              <w:gridCol w:w="1036"/>
              <w:gridCol w:w="993"/>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31" w:type="dxa"/>
                  <w:vAlign w:val="center"/>
                </w:tcPr>
                <w:p>
                  <w:pPr>
                    <w:adjustRightInd w:val="0"/>
                    <w:snapToGrid w:val="0"/>
                    <w:jc w:val="center"/>
                    <w:rPr>
                      <w:b/>
                      <w:bCs/>
                      <w:color w:val="auto"/>
                      <w:sz w:val="21"/>
                      <w:szCs w:val="21"/>
                    </w:rPr>
                  </w:pPr>
                  <w:r>
                    <w:rPr>
                      <w:b/>
                      <w:bCs/>
                      <w:color w:val="auto"/>
                      <w:sz w:val="21"/>
                      <w:szCs w:val="21"/>
                    </w:rPr>
                    <w:t>物料名称</w:t>
                  </w:r>
                </w:p>
              </w:tc>
              <w:tc>
                <w:tcPr>
                  <w:tcW w:w="1183" w:type="dxa"/>
                  <w:vAlign w:val="center"/>
                </w:tcPr>
                <w:p>
                  <w:pPr>
                    <w:adjustRightInd w:val="0"/>
                    <w:snapToGrid w:val="0"/>
                    <w:jc w:val="center"/>
                    <w:rPr>
                      <w:b/>
                      <w:bCs/>
                      <w:color w:val="auto"/>
                      <w:sz w:val="21"/>
                      <w:szCs w:val="21"/>
                    </w:rPr>
                  </w:pPr>
                  <w:r>
                    <w:rPr>
                      <w:rFonts w:hint="eastAsia"/>
                      <w:b/>
                      <w:bCs/>
                      <w:color w:val="auto"/>
                      <w:sz w:val="21"/>
                      <w:szCs w:val="21"/>
                      <w:lang w:val="en-US" w:eastAsia="zh-CN"/>
                    </w:rPr>
                    <w:t>挥发</w:t>
                  </w:r>
                  <w:r>
                    <w:rPr>
                      <w:b/>
                      <w:bCs/>
                      <w:color w:val="auto"/>
                      <w:sz w:val="21"/>
                      <w:szCs w:val="21"/>
                    </w:rPr>
                    <w:t>成分</w:t>
                  </w:r>
                </w:p>
              </w:tc>
              <w:tc>
                <w:tcPr>
                  <w:tcW w:w="899" w:type="dxa"/>
                  <w:vAlign w:val="center"/>
                </w:tcPr>
                <w:p>
                  <w:pPr>
                    <w:adjustRightInd w:val="0"/>
                    <w:snapToGrid w:val="0"/>
                    <w:jc w:val="center"/>
                    <w:rPr>
                      <w:b/>
                      <w:bCs/>
                      <w:color w:val="auto"/>
                      <w:sz w:val="21"/>
                      <w:szCs w:val="21"/>
                    </w:rPr>
                  </w:pPr>
                  <w:r>
                    <w:rPr>
                      <w:b/>
                      <w:bCs/>
                      <w:color w:val="auto"/>
                      <w:sz w:val="21"/>
                      <w:szCs w:val="21"/>
                    </w:rPr>
                    <w:t>密度</w:t>
                  </w:r>
                </w:p>
              </w:tc>
              <w:tc>
                <w:tcPr>
                  <w:tcW w:w="1036" w:type="dxa"/>
                  <w:vAlign w:val="center"/>
                </w:tcPr>
                <w:p>
                  <w:pPr>
                    <w:adjustRightInd w:val="0"/>
                    <w:snapToGrid w:val="0"/>
                    <w:jc w:val="center"/>
                    <w:rPr>
                      <w:b/>
                      <w:bCs/>
                      <w:color w:val="auto"/>
                      <w:sz w:val="21"/>
                      <w:szCs w:val="21"/>
                    </w:rPr>
                  </w:pPr>
                  <w:r>
                    <w:rPr>
                      <w:rFonts w:hint="eastAsia"/>
                      <w:b/>
                      <w:bCs/>
                      <w:color w:val="auto"/>
                      <w:sz w:val="21"/>
                      <w:szCs w:val="21"/>
                    </w:rPr>
                    <w:t>VOCs含量</w:t>
                  </w:r>
                </w:p>
              </w:tc>
              <w:tc>
                <w:tcPr>
                  <w:tcW w:w="993" w:type="dxa"/>
                  <w:vAlign w:val="center"/>
                </w:tcPr>
                <w:p>
                  <w:pPr>
                    <w:adjustRightInd w:val="0"/>
                    <w:snapToGrid w:val="0"/>
                    <w:jc w:val="center"/>
                    <w:rPr>
                      <w:b/>
                      <w:bCs/>
                      <w:color w:val="auto"/>
                      <w:sz w:val="21"/>
                      <w:szCs w:val="21"/>
                    </w:rPr>
                  </w:pPr>
                  <w:r>
                    <w:rPr>
                      <w:b/>
                      <w:bCs/>
                      <w:color w:val="auto"/>
                      <w:sz w:val="21"/>
                      <w:szCs w:val="21"/>
                    </w:rPr>
                    <w:t>限值</w:t>
                  </w:r>
                </w:p>
              </w:tc>
              <w:tc>
                <w:tcPr>
                  <w:tcW w:w="1529" w:type="dxa"/>
                  <w:vAlign w:val="center"/>
                </w:tcPr>
                <w:p>
                  <w:pPr>
                    <w:adjustRightInd w:val="0"/>
                    <w:snapToGrid w:val="0"/>
                    <w:jc w:val="center"/>
                    <w:rPr>
                      <w:b/>
                      <w:bCs/>
                      <w:color w:val="auto"/>
                      <w:sz w:val="21"/>
                      <w:szCs w:val="21"/>
                    </w:rPr>
                  </w:pPr>
                  <w:r>
                    <w:rPr>
                      <w:b/>
                      <w:bCs/>
                      <w:color w:val="auto"/>
                      <w:sz w:val="21"/>
                      <w:szCs w:val="21"/>
                    </w:rPr>
                    <w:t>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1731" w:type="dxa"/>
                  <w:vAlign w:val="center"/>
                </w:tcPr>
                <w:p>
                  <w:pPr>
                    <w:jc w:val="center"/>
                    <w:rPr>
                      <w:bCs/>
                      <w:color w:val="auto"/>
                      <w:sz w:val="21"/>
                      <w:szCs w:val="21"/>
                    </w:rPr>
                  </w:pPr>
                  <w:r>
                    <w:rPr>
                      <w:rFonts w:hint="eastAsia"/>
                      <w:color w:val="auto"/>
                      <w:sz w:val="21"/>
                      <w:szCs w:val="21"/>
                      <w:lang w:val="en-US" w:eastAsia="zh-CN"/>
                    </w:rPr>
                    <w:t>HCH-10外防腐无溶剂环氧防腐涂料</w:t>
                  </w:r>
                </w:p>
              </w:tc>
              <w:tc>
                <w:tcPr>
                  <w:tcW w:w="1183" w:type="dxa"/>
                  <w:vAlign w:val="center"/>
                </w:tcPr>
                <w:p>
                  <w:pPr>
                    <w:adjustRightInd w:val="0"/>
                    <w:snapToGrid w:val="0"/>
                    <w:jc w:val="center"/>
                    <w:rPr>
                      <w:rFonts w:hint="eastAsia" w:eastAsia="宋体"/>
                      <w:bCs/>
                      <w:color w:val="auto"/>
                      <w:sz w:val="21"/>
                      <w:szCs w:val="21"/>
                      <w:lang w:val="en-US" w:eastAsia="zh-CN"/>
                    </w:rPr>
                  </w:pPr>
                  <w:r>
                    <w:rPr>
                      <w:rFonts w:hint="eastAsia" w:cs="Times New Roman"/>
                      <w:color w:val="auto"/>
                      <w:sz w:val="21"/>
                      <w:szCs w:val="21"/>
                      <w:lang w:val="en-US" w:eastAsia="zh-CN"/>
                    </w:rPr>
                    <w:t>二甲苯</w:t>
                  </w:r>
                </w:p>
              </w:tc>
              <w:tc>
                <w:tcPr>
                  <w:tcW w:w="899" w:type="dxa"/>
                  <w:vAlign w:val="center"/>
                </w:tcPr>
                <w:p>
                  <w:pPr>
                    <w:adjustRightInd w:val="0"/>
                    <w:snapToGrid w:val="0"/>
                    <w:jc w:val="center"/>
                    <w:rPr>
                      <w:bCs/>
                      <w:color w:val="auto"/>
                      <w:sz w:val="21"/>
                      <w:szCs w:val="21"/>
                    </w:rPr>
                  </w:pPr>
                  <w:r>
                    <w:rPr>
                      <w:bCs/>
                      <w:color w:val="auto"/>
                      <w:sz w:val="21"/>
                      <w:szCs w:val="21"/>
                    </w:rPr>
                    <w:t>1.</w:t>
                  </w:r>
                  <w:r>
                    <w:rPr>
                      <w:rFonts w:hint="eastAsia"/>
                      <w:bCs/>
                      <w:color w:val="auto"/>
                      <w:sz w:val="21"/>
                      <w:szCs w:val="21"/>
                      <w:lang w:val="en-US" w:eastAsia="zh-CN"/>
                    </w:rPr>
                    <w:t>2</w:t>
                  </w:r>
                  <w:r>
                    <w:rPr>
                      <w:bCs/>
                      <w:color w:val="auto"/>
                      <w:sz w:val="21"/>
                      <w:szCs w:val="21"/>
                    </w:rPr>
                    <w:t>kg/L</w:t>
                  </w:r>
                </w:p>
              </w:tc>
              <w:tc>
                <w:tcPr>
                  <w:tcW w:w="1036" w:type="dxa"/>
                  <w:vAlign w:val="center"/>
                </w:tcPr>
                <w:p>
                  <w:pPr>
                    <w:adjustRightInd w:val="0"/>
                    <w:snapToGrid w:val="0"/>
                    <w:jc w:val="center"/>
                    <w:rPr>
                      <w:bCs/>
                      <w:color w:val="auto"/>
                      <w:sz w:val="21"/>
                      <w:szCs w:val="21"/>
                    </w:rPr>
                  </w:pPr>
                  <w:r>
                    <w:rPr>
                      <w:rFonts w:hint="eastAsia" w:cs="Times New Roman"/>
                      <w:color w:val="auto"/>
                      <w:sz w:val="21"/>
                      <w:szCs w:val="21"/>
                      <w:lang w:val="en-US" w:eastAsia="zh-CN"/>
                    </w:rPr>
                    <w:t>36</w:t>
                  </w:r>
                  <w:r>
                    <w:rPr>
                      <w:rFonts w:hint="eastAsia" w:ascii="Times New Roman" w:hAnsi="Times New Roman" w:eastAsia="宋体" w:cs="Times New Roman"/>
                      <w:color w:val="auto"/>
                      <w:sz w:val="21"/>
                      <w:szCs w:val="21"/>
                      <w:lang w:val="en-US" w:eastAsia="zh-CN"/>
                    </w:rPr>
                    <w:t>g/L</w:t>
                  </w:r>
                </w:p>
              </w:tc>
              <w:tc>
                <w:tcPr>
                  <w:tcW w:w="993" w:type="dxa"/>
                  <w:vAlign w:val="center"/>
                </w:tcPr>
                <w:p>
                  <w:pPr>
                    <w:adjustRightInd w:val="0"/>
                    <w:snapToGrid w:val="0"/>
                    <w:jc w:val="center"/>
                    <w:rPr>
                      <w:bCs/>
                      <w:color w:val="auto"/>
                      <w:sz w:val="21"/>
                      <w:szCs w:val="21"/>
                    </w:rPr>
                  </w:pPr>
                  <w:r>
                    <w:rPr>
                      <w:bCs/>
                      <w:color w:val="auto"/>
                      <w:sz w:val="21"/>
                      <w:szCs w:val="21"/>
                    </w:rPr>
                    <w:t>≤</w:t>
                  </w:r>
                  <w:r>
                    <w:rPr>
                      <w:rFonts w:hint="eastAsia"/>
                      <w:bCs/>
                      <w:color w:val="auto"/>
                      <w:sz w:val="21"/>
                      <w:szCs w:val="21"/>
                      <w:lang w:val="en-US" w:eastAsia="zh-CN"/>
                    </w:rPr>
                    <w:t>6</w:t>
                  </w:r>
                  <w:r>
                    <w:rPr>
                      <w:rFonts w:hint="eastAsia"/>
                      <w:bCs/>
                      <w:color w:val="auto"/>
                      <w:sz w:val="21"/>
                      <w:szCs w:val="21"/>
                    </w:rPr>
                    <w:t>0g/L</w:t>
                  </w:r>
                </w:p>
              </w:tc>
              <w:tc>
                <w:tcPr>
                  <w:tcW w:w="1529" w:type="dxa"/>
                  <w:vMerge w:val="restart"/>
                  <w:vAlign w:val="center"/>
                </w:tcPr>
                <w:p>
                  <w:pPr>
                    <w:adjustRightInd w:val="0"/>
                    <w:snapToGrid w:val="0"/>
                    <w:jc w:val="center"/>
                    <w:rPr>
                      <w:bCs/>
                      <w:color w:val="auto"/>
                      <w:sz w:val="21"/>
                      <w:szCs w:val="21"/>
                    </w:rPr>
                  </w:pPr>
                  <w:r>
                    <w:rPr>
                      <w:rFonts w:hint="eastAsia"/>
                      <w:bCs/>
                      <w:color w:val="auto"/>
                      <w:sz w:val="21"/>
                      <w:szCs w:val="21"/>
                    </w:rPr>
                    <w:t>《</w:t>
                  </w:r>
                  <w:r>
                    <w:rPr>
                      <w:bCs/>
                      <w:color w:val="auto"/>
                      <w:sz w:val="21"/>
                      <w:szCs w:val="21"/>
                    </w:rPr>
                    <w:t>低挥发性有机化合物含量涂料产品技术要求》(GB/T38597-2020)</w:t>
                  </w:r>
                  <w:r>
                    <w:rPr>
                      <w:rFonts w:hint="eastAsia"/>
                      <w:bCs/>
                      <w:color w:val="auto"/>
                      <w:sz w:val="21"/>
                      <w:szCs w:val="21"/>
                      <w:lang w:val="en-US" w:eastAsia="zh-CN"/>
                    </w:rPr>
                    <w:t>无溶剂涂料</w:t>
                  </w:r>
                  <w:r>
                    <w:rPr>
                      <w:bCs/>
                      <w:color w:val="auto"/>
                      <w:sz w:val="21"/>
                      <w:szCs w:val="21"/>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1731" w:type="dxa"/>
                  <w:vAlign w:val="center"/>
                </w:tcPr>
                <w:p>
                  <w:pPr>
                    <w:adjustRightInd w:val="0"/>
                    <w:snapToGrid w:val="0"/>
                    <w:jc w:val="center"/>
                    <w:rPr>
                      <w:rFonts w:hint="eastAsia"/>
                      <w:color w:val="auto"/>
                      <w:sz w:val="21"/>
                      <w:szCs w:val="21"/>
                    </w:rPr>
                  </w:pPr>
                  <w:r>
                    <w:rPr>
                      <w:rFonts w:hint="eastAsia"/>
                      <w:color w:val="auto"/>
                      <w:sz w:val="21"/>
                      <w:szCs w:val="21"/>
                      <w:lang w:val="en-US" w:eastAsia="zh-CN"/>
                    </w:rPr>
                    <w:t>NT102内防腐无溶剂环氧树脂涂料</w:t>
                  </w:r>
                </w:p>
              </w:tc>
              <w:tc>
                <w:tcPr>
                  <w:tcW w:w="1183" w:type="dxa"/>
                  <w:vAlign w:val="center"/>
                </w:tcPr>
                <w:p>
                  <w:pPr>
                    <w:adjustRightInd w:val="0"/>
                    <w:snapToGrid w:val="0"/>
                    <w:jc w:val="center"/>
                    <w:rPr>
                      <w:rFonts w:hint="default" w:ascii="Times New Roman" w:hAnsi="Times New Roman" w:eastAsia="宋体" w:cs="Times New Roman"/>
                      <w:bCs/>
                      <w:color w:val="auto"/>
                      <w:kern w:val="2"/>
                      <w:sz w:val="21"/>
                      <w:szCs w:val="21"/>
                      <w:lang w:val="en-US" w:eastAsia="zh-CN" w:bidi="ar-SA"/>
                    </w:rPr>
                  </w:pPr>
                  <w:r>
                    <w:rPr>
                      <w:rFonts w:hint="eastAsia" w:cs="Times New Roman"/>
                      <w:color w:val="auto"/>
                      <w:sz w:val="21"/>
                      <w:szCs w:val="21"/>
                      <w:lang w:val="en-US" w:eastAsia="zh-CN"/>
                    </w:rPr>
                    <w:t>二甲苯</w:t>
                  </w:r>
                </w:p>
              </w:tc>
              <w:tc>
                <w:tcPr>
                  <w:tcW w:w="899" w:type="dxa"/>
                  <w:vAlign w:val="center"/>
                </w:tcPr>
                <w:p>
                  <w:pPr>
                    <w:adjustRightInd w:val="0"/>
                    <w:snapToGrid w:val="0"/>
                    <w:jc w:val="center"/>
                    <w:rPr>
                      <w:rFonts w:ascii="Times New Roman" w:hAnsi="Times New Roman" w:eastAsia="宋体" w:cs="Times New Roman"/>
                      <w:bCs/>
                      <w:color w:val="auto"/>
                      <w:kern w:val="2"/>
                      <w:sz w:val="21"/>
                      <w:szCs w:val="21"/>
                      <w:lang w:val="en-US" w:eastAsia="zh-CN" w:bidi="ar-SA"/>
                    </w:rPr>
                  </w:pPr>
                  <w:r>
                    <w:rPr>
                      <w:bCs/>
                      <w:color w:val="auto"/>
                      <w:sz w:val="21"/>
                      <w:szCs w:val="21"/>
                    </w:rPr>
                    <w:t>1.</w:t>
                  </w:r>
                  <w:r>
                    <w:rPr>
                      <w:rFonts w:hint="eastAsia"/>
                      <w:bCs/>
                      <w:color w:val="auto"/>
                      <w:sz w:val="21"/>
                      <w:szCs w:val="21"/>
                      <w:lang w:val="en-US" w:eastAsia="zh-CN"/>
                    </w:rPr>
                    <w:t>2</w:t>
                  </w:r>
                  <w:r>
                    <w:rPr>
                      <w:bCs/>
                      <w:color w:val="auto"/>
                      <w:sz w:val="21"/>
                      <w:szCs w:val="21"/>
                    </w:rPr>
                    <w:t>kg/L</w:t>
                  </w:r>
                </w:p>
              </w:tc>
              <w:tc>
                <w:tcPr>
                  <w:tcW w:w="1036" w:type="dxa"/>
                  <w:vAlign w:val="center"/>
                </w:tcPr>
                <w:p>
                  <w:pPr>
                    <w:adjustRightInd w:val="0"/>
                    <w:snapToGrid w:val="0"/>
                    <w:jc w:val="center"/>
                    <w:rPr>
                      <w:rFonts w:hint="eastAsia"/>
                      <w:bCs/>
                      <w:color w:val="auto"/>
                      <w:sz w:val="21"/>
                      <w:szCs w:val="21"/>
                    </w:rPr>
                  </w:pPr>
                  <w:r>
                    <w:rPr>
                      <w:rFonts w:hint="eastAsia" w:cs="Times New Roman"/>
                      <w:color w:val="auto"/>
                      <w:sz w:val="21"/>
                      <w:szCs w:val="21"/>
                      <w:lang w:val="en-US" w:eastAsia="zh-CN"/>
                    </w:rPr>
                    <w:t>60</w:t>
                  </w:r>
                  <w:r>
                    <w:rPr>
                      <w:rFonts w:hint="eastAsia" w:ascii="Times New Roman" w:hAnsi="Times New Roman" w:eastAsia="宋体" w:cs="Times New Roman"/>
                      <w:color w:val="auto"/>
                      <w:sz w:val="21"/>
                      <w:szCs w:val="21"/>
                      <w:lang w:val="en-US" w:eastAsia="zh-CN"/>
                    </w:rPr>
                    <w:t>g/L</w:t>
                  </w:r>
                </w:p>
              </w:tc>
              <w:tc>
                <w:tcPr>
                  <w:tcW w:w="993" w:type="dxa"/>
                  <w:vAlign w:val="center"/>
                </w:tcPr>
                <w:p>
                  <w:pPr>
                    <w:adjustRightInd w:val="0"/>
                    <w:snapToGrid w:val="0"/>
                    <w:jc w:val="center"/>
                    <w:rPr>
                      <w:bCs/>
                      <w:color w:val="auto"/>
                      <w:sz w:val="21"/>
                      <w:szCs w:val="21"/>
                    </w:rPr>
                  </w:pPr>
                  <w:r>
                    <w:rPr>
                      <w:bCs/>
                      <w:color w:val="auto"/>
                      <w:sz w:val="21"/>
                      <w:szCs w:val="21"/>
                    </w:rPr>
                    <w:t>≤</w:t>
                  </w:r>
                  <w:r>
                    <w:rPr>
                      <w:rFonts w:hint="eastAsia"/>
                      <w:bCs/>
                      <w:color w:val="auto"/>
                      <w:sz w:val="21"/>
                      <w:szCs w:val="21"/>
                      <w:lang w:val="en-US" w:eastAsia="zh-CN"/>
                    </w:rPr>
                    <w:t>6</w:t>
                  </w:r>
                  <w:r>
                    <w:rPr>
                      <w:rFonts w:hint="eastAsia"/>
                      <w:bCs/>
                      <w:color w:val="auto"/>
                      <w:sz w:val="21"/>
                      <w:szCs w:val="21"/>
                    </w:rPr>
                    <w:t>0g/L</w:t>
                  </w:r>
                </w:p>
              </w:tc>
              <w:tc>
                <w:tcPr>
                  <w:tcW w:w="1529" w:type="dxa"/>
                  <w:vMerge w:val="continue"/>
                  <w:vAlign w:val="center"/>
                </w:tcPr>
                <w:p>
                  <w:pPr>
                    <w:adjustRightInd w:val="0"/>
                    <w:snapToGrid w:val="0"/>
                    <w:jc w:val="center"/>
                    <w:rPr>
                      <w:rFonts w:hint="eastAsia"/>
                      <w:bCs/>
                      <w:color w:val="auto"/>
                      <w:sz w:val="21"/>
                      <w:szCs w:val="21"/>
                    </w:rPr>
                  </w:pPr>
                </w:p>
              </w:tc>
            </w:tr>
          </w:tbl>
          <w:p>
            <w:pPr>
              <w:rPr>
                <w:rFonts w:hint="default" w:ascii="Times New Roman" w:hAnsi="Times New Roman" w:cs="Times New Roman"/>
                <w:color w:val="FF0000"/>
              </w:rPr>
            </w:pPr>
          </w:p>
          <w:p>
            <w:pPr>
              <w:spacing w:line="360" w:lineRule="auto"/>
              <w:ind w:firstLine="480" w:firstLineChars="200"/>
              <w:rPr>
                <w:color w:val="auto"/>
                <w:szCs w:val="24"/>
              </w:rPr>
            </w:pPr>
            <w:r>
              <w:rPr>
                <w:rFonts w:hint="eastAsia"/>
                <w:color w:val="auto"/>
                <w:szCs w:val="24"/>
                <w:lang w:val="en-US" w:eastAsia="zh-CN"/>
              </w:rPr>
              <w:t>3</w:t>
            </w:r>
            <w:r>
              <w:rPr>
                <w:rFonts w:hint="eastAsia"/>
                <w:color w:val="auto"/>
                <w:szCs w:val="24"/>
              </w:rPr>
              <w:t>）</w:t>
            </w:r>
            <w:r>
              <w:rPr>
                <w:rFonts w:hint="eastAsia"/>
                <w:color w:val="auto"/>
                <w:szCs w:val="24"/>
                <w:lang w:val="en-US" w:eastAsia="zh-CN"/>
              </w:rPr>
              <w:t>部分原料</w:t>
            </w:r>
            <w:r>
              <w:rPr>
                <w:color w:val="auto"/>
                <w:szCs w:val="24"/>
              </w:rPr>
              <w:t>使用量核算</w:t>
            </w:r>
          </w:p>
          <w:p>
            <w:pPr>
              <w:spacing w:line="360" w:lineRule="auto"/>
              <w:ind w:firstLine="480" w:firstLineChars="200"/>
              <w:rPr>
                <w:color w:val="auto"/>
                <w:szCs w:val="24"/>
              </w:rPr>
            </w:pPr>
            <w:r>
              <w:rPr>
                <w:rFonts w:hint="eastAsia"/>
                <w:color w:val="auto"/>
                <w:szCs w:val="24"/>
                <w:lang w:val="en-US" w:eastAsia="zh-CN"/>
              </w:rPr>
              <w:t>本项目合计需喷涂的工件量为4.5万吨，根据企业提供的资料计算平均每吨产品需喷涂的面积约为20.5平方，即总喷涂面积为922500平方，其中40%的产品需要油漆，60%的产品需要喷塑。</w:t>
            </w:r>
            <w:r>
              <w:rPr>
                <w:rFonts w:hint="eastAsia"/>
                <w:color w:val="auto"/>
                <w:szCs w:val="24"/>
              </w:rPr>
              <w:t>油漆</w:t>
            </w:r>
            <w:r>
              <w:rPr>
                <w:rFonts w:hint="eastAsia"/>
                <w:color w:val="auto"/>
                <w:szCs w:val="24"/>
                <w:lang w:val="en-US" w:eastAsia="zh-CN"/>
              </w:rPr>
              <w:t>及喷塑</w:t>
            </w:r>
            <w:r>
              <w:rPr>
                <w:rFonts w:hint="eastAsia"/>
                <w:color w:val="auto"/>
                <w:szCs w:val="24"/>
              </w:rPr>
              <w:t>使用量核算详见下表，根据分析可知本项目所需油漆量</w:t>
            </w:r>
            <w:r>
              <w:rPr>
                <w:rFonts w:hint="eastAsia"/>
                <w:color w:val="auto"/>
                <w:szCs w:val="24"/>
                <w:lang w:val="en-US" w:eastAsia="zh-CN"/>
              </w:rPr>
              <w:t>及塑粉量</w:t>
            </w:r>
            <w:r>
              <w:rPr>
                <w:rFonts w:hint="eastAsia"/>
                <w:color w:val="auto"/>
                <w:szCs w:val="24"/>
              </w:rPr>
              <w:t>满足设计要求。</w:t>
            </w:r>
            <w:r>
              <w:rPr>
                <w:rFonts w:hint="eastAsia"/>
                <w:color w:val="auto"/>
                <w:szCs w:val="24"/>
                <w:lang w:eastAsia="zh-CN"/>
              </w:rPr>
              <w:t>考虑到实际生产中漆膜厚度和上漆率以及修色等会有一定的正负误差，同时考虑到员工操作的熟练度问题以及重复喷涂情况，因此工程估算按照企业实际提供的用量进行分析。</w:t>
            </w:r>
          </w:p>
          <w:p>
            <w:pPr>
              <w:pStyle w:val="166"/>
              <w:rPr>
                <w:rFonts w:hint="eastAsia" w:eastAsia="宋体"/>
                <w:color w:val="auto"/>
                <w:sz w:val="24"/>
                <w:szCs w:val="24"/>
                <w:lang w:val="en-US" w:eastAsia="zh-CN"/>
              </w:rPr>
            </w:pPr>
            <w:r>
              <w:rPr>
                <w:rFonts w:hint="eastAsia" w:eastAsia="宋体"/>
                <w:color w:val="auto"/>
                <w:sz w:val="24"/>
                <w:szCs w:val="24"/>
                <w:lang w:val="en-US" w:eastAsia="zh-CN"/>
              </w:rPr>
              <w:t>表2-8  油漆工序产能匹配分析一览表</w:t>
            </w:r>
          </w:p>
          <w:tbl>
            <w:tblPr>
              <w:tblStyle w:val="29"/>
              <w:tblW w:w="737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18"/>
              <w:gridCol w:w="1161"/>
              <w:gridCol w:w="1103"/>
              <w:gridCol w:w="1134"/>
              <w:gridCol w:w="851"/>
              <w:gridCol w:w="11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9" w:hRule="atLeast"/>
                <w:tblHeader/>
                <w:jc w:val="center"/>
              </w:trPr>
              <w:tc>
                <w:tcPr>
                  <w:tcW w:w="2018" w:type="dxa"/>
                  <w:vAlign w:val="center"/>
                </w:tcPr>
                <w:p>
                  <w:pPr>
                    <w:jc w:val="center"/>
                    <w:rPr>
                      <w:b/>
                      <w:color w:val="auto"/>
                      <w:sz w:val="21"/>
                      <w:szCs w:val="21"/>
                    </w:rPr>
                  </w:pPr>
                  <w:r>
                    <w:rPr>
                      <w:b/>
                      <w:color w:val="auto"/>
                      <w:sz w:val="21"/>
                      <w:szCs w:val="21"/>
                    </w:rPr>
                    <w:t>油漆种类</w:t>
                  </w:r>
                </w:p>
              </w:tc>
              <w:tc>
                <w:tcPr>
                  <w:tcW w:w="1161" w:type="dxa"/>
                  <w:tcBorders>
                    <w:right w:val="single" w:color="auto" w:sz="4" w:space="0"/>
                  </w:tcBorders>
                  <w:vAlign w:val="center"/>
                </w:tcPr>
                <w:p>
                  <w:pPr>
                    <w:jc w:val="center"/>
                    <w:rPr>
                      <w:rFonts w:ascii="Times New Roman" w:hAnsi="Times New Roman" w:eastAsia="宋体" w:cs="Times New Roman"/>
                      <w:b/>
                      <w:color w:val="auto"/>
                      <w:kern w:val="2"/>
                      <w:sz w:val="21"/>
                      <w:szCs w:val="21"/>
                      <w:lang w:val="en-US" w:eastAsia="zh-CN" w:bidi="ar-SA"/>
                    </w:rPr>
                  </w:pPr>
                  <w:r>
                    <w:rPr>
                      <w:rFonts w:hint="eastAsia"/>
                      <w:b/>
                      <w:color w:val="auto"/>
                      <w:sz w:val="21"/>
                      <w:szCs w:val="21"/>
                    </w:rPr>
                    <w:t>喷涂面积m</w:t>
                  </w:r>
                  <w:r>
                    <w:rPr>
                      <w:rFonts w:hint="eastAsia"/>
                      <w:b/>
                      <w:color w:val="auto"/>
                      <w:sz w:val="21"/>
                      <w:szCs w:val="21"/>
                      <w:vertAlign w:val="superscript"/>
                    </w:rPr>
                    <w:t>2</w:t>
                  </w:r>
                </w:p>
              </w:tc>
              <w:tc>
                <w:tcPr>
                  <w:tcW w:w="1103" w:type="dxa"/>
                  <w:tcBorders>
                    <w:right w:val="single" w:color="auto" w:sz="4" w:space="0"/>
                  </w:tcBorders>
                  <w:vAlign w:val="center"/>
                </w:tcPr>
                <w:p>
                  <w:pPr>
                    <w:jc w:val="center"/>
                    <w:rPr>
                      <w:b/>
                      <w:color w:val="auto"/>
                      <w:sz w:val="21"/>
                      <w:szCs w:val="21"/>
                    </w:rPr>
                  </w:pPr>
                  <w:r>
                    <w:rPr>
                      <w:rFonts w:hint="eastAsia"/>
                      <w:b/>
                      <w:color w:val="auto"/>
                      <w:sz w:val="21"/>
                      <w:szCs w:val="21"/>
                      <w:lang w:val="en-US" w:eastAsia="zh-CN"/>
                    </w:rPr>
                    <w:t>湿</w:t>
                  </w:r>
                  <w:r>
                    <w:rPr>
                      <w:b/>
                      <w:color w:val="auto"/>
                      <w:sz w:val="21"/>
                      <w:szCs w:val="21"/>
                    </w:rPr>
                    <w:t>膜厚度μm</w:t>
                  </w:r>
                </w:p>
              </w:tc>
              <w:tc>
                <w:tcPr>
                  <w:tcW w:w="1134" w:type="dxa"/>
                  <w:tcBorders>
                    <w:right w:val="single" w:color="auto" w:sz="4" w:space="0"/>
                  </w:tcBorders>
                  <w:vAlign w:val="center"/>
                </w:tcPr>
                <w:p>
                  <w:pPr>
                    <w:jc w:val="center"/>
                    <w:rPr>
                      <w:b/>
                      <w:color w:val="auto"/>
                      <w:sz w:val="21"/>
                      <w:szCs w:val="21"/>
                    </w:rPr>
                  </w:pPr>
                  <w:r>
                    <w:rPr>
                      <w:rFonts w:hint="eastAsia"/>
                      <w:b/>
                      <w:color w:val="auto"/>
                      <w:sz w:val="21"/>
                      <w:szCs w:val="21"/>
                    </w:rPr>
                    <w:t>油漆密度</w:t>
                  </w:r>
                </w:p>
                <w:p>
                  <w:pPr>
                    <w:jc w:val="center"/>
                    <w:rPr>
                      <w:color w:val="auto"/>
                    </w:rPr>
                  </w:pPr>
                  <w:r>
                    <w:rPr>
                      <w:b/>
                      <w:color w:val="auto"/>
                      <w:sz w:val="21"/>
                      <w:szCs w:val="21"/>
                    </w:rPr>
                    <w:t>g/cm</w:t>
                  </w:r>
                  <w:r>
                    <w:rPr>
                      <w:b/>
                      <w:color w:val="auto"/>
                      <w:sz w:val="21"/>
                      <w:szCs w:val="21"/>
                      <w:vertAlign w:val="superscript"/>
                    </w:rPr>
                    <w:t>3</w:t>
                  </w:r>
                </w:p>
              </w:tc>
              <w:tc>
                <w:tcPr>
                  <w:tcW w:w="851" w:type="dxa"/>
                  <w:tcBorders>
                    <w:right w:val="single" w:color="auto" w:sz="4" w:space="0"/>
                  </w:tcBorders>
                  <w:vAlign w:val="center"/>
                </w:tcPr>
                <w:p>
                  <w:pPr>
                    <w:jc w:val="center"/>
                    <w:rPr>
                      <w:b/>
                      <w:color w:val="auto"/>
                      <w:sz w:val="21"/>
                      <w:szCs w:val="21"/>
                    </w:rPr>
                  </w:pPr>
                  <w:r>
                    <w:rPr>
                      <w:b/>
                      <w:color w:val="auto"/>
                      <w:sz w:val="21"/>
                      <w:szCs w:val="21"/>
                    </w:rPr>
                    <w:t>固相附着率</w:t>
                  </w:r>
                </w:p>
              </w:tc>
              <w:tc>
                <w:tcPr>
                  <w:tcW w:w="1104" w:type="dxa"/>
                  <w:vAlign w:val="center"/>
                </w:tcPr>
                <w:p>
                  <w:pPr>
                    <w:jc w:val="center"/>
                    <w:rPr>
                      <w:b/>
                      <w:color w:val="auto"/>
                      <w:sz w:val="21"/>
                      <w:szCs w:val="21"/>
                    </w:rPr>
                  </w:pPr>
                  <w:r>
                    <w:rPr>
                      <w:rFonts w:hint="eastAsia"/>
                      <w:b/>
                      <w:color w:val="auto"/>
                      <w:sz w:val="21"/>
                      <w:szCs w:val="21"/>
                    </w:rPr>
                    <w:t>理论所需</w:t>
                  </w:r>
                  <w:r>
                    <w:rPr>
                      <w:b/>
                      <w:color w:val="auto"/>
                      <w:sz w:val="21"/>
                      <w:szCs w:val="21"/>
                    </w:rPr>
                    <w:t>油漆量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9" w:hRule="atLeast"/>
                <w:tblHeader/>
                <w:jc w:val="center"/>
              </w:trPr>
              <w:tc>
                <w:tcPr>
                  <w:tcW w:w="2018" w:type="dxa"/>
                  <w:tcBorders>
                    <w:bottom w:val="single" w:color="auto" w:sz="4" w:space="0"/>
                  </w:tcBorders>
                  <w:vAlign w:val="center"/>
                </w:tcPr>
                <w:p>
                  <w:pPr>
                    <w:jc w:val="center"/>
                    <w:rPr>
                      <w:rFonts w:ascii="宋体" w:hAnsi="宋体" w:cs="宋体"/>
                      <w:color w:val="auto"/>
                      <w:sz w:val="21"/>
                      <w:szCs w:val="21"/>
                    </w:rPr>
                  </w:pPr>
                  <w:r>
                    <w:rPr>
                      <w:rFonts w:hint="eastAsia"/>
                      <w:color w:val="auto"/>
                      <w:sz w:val="21"/>
                      <w:szCs w:val="21"/>
                      <w:lang w:val="en-US" w:eastAsia="zh-CN"/>
                    </w:rPr>
                    <w:t>HCH-10外防腐无溶剂环氧防腐涂料</w:t>
                  </w:r>
                </w:p>
              </w:tc>
              <w:tc>
                <w:tcPr>
                  <w:tcW w:w="1161" w:type="dxa"/>
                  <w:tcBorders>
                    <w:bottom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184500</w:t>
                  </w:r>
                </w:p>
              </w:tc>
              <w:tc>
                <w:tcPr>
                  <w:tcW w:w="1103" w:type="dxa"/>
                  <w:tcBorders>
                    <w:bottom w:val="single" w:color="auto" w:sz="4" w:space="0"/>
                    <w:right w:val="single" w:color="auto" w:sz="4" w:space="0"/>
                  </w:tcBorders>
                  <w:vAlign w:val="center"/>
                </w:tcPr>
                <w:p>
                  <w:pPr>
                    <w:jc w:val="center"/>
                    <w:rPr>
                      <w:rFonts w:hint="default" w:eastAsia="宋体"/>
                      <w:color w:val="auto"/>
                      <w:sz w:val="21"/>
                      <w:szCs w:val="21"/>
                      <w:lang w:val="en-US" w:eastAsia="zh-CN"/>
                    </w:rPr>
                  </w:pPr>
                  <w:r>
                    <w:rPr>
                      <w:rFonts w:hint="eastAsia"/>
                      <w:color w:val="auto"/>
                      <w:sz w:val="21"/>
                      <w:szCs w:val="21"/>
                      <w:lang w:val="en-US" w:eastAsia="zh-CN"/>
                    </w:rPr>
                    <w:t>90</w:t>
                  </w:r>
                </w:p>
              </w:tc>
              <w:tc>
                <w:tcPr>
                  <w:tcW w:w="1134" w:type="dxa"/>
                  <w:tcBorders>
                    <w:right w:val="single" w:color="auto" w:sz="4" w:space="0"/>
                  </w:tcBorders>
                  <w:vAlign w:val="center"/>
                </w:tcPr>
                <w:p>
                  <w:pPr>
                    <w:jc w:val="center"/>
                    <w:rPr>
                      <w:rFonts w:hint="eastAsia" w:eastAsia="宋体"/>
                      <w:color w:val="auto"/>
                      <w:sz w:val="21"/>
                      <w:szCs w:val="21"/>
                      <w:lang w:eastAsia="zh-CN"/>
                    </w:rPr>
                  </w:pPr>
                  <w:r>
                    <w:rPr>
                      <w:rFonts w:hint="eastAsia"/>
                      <w:color w:val="auto"/>
                      <w:sz w:val="21"/>
                      <w:szCs w:val="21"/>
                    </w:rPr>
                    <w:t>1.</w:t>
                  </w:r>
                  <w:r>
                    <w:rPr>
                      <w:rFonts w:hint="eastAsia"/>
                      <w:color w:val="auto"/>
                      <w:sz w:val="21"/>
                      <w:szCs w:val="21"/>
                      <w:lang w:val="en-US" w:eastAsia="zh-CN"/>
                    </w:rPr>
                    <w:t>2</w:t>
                  </w:r>
                </w:p>
              </w:tc>
              <w:tc>
                <w:tcPr>
                  <w:tcW w:w="851" w:type="dxa"/>
                  <w:tcBorders>
                    <w:right w:val="single" w:color="auto" w:sz="4" w:space="0"/>
                  </w:tcBorders>
                  <w:vAlign w:val="center"/>
                </w:tcPr>
                <w:p>
                  <w:pPr>
                    <w:jc w:val="center"/>
                    <w:rPr>
                      <w:color w:val="auto"/>
                      <w:sz w:val="21"/>
                      <w:szCs w:val="21"/>
                    </w:rPr>
                  </w:pPr>
                  <w:r>
                    <w:rPr>
                      <w:rFonts w:hint="eastAsia"/>
                      <w:color w:val="auto"/>
                      <w:sz w:val="21"/>
                      <w:szCs w:val="21"/>
                    </w:rPr>
                    <w:t>80%</w:t>
                  </w:r>
                </w:p>
              </w:tc>
              <w:tc>
                <w:tcPr>
                  <w:tcW w:w="1104" w:type="dxa"/>
                  <w:vAlign w:val="center"/>
                </w:tcPr>
                <w:p>
                  <w:pPr>
                    <w:jc w:val="center"/>
                    <w:rPr>
                      <w:color w:val="auto"/>
                      <w:sz w:val="21"/>
                      <w:szCs w:val="21"/>
                    </w:rPr>
                  </w:pPr>
                  <w:r>
                    <w:rPr>
                      <w:rFonts w:hint="eastAsia"/>
                      <w:color w:val="auto"/>
                      <w:sz w:val="21"/>
                      <w:szCs w:val="21"/>
                      <w:lang w:val="en-US" w:eastAsia="zh-CN"/>
                    </w:rPr>
                    <w:t>24.91</w:t>
                  </w:r>
                  <w:r>
                    <w:rPr>
                      <w:rFonts w:hint="eastAsia"/>
                      <w:color w:val="auto"/>
                      <w:sz w:val="21"/>
                      <w:szCs w:val="21"/>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9" w:hRule="atLeast"/>
                <w:tblHeader/>
                <w:jc w:val="center"/>
              </w:trPr>
              <w:tc>
                <w:tcPr>
                  <w:tcW w:w="2018" w:type="dxa"/>
                  <w:tcBorders>
                    <w:top w:val="single" w:color="auto" w:sz="4" w:space="0"/>
                    <w:bottom w:val="single" w:color="auto" w:sz="4" w:space="0"/>
                  </w:tcBorders>
                  <w:vAlign w:val="center"/>
                </w:tcPr>
                <w:p>
                  <w:pPr>
                    <w:adjustRightInd w:val="0"/>
                    <w:snapToGrid w:val="0"/>
                    <w:jc w:val="center"/>
                    <w:rPr>
                      <w:rFonts w:ascii="宋体" w:hAnsi="宋体" w:cs="宋体"/>
                      <w:color w:val="auto"/>
                      <w:sz w:val="21"/>
                      <w:szCs w:val="21"/>
                    </w:rPr>
                  </w:pPr>
                  <w:r>
                    <w:rPr>
                      <w:rFonts w:hint="eastAsia"/>
                      <w:color w:val="auto"/>
                      <w:sz w:val="21"/>
                      <w:szCs w:val="21"/>
                      <w:lang w:val="en-US" w:eastAsia="zh-CN"/>
                    </w:rPr>
                    <w:t>NT102内防腐无溶剂环氧树脂涂料</w:t>
                  </w:r>
                </w:p>
              </w:tc>
              <w:tc>
                <w:tcPr>
                  <w:tcW w:w="1161" w:type="dxa"/>
                  <w:tcBorders>
                    <w:top w:val="single" w:color="auto" w:sz="4" w:space="0"/>
                    <w:right w:val="single" w:color="auto" w:sz="4" w:space="0"/>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184500</w:t>
                  </w:r>
                </w:p>
              </w:tc>
              <w:tc>
                <w:tcPr>
                  <w:tcW w:w="1103" w:type="dxa"/>
                  <w:tcBorders>
                    <w:top w:val="single" w:color="auto" w:sz="4" w:space="0"/>
                    <w:bottom w:val="single" w:color="auto" w:sz="4" w:space="0"/>
                    <w:right w:val="single" w:color="auto" w:sz="4" w:space="0"/>
                  </w:tcBorders>
                  <w:vAlign w:val="center"/>
                </w:tcPr>
                <w:p>
                  <w:pPr>
                    <w:jc w:val="center"/>
                    <w:rPr>
                      <w:rFonts w:hint="default" w:eastAsia="宋体"/>
                      <w:color w:val="auto"/>
                      <w:sz w:val="21"/>
                      <w:szCs w:val="21"/>
                      <w:lang w:val="en-US" w:eastAsia="zh-CN"/>
                    </w:rPr>
                  </w:pPr>
                  <w:r>
                    <w:rPr>
                      <w:rFonts w:hint="eastAsia"/>
                      <w:color w:val="auto"/>
                      <w:sz w:val="21"/>
                      <w:szCs w:val="21"/>
                      <w:lang w:val="en-US" w:eastAsia="zh-CN"/>
                    </w:rPr>
                    <w:t>90</w:t>
                  </w:r>
                </w:p>
              </w:tc>
              <w:tc>
                <w:tcPr>
                  <w:tcW w:w="1134" w:type="dxa"/>
                  <w:tcBorders>
                    <w:right w:val="single" w:color="auto" w:sz="4" w:space="0"/>
                  </w:tcBorders>
                  <w:vAlign w:val="center"/>
                </w:tcPr>
                <w:p>
                  <w:pPr>
                    <w:jc w:val="center"/>
                    <w:rPr>
                      <w:rFonts w:hint="eastAsia" w:eastAsia="宋体"/>
                      <w:color w:val="auto"/>
                      <w:sz w:val="21"/>
                      <w:szCs w:val="21"/>
                      <w:lang w:eastAsia="zh-CN"/>
                    </w:rPr>
                  </w:pPr>
                  <w:r>
                    <w:rPr>
                      <w:rFonts w:hint="eastAsia"/>
                      <w:color w:val="auto"/>
                      <w:sz w:val="21"/>
                      <w:szCs w:val="21"/>
                    </w:rPr>
                    <w:t>1.</w:t>
                  </w:r>
                  <w:r>
                    <w:rPr>
                      <w:rFonts w:hint="eastAsia"/>
                      <w:color w:val="auto"/>
                      <w:sz w:val="21"/>
                      <w:szCs w:val="21"/>
                      <w:lang w:val="en-US" w:eastAsia="zh-CN"/>
                    </w:rPr>
                    <w:t>2</w:t>
                  </w:r>
                </w:p>
              </w:tc>
              <w:tc>
                <w:tcPr>
                  <w:tcW w:w="851" w:type="dxa"/>
                  <w:tcBorders>
                    <w:right w:val="single" w:color="auto" w:sz="4" w:space="0"/>
                  </w:tcBorders>
                  <w:vAlign w:val="center"/>
                </w:tcPr>
                <w:p>
                  <w:pPr>
                    <w:jc w:val="center"/>
                    <w:rPr>
                      <w:color w:val="auto"/>
                      <w:sz w:val="21"/>
                      <w:szCs w:val="21"/>
                    </w:rPr>
                  </w:pPr>
                  <w:r>
                    <w:rPr>
                      <w:rFonts w:hint="eastAsia"/>
                      <w:color w:val="auto"/>
                      <w:sz w:val="21"/>
                      <w:szCs w:val="21"/>
                    </w:rPr>
                    <w:t>80%</w:t>
                  </w:r>
                </w:p>
              </w:tc>
              <w:tc>
                <w:tcPr>
                  <w:tcW w:w="1104" w:type="dxa"/>
                  <w:vAlign w:val="center"/>
                </w:tcPr>
                <w:p>
                  <w:pPr>
                    <w:jc w:val="center"/>
                    <w:rPr>
                      <w:color w:val="auto"/>
                      <w:sz w:val="21"/>
                      <w:szCs w:val="21"/>
                    </w:rPr>
                  </w:pPr>
                  <w:r>
                    <w:rPr>
                      <w:rFonts w:hint="eastAsia"/>
                      <w:color w:val="auto"/>
                      <w:sz w:val="21"/>
                      <w:szCs w:val="21"/>
                      <w:lang w:val="en-US" w:eastAsia="zh-CN"/>
                    </w:rPr>
                    <w:t>24.91</w:t>
                  </w:r>
                  <w:r>
                    <w:rPr>
                      <w:rFonts w:hint="eastAsia"/>
                      <w:color w:val="auto"/>
                      <w:sz w:val="21"/>
                      <w:szCs w:val="21"/>
                    </w:rPr>
                    <w:t>t/a</w:t>
                  </w:r>
                </w:p>
              </w:tc>
            </w:tr>
          </w:tbl>
          <w:p>
            <w:pPr>
              <w:pStyle w:val="40"/>
              <w:spacing w:line="240" w:lineRule="auto"/>
              <w:rPr>
                <w:color w:val="FF0000"/>
              </w:rPr>
            </w:pPr>
          </w:p>
          <w:p>
            <w:pPr>
              <w:adjustRightInd w:val="0"/>
              <w:snapToGrid w:val="0"/>
              <w:spacing w:line="276" w:lineRule="auto"/>
              <w:jc w:val="center"/>
              <w:rPr>
                <w:rFonts w:hint="default"/>
                <w:b/>
                <w:bCs/>
                <w:color w:val="auto"/>
                <w:szCs w:val="24"/>
                <w:lang w:val="en-US" w:eastAsia="zh-CN"/>
              </w:rPr>
            </w:pPr>
            <w:r>
              <w:rPr>
                <w:rFonts w:hint="eastAsia"/>
                <w:b/>
                <w:bCs/>
                <w:color w:val="auto"/>
                <w:szCs w:val="24"/>
              </w:rPr>
              <w:t>表2-</w:t>
            </w:r>
            <w:r>
              <w:rPr>
                <w:rFonts w:hint="eastAsia"/>
                <w:b/>
                <w:bCs/>
                <w:color w:val="auto"/>
                <w:szCs w:val="24"/>
                <w:lang w:val="en-US" w:eastAsia="zh-CN"/>
              </w:rPr>
              <w:t xml:space="preserve">9 </w:t>
            </w:r>
            <w:r>
              <w:rPr>
                <w:rFonts w:hint="eastAsia"/>
                <w:b/>
                <w:bCs/>
                <w:color w:val="auto"/>
                <w:szCs w:val="24"/>
              </w:rPr>
              <w:t xml:space="preserve"> </w:t>
            </w:r>
            <w:r>
              <w:rPr>
                <w:rFonts w:hint="eastAsia"/>
                <w:b/>
                <w:bCs/>
                <w:color w:val="auto"/>
                <w:szCs w:val="24"/>
                <w:lang w:val="en-US" w:eastAsia="zh-CN"/>
              </w:rPr>
              <w:t>喷塑工序产能匹配分析一览表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6"/>
              <w:gridCol w:w="1554"/>
              <w:gridCol w:w="1207"/>
              <w:gridCol w:w="1067"/>
              <w:gridCol w:w="862"/>
              <w:gridCol w:w="12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96" w:type="dxa"/>
                  <w:tcBorders>
                    <w:top w:val="single" w:color="auto" w:sz="4" w:space="0"/>
                    <w:left w:val="single" w:color="auto" w:sz="4" w:space="0"/>
                    <w:bottom w:val="single" w:color="auto" w:sz="4" w:space="0"/>
                    <w:right w:val="single" w:color="auto" w:sz="4" w:space="0"/>
                  </w:tcBorders>
                  <w:vAlign w:val="center"/>
                </w:tcPr>
                <w:p>
                  <w:pPr>
                    <w:jc w:val="center"/>
                    <w:rPr>
                      <w:rFonts w:hint="eastAsia" w:eastAsia="宋体"/>
                      <w:b/>
                      <w:color w:val="auto"/>
                      <w:sz w:val="21"/>
                      <w:szCs w:val="21"/>
                      <w:lang w:eastAsia="zh-CN"/>
                    </w:rPr>
                  </w:pPr>
                  <w:r>
                    <w:rPr>
                      <w:rFonts w:hint="eastAsia"/>
                      <w:b/>
                      <w:color w:val="auto"/>
                      <w:sz w:val="21"/>
                      <w:szCs w:val="21"/>
                      <w:lang w:val="en-US" w:eastAsia="zh-CN"/>
                    </w:rPr>
                    <w:t>种类</w:t>
                  </w:r>
                </w:p>
              </w:tc>
              <w:tc>
                <w:tcPr>
                  <w:tcW w:w="1554"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rFonts w:hint="eastAsia"/>
                      <w:b/>
                      <w:color w:val="auto"/>
                      <w:sz w:val="21"/>
                      <w:szCs w:val="21"/>
                    </w:rPr>
                    <w:t>总喷塑面积m</w:t>
                  </w:r>
                  <w:r>
                    <w:rPr>
                      <w:rFonts w:hint="eastAsia"/>
                      <w:b/>
                      <w:color w:val="auto"/>
                      <w:sz w:val="21"/>
                      <w:szCs w:val="21"/>
                      <w:vertAlign w:val="superscript"/>
                    </w:rPr>
                    <w:t>2</w:t>
                  </w:r>
                </w:p>
              </w:tc>
              <w:tc>
                <w:tcPr>
                  <w:tcW w:w="1207"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rFonts w:hint="eastAsia"/>
                      <w:b/>
                      <w:color w:val="auto"/>
                      <w:sz w:val="21"/>
                      <w:szCs w:val="21"/>
                    </w:rPr>
                    <w:t>喷塑厚度</w:t>
                  </w:r>
                  <w:r>
                    <w:rPr>
                      <w:b/>
                      <w:color w:val="auto"/>
                      <w:sz w:val="21"/>
                      <w:szCs w:val="21"/>
                    </w:rPr>
                    <w:t>μm</w:t>
                  </w:r>
                </w:p>
              </w:tc>
              <w:tc>
                <w:tcPr>
                  <w:tcW w:w="1067"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rFonts w:hint="eastAsia"/>
                      <w:b/>
                      <w:color w:val="auto"/>
                      <w:sz w:val="21"/>
                      <w:szCs w:val="21"/>
                    </w:rPr>
                    <w:t>塑粉密度</w:t>
                  </w:r>
                  <w:r>
                    <w:rPr>
                      <w:b/>
                      <w:color w:val="auto"/>
                      <w:sz w:val="21"/>
                      <w:szCs w:val="21"/>
                    </w:rPr>
                    <w:t>g/cm</w:t>
                  </w:r>
                  <w:r>
                    <w:rPr>
                      <w:b/>
                      <w:color w:val="auto"/>
                      <w:sz w:val="21"/>
                      <w:szCs w:val="21"/>
                      <w:vertAlign w:val="superscript"/>
                    </w:rPr>
                    <w:t>3</w:t>
                  </w:r>
                </w:p>
              </w:tc>
              <w:tc>
                <w:tcPr>
                  <w:tcW w:w="862" w:type="dxa"/>
                  <w:tcBorders>
                    <w:top w:val="single" w:color="auto" w:sz="4" w:space="0"/>
                    <w:left w:val="single" w:color="auto" w:sz="4" w:space="0"/>
                    <w:bottom w:val="single" w:color="auto" w:sz="4" w:space="0"/>
                    <w:right w:val="single" w:color="auto" w:sz="4" w:space="0"/>
                  </w:tcBorders>
                  <w:vAlign w:val="center"/>
                </w:tcPr>
                <w:p>
                  <w:pPr>
                    <w:jc w:val="center"/>
                    <w:rPr>
                      <w:rFonts w:hint="eastAsia"/>
                      <w:b/>
                      <w:color w:val="auto"/>
                      <w:sz w:val="21"/>
                      <w:szCs w:val="21"/>
                    </w:rPr>
                  </w:pPr>
                  <w:r>
                    <w:rPr>
                      <w:b/>
                      <w:color w:val="auto"/>
                      <w:sz w:val="21"/>
                      <w:szCs w:val="21"/>
                    </w:rPr>
                    <w:t>附着率</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rFonts w:hint="eastAsia"/>
                      <w:b/>
                      <w:color w:val="auto"/>
                      <w:sz w:val="21"/>
                      <w:szCs w:val="21"/>
                    </w:rPr>
                    <w:t>塑粉喷涂量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96" w:type="dxa"/>
                  <w:tcBorders>
                    <w:top w:val="single" w:color="auto" w:sz="4" w:space="0"/>
                    <w:left w:val="single" w:color="auto" w:sz="4" w:space="0"/>
                    <w:bottom w:val="single" w:color="auto" w:sz="4" w:space="0"/>
                    <w:right w:val="single" w:color="auto" w:sz="4" w:space="0"/>
                  </w:tcBorders>
                  <w:vAlign w:val="center"/>
                </w:tcPr>
                <w:p>
                  <w:pPr>
                    <w:jc w:val="center"/>
                    <w:rPr>
                      <w:bCs/>
                      <w:color w:val="auto"/>
                      <w:sz w:val="21"/>
                      <w:szCs w:val="21"/>
                    </w:rPr>
                  </w:pPr>
                  <w:r>
                    <w:rPr>
                      <w:rFonts w:hint="eastAsia" w:cs="Times New Roman"/>
                      <w:color w:val="auto"/>
                      <w:sz w:val="21"/>
                      <w:szCs w:val="21"/>
                      <w:lang w:val="en-US" w:eastAsia="zh-CN"/>
                    </w:rPr>
                    <w:t>塑粉</w:t>
                  </w:r>
                </w:p>
              </w:tc>
              <w:tc>
                <w:tcPr>
                  <w:tcW w:w="1554" w:type="dxa"/>
                  <w:tcBorders>
                    <w:top w:val="single" w:color="auto" w:sz="4" w:space="0"/>
                    <w:left w:val="single" w:color="auto" w:sz="4" w:space="0"/>
                    <w:bottom w:val="single" w:color="auto" w:sz="4" w:space="0"/>
                    <w:right w:val="single" w:color="auto" w:sz="4" w:space="0"/>
                  </w:tcBorders>
                  <w:vAlign w:val="center"/>
                </w:tcPr>
                <w:p>
                  <w:pPr>
                    <w:jc w:val="center"/>
                    <w:rPr>
                      <w:rFonts w:hint="default"/>
                      <w:bCs/>
                      <w:color w:val="auto"/>
                      <w:sz w:val="21"/>
                      <w:szCs w:val="21"/>
                      <w:lang w:val="en-US"/>
                    </w:rPr>
                  </w:pPr>
                  <w:r>
                    <w:rPr>
                      <w:rFonts w:hint="eastAsia"/>
                      <w:bCs/>
                      <w:color w:val="auto"/>
                      <w:sz w:val="21"/>
                      <w:szCs w:val="21"/>
                      <w:lang w:val="en-US" w:eastAsia="zh-CN"/>
                    </w:rPr>
                    <w:t>553500</w:t>
                  </w:r>
                </w:p>
              </w:tc>
              <w:tc>
                <w:tcPr>
                  <w:tcW w:w="1207" w:type="dxa"/>
                  <w:tcBorders>
                    <w:top w:val="single" w:color="auto" w:sz="4" w:space="0"/>
                    <w:left w:val="single" w:color="auto" w:sz="4" w:space="0"/>
                    <w:bottom w:val="single" w:color="auto" w:sz="4" w:space="0"/>
                    <w:right w:val="single" w:color="auto" w:sz="4" w:space="0"/>
                  </w:tcBorders>
                  <w:vAlign w:val="center"/>
                </w:tcPr>
                <w:p>
                  <w:pPr>
                    <w:jc w:val="center"/>
                    <w:rPr>
                      <w:color w:val="auto"/>
                      <w:sz w:val="21"/>
                      <w:szCs w:val="21"/>
                    </w:rPr>
                  </w:pPr>
                  <w:r>
                    <w:rPr>
                      <w:rFonts w:hint="eastAsia"/>
                      <w:color w:val="auto"/>
                      <w:sz w:val="21"/>
                      <w:szCs w:val="21"/>
                      <w:lang w:val="en-US" w:eastAsia="zh-CN"/>
                    </w:rPr>
                    <w:t>20</w:t>
                  </w:r>
                  <w:r>
                    <w:rPr>
                      <w:rFonts w:hint="eastAsia"/>
                      <w:color w:val="auto"/>
                      <w:sz w:val="21"/>
                      <w:szCs w:val="21"/>
                    </w:rPr>
                    <w:t>0</w:t>
                  </w:r>
                  <w:r>
                    <w:rPr>
                      <w:color w:val="auto"/>
                      <w:sz w:val="21"/>
                      <w:szCs w:val="21"/>
                    </w:rPr>
                    <w:t>μm</w:t>
                  </w:r>
                </w:p>
              </w:tc>
              <w:tc>
                <w:tcPr>
                  <w:tcW w:w="1067" w:type="dxa"/>
                  <w:tcBorders>
                    <w:top w:val="single" w:color="auto" w:sz="4" w:space="0"/>
                    <w:left w:val="single" w:color="auto" w:sz="4" w:space="0"/>
                    <w:bottom w:val="single" w:color="auto" w:sz="4" w:space="0"/>
                    <w:right w:val="single" w:color="auto" w:sz="4" w:space="0"/>
                  </w:tcBorders>
                  <w:vAlign w:val="center"/>
                </w:tcPr>
                <w:p>
                  <w:pPr>
                    <w:jc w:val="center"/>
                    <w:rPr>
                      <w:color w:val="auto"/>
                      <w:sz w:val="21"/>
                      <w:szCs w:val="21"/>
                    </w:rPr>
                  </w:pPr>
                  <w:r>
                    <w:rPr>
                      <w:rFonts w:hint="eastAsia"/>
                      <w:color w:val="auto"/>
                      <w:sz w:val="21"/>
                      <w:szCs w:val="21"/>
                    </w:rPr>
                    <w:t>1.4g/cm</w:t>
                  </w:r>
                  <w:r>
                    <w:rPr>
                      <w:rFonts w:hint="eastAsia"/>
                      <w:color w:val="auto"/>
                      <w:sz w:val="21"/>
                      <w:szCs w:val="21"/>
                      <w:vertAlign w:val="superscript"/>
                    </w:rPr>
                    <w:t>3</w:t>
                  </w:r>
                </w:p>
              </w:tc>
              <w:tc>
                <w:tcPr>
                  <w:tcW w:w="862" w:type="dxa"/>
                  <w:tcBorders>
                    <w:top w:val="single" w:color="auto" w:sz="4" w:space="0"/>
                    <w:left w:val="single" w:color="auto" w:sz="4" w:space="0"/>
                    <w:bottom w:val="single" w:color="auto" w:sz="4" w:space="0"/>
                    <w:right w:val="single" w:color="auto" w:sz="4" w:space="0"/>
                  </w:tcBorders>
                  <w:vAlign w:val="center"/>
                </w:tcPr>
                <w:p>
                  <w:pPr>
                    <w:jc w:val="center"/>
                    <w:rPr>
                      <w:rFonts w:hint="default" w:eastAsia="宋体"/>
                      <w:color w:val="auto"/>
                      <w:sz w:val="21"/>
                      <w:szCs w:val="21"/>
                      <w:lang w:val="en-US" w:eastAsia="zh-CN"/>
                    </w:rPr>
                  </w:pPr>
                  <w:r>
                    <w:rPr>
                      <w:rFonts w:hint="eastAsia"/>
                      <w:color w:val="auto"/>
                      <w:sz w:val="21"/>
                      <w:szCs w:val="21"/>
                      <w:lang w:val="en-US" w:eastAsia="zh-CN"/>
                    </w:rPr>
                    <w:t>75%</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 w:val="21"/>
                      <w:szCs w:val="21"/>
                    </w:rPr>
                  </w:pPr>
                  <w:r>
                    <w:rPr>
                      <w:rFonts w:hint="eastAsia"/>
                      <w:color w:val="auto"/>
                      <w:sz w:val="21"/>
                      <w:szCs w:val="21"/>
                      <w:lang w:val="en-US" w:eastAsia="zh-CN"/>
                    </w:rPr>
                    <w:t>206.64</w:t>
                  </w:r>
                  <w:r>
                    <w:rPr>
                      <w:rFonts w:hint="eastAsia"/>
                      <w:color w:val="auto"/>
                      <w:sz w:val="21"/>
                      <w:szCs w:val="21"/>
                    </w:rPr>
                    <w:t>t</w:t>
                  </w:r>
                </w:p>
              </w:tc>
            </w:tr>
          </w:tbl>
          <w:p>
            <w:pPr>
              <w:pStyle w:val="40"/>
              <w:rPr>
                <w:rFonts w:hint="default" w:ascii="Times New Roman" w:hAnsi="Times New Roman" w:cs="Times New Roman"/>
                <w:color w:val="auto"/>
                <w:szCs w:val="24"/>
                <w:lang w:val="en-US" w:eastAsia="zh-CN"/>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2.6劳动定员及工作制度</w:t>
            </w:r>
          </w:p>
          <w:p>
            <w:pPr>
              <w:spacing w:line="360" w:lineRule="auto"/>
              <w:ind w:firstLine="480" w:firstLineChars="200"/>
              <w:rPr>
                <w:rFonts w:hint="default" w:ascii="Times New Roman" w:hAnsi="Times New Roman" w:eastAsia="宋体" w:cs="Times New Roman"/>
                <w:color w:val="auto"/>
                <w:szCs w:val="24"/>
                <w:lang w:val="en-US" w:eastAsia="zh-CN"/>
              </w:rPr>
            </w:pPr>
            <w:r>
              <w:rPr>
                <w:rFonts w:hint="default" w:ascii="Times New Roman" w:hAnsi="Times New Roman" w:cs="Times New Roman"/>
                <w:color w:val="auto"/>
                <w:szCs w:val="24"/>
              </w:rPr>
              <w:t>本项目</w:t>
            </w:r>
            <w:r>
              <w:rPr>
                <w:rFonts w:hint="eastAsia" w:cs="Times New Roman"/>
                <w:color w:val="auto"/>
                <w:szCs w:val="24"/>
                <w:lang w:val="en-US" w:eastAsia="zh-CN"/>
              </w:rPr>
              <w:t>新增</w:t>
            </w:r>
            <w:r>
              <w:rPr>
                <w:rFonts w:hint="default" w:ascii="Times New Roman" w:hAnsi="Times New Roman" w:cs="Times New Roman"/>
                <w:color w:val="auto"/>
                <w:szCs w:val="24"/>
                <w:lang w:val="en-US" w:eastAsia="zh-CN"/>
              </w:rPr>
              <w:t>员工</w:t>
            </w:r>
            <w:r>
              <w:rPr>
                <w:rFonts w:hint="eastAsia" w:cs="Times New Roman"/>
                <w:color w:val="auto"/>
                <w:szCs w:val="24"/>
                <w:lang w:val="en-US" w:eastAsia="zh-CN"/>
              </w:rPr>
              <w:t>1</w:t>
            </w:r>
            <w:r>
              <w:rPr>
                <w:rFonts w:hint="default" w:ascii="Times New Roman" w:hAnsi="Times New Roman" w:cs="Times New Roman"/>
                <w:color w:val="auto"/>
                <w:szCs w:val="24"/>
                <w:lang w:val="en-US" w:eastAsia="zh-CN"/>
              </w:rPr>
              <w:t>0</w:t>
            </w:r>
            <w:r>
              <w:rPr>
                <w:rFonts w:hint="default" w:ascii="Times New Roman" w:hAnsi="Times New Roman" w:cs="Times New Roman"/>
                <w:color w:val="auto"/>
                <w:szCs w:val="24"/>
              </w:rPr>
              <w:t>人</w:t>
            </w:r>
            <w:r>
              <w:rPr>
                <w:rFonts w:hint="default" w:ascii="Times New Roman" w:hAnsi="Times New Roman" w:cs="Times New Roman"/>
                <w:color w:val="auto"/>
                <w:szCs w:val="24"/>
                <w:lang w:eastAsia="zh-CN"/>
              </w:rPr>
              <w:t>，</w:t>
            </w:r>
            <w:r>
              <w:rPr>
                <w:rFonts w:hint="eastAsia" w:cs="Times New Roman"/>
                <w:color w:val="auto"/>
                <w:szCs w:val="24"/>
                <w:lang w:val="en-US" w:eastAsia="zh-CN"/>
              </w:rPr>
              <w:t>公司总员工定员95人，</w:t>
            </w:r>
            <w:r>
              <w:rPr>
                <w:rFonts w:hint="default" w:ascii="Times New Roman" w:hAnsi="Times New Roman" w:cs="Times New Roman"/>
                <w:color w:val="auto"/>
                <w:szCs w:val="24"/>
              </w:rPr>
              <w:t>年工作3</w:t>
            </w:r>
            <w:r>
              <w:rPr>
                <w:rFonts w:hint="eastAsia" w:cs="Times New Roman"/>
                <w:color w:val="auto"/>
                <w:szCs w:val="24"/>
                <w:lang w:val="en-US" w:eastAsia="zh-CN"/>
              </w:rPr>
              <w:t>0</w:t>
            </w:r>
            <w:r>
              <w:rPr>
                <w:rFonts w:hint="default" w:ascii="Times New Roman" w:hAnsi="Times New Roman" w:cs="Times New Roman"/>
                <w:color w:val="auto"/>
                <w:szCs w:val="24"/>
              </w:rPr>
              <w:t>0天，实行</w:t>
            </w:r>
            <w:r>
              <w:rPr>
                <w:rFonts w:hint="eastAsia" w:cs="Times New Roman"/>
                <w:color w:val="auto"/>
                <w:szCs w:val="24"/>
                <w:lang w:val="en-US" w:eastAsia="zh-CN"/>
              </w:rPr>
              <w:t>昼间一</w:t>
            </w:r>
            <w:r>
              <w:rPr>
                <w:rFonts w:hint="default" w:ascii="Times New Roman" w:hAnsi="Times New Roman" w:cs="Times New Roman"/>
                <w:color w:val="auto"/>
                <w:szCs w:val="24"/>
              </w:rPr>
              <w:t>班制生</w:t>
            </w:r>
            <w:r>
              <w:rPr>
                <w:rFonts w:hint="default" w:ascii="Times New Roman" w:hAnsi="Times New Roman" w:eastAsia="宋体" w:cs="Times New Roman"/>
                <w:color w:val="auto"/>
                <w:szCs w:val="24"/>
              </w:rPr>
              <w:t>产。</w:t>
            </w:r>
            <w:r>
              <w:rPr>
                <w:rFonts w:hint="default" w:ascii="Times New Roman" w:hAnsi="Times New Roman" w:eastAsia="宋体" w:cs="Times New Roman"/>
                <w:color w:val="auto"/>
                <w:szCs w:val="24"/>
                <w:lang w:val="en-US" w:eastAsia="zh-CN"/>
              </w:rPr>
              <w:t>本项目厂区内不设职工宿舍</w:t>
            </w:r>
            <w:r>
              <w:rPr>
                <w:rFonts w:hint="default" w:ascii="Times New Roman" w:hAnsi="Times New Roman" w:cs="Times New Roman"/>
                <w:color w:val="auto"/>
                <w:szCs w:val="24"/>
                <w:lang w:val="en-US" w:eastAsia="zh-CN"/>
              </w:rPr>
              <w:t>和食堂</w:t>
            </w:r>
            <w:r>
              <w:rPr>
                <w:rFonts w:hint="default" w:ascii="Times New Roman" w:hAnsi="Times New Roman" w:eastAsia="宋体" w:cs="Times New Roman"/>
                <w:color w:val="auto"/>
                <w:szCs w:val="24"/>
                <w:lang w:val="en-US" w:eastAsia="zh-CN"/>
              </w:rPr>
              <w:t>。</w:t>
            </w:r>
          </w:p>
          <w:p>
            <w:pPr>
              <w:pStyle w:val="14"/>
              <w:rPr>
                <w:rFonts w:hint="default"/>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2.7建设项目周围环境概况</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本项目位于</w:t>
            </w:r>
            <w:r>
              <w:rPr>
                <w:rFonts w:hint="eastAsia" w:cs="Times New Roman"/>
                <w:color w:val="auto"/>
                <w:szCs w:val="24"/>
                <w:lang w:eastAsia="zh-CN"/>
              </w:rPr>
              <w:t>德清县钟管镇横塘桥路2号</w:t>
            </w:r>
            <w:r>
              <w:rPr>
                <w:rFonts w:hint="default" w:ascii="Times New Roman" w:hAnsi="Times New Roman" w:cs="Times New Roman"/>
                <w:color w:val="auto"/>
                <w:szCs w:val="24"/>
              </w:rPr>
              <w:t>。厂区周围环境状况见表2-</w:t>
            </w:r>
            <w:r>
              <w:rPr>
                <w:rFonts w:hint="eastAsia" w:cs="Times New Roman"/>
                <w:color w:val="auto"/>
                <w:szCs w:val="24"/>
                <w:lang w:val="en-US" w:eastAsia="zh-CN"/>
              </w:rPr>
              <w:t>10</w:t>
            </w:r>
            <w:r>
              <w:rPr>
                <w:rFonts w:hint="default" w:ascii="Times New Roman" w:hAnsi="Times New Roman" w:cs="Times New Roman"/>
                <w:color w:val="auto"/>
                <w:szCs w:val="24"/>
              </w:rPr>
              <w:t>。项目周边环境示意图见图2-1及附图2，地理位置见附图1。</w:t>
            </w:r>
          </w:p>
          <w:p>
            <w:pPr>
              <w:pStyle w:val="166"/>
              <w:rPr>
                <w:rFonts w:hint="default" w:eastAsia="宋体"/>
                <w:color w:val="auto"/>
                <w:sz w:val="24"/>
                <w:szCs w:val="24"/>
                <w:lang w:val="en-US" w:eastAsia="zh-CN"/>
              </w:rPr>
            </w:pPr>
            <w:r>
              <w:rPr>
                <w:rFonts w:hint="default" w:eastAsia="宋体"/>
                <w:color w:val="auto"/>
                <w:sz w:val="24"/>
                <w:szCs w:val="24"/>
                <w:lang w:val="en-US" w:eastAsia="zh-CN"/>
              </w:rPr>
              <w:t>表2-</w:t>
            </w:r>
            <w:r>
              <w:rPr>
                <w:rFonts w:hint="eastAsia" w:eastAsia="宋体"/>
                <w:color w:val="auto"/>
                <w:sz w:val="24"/>
                <w:szCs w:val="24"/>
                <w:lang w:val="en-US" w:eastAsia="zh-CN"/>
              </w:rPr>
              <w:t>10</w:t>
            </w:r>
            <w:r>
              <w:rPr>
                <w:rFonts w:hint="default" w:eastAsia="宋体"/>
                <w:color w:val="auto"/>
                <w:sz w:val="24"/>
                <w:szCs w:val="24"/>
                <w:lang w:val="en-US" w:eastAsia="zh-CN"/>
              </w:rPr>
              <w:t xml:space="preserve">  本项目厂区周围环境状况表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7"/>
              <w:gridCol w:w="792"/>
              <w:gridCol w:w="1154"/>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792"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方位</w:t>
                  </w: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最近距离</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环境状况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792" w:type="dxa"/>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东侧</w:t>
                  </w: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紧邻</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fldChar w:fldCharType="begin"/>
                  </w:r>
                  <w:r>
                    <w:rPr>
                      <w:rFonts w:hint="default" w:ascii="Times New Roman" w:hAnsi="Times New Roman" w:eastAsia="宋体" w:cs="Times New Roman"/>
                      <w:color w:val="auto"/>
                      <w:sz w:val="21"/>
                      <w:szCs w:val="21"/>
                      <w:lang w:val="en-US" w:eastAsia="zh-CN"/>
                    </w:rPr>
                    <w:instrText xml:space="preserve"> HYPERLINK "https://aiqicha.baidu.com/detail/compinfo?pid=25461234680335&amp;rq=ef&amp;pd=ee&amp;from=ps&amp;query=%E6%B5%99%E6%B1%9F%E6%B8%85%E9%BE%99%E7%BE%BD%E7%BB%92%E5%88%B6%E5%93%81%E6%9C%89%E9%99%90%E5%85%AC%E5%8F%B8" \t "https://www.baidu.com/_blank" </w:instrText>
                  </w:r>
                  <w:r>
                    <w:rPr>
                      <w:rFonts w:hint="default" w:ascii="Times New Roman" w:hAnsi="Times New Roman" w:eastAsia="宋体" w:cs="Times New Roman"/>
                      <w:color w:val="auto"/>
                      <w:sz w:val="21"/>
                      <w:szCs w:val="21"/>
                      <w:lang w:val="en-US" w:eastAsia="zh-CN"/>
                    </w:rPr>
                    <w:fldChar w:fldCharType="separate"/>
                  </w:r>
                  <w:r>
                    <w:rPr>
                      <w:rFonts w:hint="default" w:ascii="Times New Roman" w:hAnsi="Times New Roman" w:eastAsia="宋体" w:cs="Times New Roman"/>
                      <w:color w:val="auto"/>
                      <w:sz w:val="21"/>
                      <w:szCs w:val="21"/>
                      <w:lang w:val="en-US" w:eastAsia="zh-CN"/>
                    </w:rPr>
                    <w:t>浙江清龙羽绒制品有限公司</w:t>
                  </w:r>
                  <w:r>
                    <w:rPr>
                      <w:rFonts w:hint="default" w:ascii="Times New Roman" w:hAnsi="Times New Roman" w:eastAsia="宋体" w:cs="Times New Roman"/>
                      <w:color w:val="auto"/>
                      <w:sz w:val="21"/>
                      <w:szCs w:val="21"/>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792"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南侧</w:t>
                  </w: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紧邻</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南洋溪二路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vMerge w:val="continue"/>
                  <w:tcBorders>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p>
              </w:tc>
              <w:tc>
                <w:tcPr>
                  <w:tcW w:w="792" w:type="dxa"/>
                  <w:vMerge w:val="continue"/>
                  <w:tcBorders>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2</w:t>
                  </w:r>
                  <w:r>
                    <w:rPr>
                      <w:rFonts w:hint="default" w:ascii="Times New Roman" w:hAnsi="Times New Roman" w:cs="Times New Roman"/>
                      <w:color w:val="auto"/>
                      <w:sz w:val="21"/>
                      <w:szCs w:val="21"/>
                      <w:lang w:val="en-US" w:eastAsia="zh-CN"/>
                    </w:rPr>
                    <w:t>m</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fldChar w:fldCharType="begin"/>
                  </w:r>
                  <w:r>
                    <w:rPr>
                      <w:rFonts w:hint="default" w:ascii="Times New Roman" w:hAnsi="Times New Roman" w:eastAsia="宋体" w:cs="Times New Roman"/>
                      <w:color w:val="auto"/>
                      <w:sz w:val="21"/>
                      <w:szCs w:val="21"/>
                      <w:lang w:val="en-US" w:eastAsia="zh-CN"/>
                    </w:rPr>
                    <w:instrText xml:space="preserve"> HYPERLINK "http://www.baidu.com/link?url=u3q8qLMlgLT72YyC1Jvw10WlhCcUu01Gt66BN5fPVvgFfiMsj0LsvflfzuOrmaYO" \t "https://www.baidu.com/_blank" </w:instrText>
                  </w:r>
                  <w:r>
                    <w:rPr>
                      <w:rFonts w:hint="default" w:ascii="Times New Roman" w:hAnsi="Times New Roman" w:eastAsia="宋体" w:cs="Times New Roman"/>
                      <w:color w:val="auto"/>
                      <w:sz w:val="21"/>
                      <w:szCs w:val="21"/>
                      <w:lang w:val="en-US" w:eastAsia="zh-CN"/>
                    </w:rPr>
                    <w:fldChar w:fldCharType="separate"/>
                  </w:r>
                  <w:r>
                    <w:rPr>
                      <w:rFonts w:hint="default" w:ascii="Times New Roman" w:hAnsi="Times New Roman" w:eastAsia="宋体" w:cs="Times New Roman"/>
                      <w:color w:val="auto"/>
                      <w:sz w:val="21"/>
                      <w:szCs w:val="21"/>
                      <w:lang w:val="en-US" w:eastAsia="zh-CN"/>
                    </w:rPr>
                    <w:t>浙江宏泰羽绒制品有限公司</w:t>
                  </w:r>
                  <w:r>
                    <w:rPr>
                      <w:rFonts w:hint="default" w:ascii="Times New Roman" w:hAnsi="Times New Roman" w:eastAsia="宋体" w:cs="Times New Roman"/>
                      <w:color w:val="auto"/>
                      <w:sz w:val="21"/>
                      <w:szCs w:val="21"/>
                      <w:lang w:val="en-US" w:eastAsia="zh-CN"/>
                    </w:rPr>
                    <w:fldChar w:fldCharType="end"/>
                  </w:r>
                  <w:r>
                    <w:rPr>
                      <w:rFonts w:hint="eastAsia" w:cs="Times New Roman"/>
                      <w:color w:val="auto"/>
                      <w:sz w:val="21"/>
                      <w:szCs w:val="21"/>
                      <w:lang w:val="en-US" w:eastAsia="zh-CN"/>
                    </w:rPr>
                    <w:t>、德清县顾氏木业有限公司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p>
              </w:tc>
              <w:tc>
                <w:tcPr>
                  <w:tcW w:w="792"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西侧</w:t>
                  </w: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紧邻</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横塘桥路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vMerge w:val="continue"/>
                  <w:tcBorders>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p>
              </w:tc>
              <w:tc>
                <w:tcPr>
                  <w:tcW w:w="792" w:type="dxa"/>
                  <w:vMerge w:val="continue"/>
                  <w:tcBorders>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20m</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浙江炜烨晶体纤维有限公司、东方希望动物营养食品有限公司、德清县天盛丝绸有限公司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792" w:type="dxa"/>
                  <w:vMerge w:val="restart"/>
                  <w:tcBorders>
                    <w:top w:val="single" w:color="auto" w:sz="4" w:space="0"/>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北侧</w:t>
                  </w: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紧邻</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水塘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47" w:type="dxa"/>
                  <w:vMerge w:val="continue"/>
                  <w:tcBorders>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p>
              </w:tc>
              <w:tc>
                <w:tcPr>
                  <w:tcW w:w="792" w:type="dxa"/>
                  <w:vMerge w:val="continue"/>
                  <w:tcBorders>
                    <w:left w:val="single" w:color="auto" w:sz="4" w:space="0"/>
                    <w:right w:val="single" w:color="auto" w:sz="4" w:space="0"/>
                  </w:tcBorders>
                  <w:vAlign w:val="center"/>
                </w:tcPr>
                <w:p>
                  <w:pPr>
                    <w:jc w:val="center"/>
                    <w:rPr>
                      <w:rFonts w:hint="default" w:ascii="Times New Roman" w:hAnsi="Times New Roman" w:cs="Times New Roman"/>
                      <w:color w:val="auto"/>
                      <w:sz w:val="21"/>
                      <w:szCs w:val="21"/>
                    </w:rPr>
                  </w:pPr>
                </w:p>
              </w:tc>
              <w:tc>
                <w:tcPr>
                  <w:tcW w:w="1154"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105m</w:t>
                  </w:r>
                </w:p>
              </w:tc>
              <w:tc>
                <w:tcPr>
                  <w:tcW w:w="4678"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莱福生物分公司</w:t>
                  </w:r>
                </w:p>
              </w:tc>
            </w:tr>
          </w:tbl>
          <w:p>
            <w:pPr>
              <w:rPr>
                <w:rFonts w:hint="default" w:ascii="Times New Roman" w:hAnsi="Times New Roman" w:cs="Times New Roman"/>
                <w:color w:val="FF0000"/>
              </w:rPr>
            </w:pPr>
          </w:p>
          <w:p>
            <w:pPr>
              <w:pStyle w:val="16"/>
              <w:spacing w:line="240" w:lineRule="auto"/>
              <w:rPr>
                <w:rFonts w:hint="default" w:ascii="Times New Roman" w:hAnsi="Times New Roman" w:eastAsia="宋体" w:cs="Times New Roman"/>
                <w:color w:val="auto"/>
                <w:sz w:val="28"/>
                <w:szCs w:val="28"/>
                <w:highlight w:val="yellow"/>
                <w:lang w:eastAsia="zh-CN"/>
              </w:rPr>
            </w:pPr>
            <w:r>
              <w:rPr>
                <w:rFonts w:hint="default" w:ascii="Times New Roman" w:hAnsi="Times New Roman" w:cs="Times New Roman"/>
                <w:b w:val="0"/>
                <w:color w:val="auto"/>
                <w:sz w:val="28"/>
                <w:szCs w:val="28"/>
              </w:rPr>
              <w:drawing>
                <wp:anchor distT="0" distB="0" distL="114300" distR="114300" simplePos="0" relativeHeight="251659264" behindDoc="0" locked="0" layoutInCell="1" allowOverlap="1">
                  <wp:simplePos x="0" y="0"/>
                  <wp:positionH relativeFrom="column">
                    <wp:posOffset>4311015</wp:posOffset>
                  </wp:positionH>
                  <wp:positionV relativeFrom="paragraph">
                    <wp:posOffset>13970</wp:posOffset>
                  </wp:positionV>
                  <wp:extent cx="395605" cy="445135"/>
                  <wp:effectExtent l="19050" t="19050" r="23495" b="12065"/>
                  <wp:wrapNone/>
                  <wp:docPr id="1516" name="图片 7283" descr="安吉县风玫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图片 7283" descr="安吉县风玫瑰"/>
                          <pic:cNvPicPr>
                            <a:picLocks noChangeAspect="1" noChangeArrowheads="1"/>
                          </pic:cNvPicPr>
                        </pic:nvPicPr>
                        <pic:blipFill>
                          <a:blip r:embed="rId9" cstate="print"/>
                          <a:srcRect/>
                          <a:stretch>
                            <a:fillRect/>
                          </a:stretch>
                        </pic:blipFill>
                        <pic:spPr>
                          <a:xfrm>
                            <a:off x="0" y="0"/>
                            <a:ext cx="395605" cy="445135"/>
                          </a:xfrm>
                          <a:prstGeom prst="rect">
                            <a:avLst/>
                          </a:prstGeom>
                          <a:noFill/>
                          <a:ln w="9525">
                            <a:solidFill>
                              <a:srgbClr val="000000"/>
                            </a:solidFill>
                            <a:miter lim="800000"/>
                            <a:headEnd/>
                            <a:tailEnd/>
                          </a:ln>
                        </pic:spPr>
                      </pic:pic>
                    </a:graphicData>
                  </a:graphic>
                </wp:anchor>
              </w:drawing>
            </w:r>
            <w:r>
              <w:drawing>
                <wp:inline distT="0" distB="0" distL="114300" distR="114300">
                  <wp:extent cx="4721860" cy="2886710"/>
                  <wp:effectExtent l="0" t="0" r="2540" b="889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0"/>
                          <a:stretch>
                            <a:fillRect/>
                          </a:stretch>
                        </pic:blipFill>
                        <pic:spPr>
                          <a:xfrm>
                            <a:off x="0" y="0"/>
                            <a:ext cx="4721860" cy="2886710"/>
                          </a:xfrm>
                          <a:prstGeom prst="rect">
                            <a:avLst/>
                          </a:prstGeom>
                          <a:noFill/>
                          <a:ln>
                            <a:noFill/>
                          </a:ln>
                        </pic:spPr>
                      </pic:pic>
                    </a:graphicData>
                  </a:graphic>
                </wp:inline>
              </w:drawing>
            </w:r>
          </w:p>
          <w:p>
            <w:pPr>
              <w:spacing w:line="240" w:lineRule="auto"/>
              <w:jc w:val="center"/>
              <w:rPr>
                <w:rFonts w:hint="default" w:ascii="Times New Roman" w:hAnsi="Times New Roman" w:cs="Times New Roman"/>
                <w:color w:val="auto"/>
                <w:sz w:val="28"/>
                <w:szCs w:val="28"/>
                <w:highlight w:val="yellow"/>
                <w:u w:val="single"/>
              </w:rPr>
            </w:pPr>
            <w:r>
              <w:rPr>
                <w:rFonts w:hint="default" w:ascii="Times New Roman" w:hAnsi="Times New Roman" w:cs="Times New Roman"/>
                <w:b/>
                <w:bCs/>
                <w:color w:val="auto"/>
                <w:sz w:val="28"/>
                <w:szCs w:val="28"/>
                <w:u w:val="single"/>
              </w:rPr>
              <w:t>图2-1  周围环境状况示意图</w:t>
            </w:r>
          </w:p>
          <w:p>
            <w:pPr>
              <w:pStyle w:val="38"/>
              <w:keepNext w:val="0"/>
              <w:keepLines w:val="0"/>
              <w:pageBreakBefore w:val="0"/>
              <w:widowControl w:val="0"/>
              <w:kinsoku/>
              <w:wordWrap/>
              <w:overflowPunct/>
              <w:topLinePunct w:val="0"/>
              <w:autoSpaceDE w:val="0"/>
              <w:autoSpaceDN w:val="0"/>
              <w:bidi w:val="0"/>
              <w:adjustRightInd w:val="0"/>
              <w:snapToGrid/>
              <w:spacing w:line="160" w:lineRule="exact"/>
              <w:jc w:val="both"/>
              <w:textAlignment w:val="baseline"/>
              <w:rPr>
                <w:rFonts w:hint="default" w:ascii="Times New Roman" w:hAnsi="Times New Roman" w:cs="Times New Roman"/>
                <w:color w:val="FF0000"/>
                <w:highlight w:val="yellow"/>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2.8厂区平面布置</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lang w:val="en-US" w:eastAsia="zh-CN"/>
              </w:rPr>
              <w:t>本项目</w:t>
            </w:r>
            <w:r>
              <w:rPr>
                <w:rFonts w:hint="eastAsia" w:cs="Times New Roman"/>
                <w:color w:val="auto"/>
                <w:szCs w:val="24"/>
                <w:lang w:val="en-US" w:eastAsia="zh-CN"/>
              </w:rPr>
              <w:t>主要位于南侧的涂装车间内，另外在北侧设有一座喷漆房，原有项目布置于北侧，主要为两座钢管生产车间</w:t>
            </w:r>
            <w:r>
              <w:rPr>
                <w:rFonts w:hint="default" w:ascii="Times New Roman" w:hAnsi="Times New Roman" w:cs="Times New Roman"/>
                <w:color w:val="auto"/>
                <w:szCs w:val="24"/>
                <w:lang w:val="en-US" w:eastAsia="zh-CN"/>
              </w:rPr>
              <w:t>。</w:t>
            </w:r>
            <w:r>
              <w:rPr>
                <w:rFonts w:hint="default" w:ascii="Times New Roman" w:hAnsi="Times New Roman" w:cs="Times New Roman"/>
                <w:color w:val="auto"/>
                <w:szCs w:val="24"/>
              </w:rPr>
              <w:t>项目厂区平面布置图见图2-2。</w:t>
            </w:r>
          </w:p>
          <w:p>
            <w:pPr>
              <w:spacing w:line="360" w:lineRule="auto"/>
              <w:jc w:val="center"/>
              <w:rPr>
                <w:rFonts w:hint="default" w:ascii="Times New Roman" w:hAnsi="Times New Roman" w:eastAsia="宋体" w:cs="Times New Roman"/>
                <w:b/>
                <w:bCs/>
                <w:color w:val="auto"/>
                <w:szCs w:val="24"/>
                <w:u w:val="none"/>
                <w:lang w:eastAsia="zh-CN"/>
              </w:rPr>
            </w:pPr>
            <w:r>
              <w:rPr>
                <w:rFonts w:hint="default" w:ascii="Times New Roman" w:hAnsi="Times New Roman" w:eastAsia="宋体" w:cs="Times New Roman"/>
                <w:b/>
                <w:bCs/>
                <w:color w:val="auto"/>
                <w:szCs w:val="24"/>
                <w:u w:val="none"/>
                <w:lang w:eastAsia="zh-CN"/>
              </w:rPr>
              <w:drawing>
                <wp:inline distT="0" distB="0" distL="114300" distR="114300">
                  <wp:extent cx="4714875" cy="3333750"/>
                  <wp:effectExtent l="0" t="0" r="9525" b="6350"/>
                  <wp:docPr id="37" name="图片 37" descr="1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1_00"/>
                          <pic:cNvPicPr>
                            <a:picLocks noChangeAspect="1"/>
                          </pic:cNvPicPr>
                        </pic:nvPicPr>
                        <pic:blipFill>
                          <a:blip r:embed="rId11"/>
                          <a:stretch>
                            <a:fillRect/>
                          </a:stretch>
                        </pic:blipFill>
                        <pic:spPr>
                          <a:xfrm>
                            <a:off x="0" y="0"/>
                            <a:ext cx="4714875" cy="3333750"/>
                          </a:xfrm>
                          <a:prstGeom prst="rect">
                            <a:avLst/>
                          </a:prstGeom>
                        </pic:spPr>
                      </pic:pic>
                    </a:graphicData>
                  </a:graphic>
                </wp:inline>
              </w:drawing>
            </w:r>
          </w:p>
          <w:p>
            <w:pPr>
              <w:spacing w:line="240" w:lineRule="auto"/>
              <w:jc w:val="center"/>
              <w:rPr>
                <w:rFonts w:hint="default" w:ascii="Times New Roman" w:hAnsi="Times New Roman" w:cs="Times New Roman"/>
                <w:b/>
                <w:bCs/>
                <w:color w:val="auto"/>
                <w:szCs w:val="24"/>
                <w:u w:val="single"/>
              </w:rPr>
            </w:pPr>
            <w:r>
              <w:rPr>
                <w:rFonts w:hint="default" w:ascii="Times New Roman" w:hAnsi="Times New Roman" w:cs="Times New Roman"/>
                <w:b/>
                <w:bCs/>
                <w:color w:val="auto"/>
                <w:szCs w:val="24"/>
                <w:u w:val="single"/>
              </w:rPr>
              <w:t>图2-2</w:t>
            </w:r>
            <w:r>
              <w:rPr>
                <w:rFonts w:hint="default" w:ascii="Times New Roman" w:hAnsi="Times New Roman" w:cs="Times New Roman"/>
                <w:b/>
                <w:bCs/>
                <w:color w:val="auto"/>
                <w:szCs w:val="24"/>
                <w:u w:val="single"/>
                <w:lang w:val="en-US" w:eastAsia="zh-CN"/>
              </w:rPr>
              <w:t xml:space="preserve">  </w:t>
            </w:r>
            <w:r>
              <w:rPr>
                <w:rFonts w:hint="default" w:ascii="Times New Roman" w:hAnsi="Times New Roman" w:cs="Times New Roman"/>
                <w:b/>
                <w:bCs/>
                <w:color w:val="auto"/>
                <w:szCs w:val="24"/>
                <w:u w:val="single"/>
              </w:rPr>
              <w:t>厂区平面布置示意图</w:t>
            </w:r>
          </w:p>
          <w:p>
            <w:pPr>
              <w:spacing w:line="240" w:lineRule="auto"/>
              <w:jc w:val="center"/>
              <w:rPr>
                <w:rFonts w:hint="default" w:ascii="Times New Roman" w:hAnsi="Times New Roman" w:cs="Times New Roman"/>
                <w:b/>
                <w:bCs/>
                <w:color w:val="FF0000"/>
                <w:szCs w:val="24"/>
                <w:u w:val="single"/>
              </w:rPr>
            </w:pPr>
          </w:p>
          <w:p>
            <w:pPr>
              <w:spacing w:line="360" w:lineRule="auto"/>
              <w:jc w:val="left"/>
              <w:rPr>
                <w:b/>
                <w:color w:val="auto"/>
                <w:szCs w:val="24"/>
              </w:rPr>
            </w:pPr>
            <w:r>
              <w:rPr>
                <w:b/>
                <w:color w:val="auto"/>
                <w:szCs w:val="24"/>
              </w:rPr>
              <w:t>2.9项目水平衡</w:t>
            </w:r>
            <w:r>
              <w:rPr>
                <w:rFonts w:hint="eastAsia"/>
                <w:b/>
                <w:color w:val="auto"/>
                <w:szCs w:val="24"/>
                <w:lang w:val="en-US" w:eastAsia="zh-CN"/>
              </w:rPr>
              <w:t>及VOCs平衡</w:t>
            </w:r>
            <w:r>
              <w:rPr>
                <w:rFonts w:hint="eastAsia"/>
                <w:b/>
                <w:color w:val="auto"/>
                <w:szCs w:val="24"/>
              </w:rPr>
              <w:t>分析</w:t>
            </w:r>
          </w:p>
          <w:p>
            <w:pPr>
              <w:spacing w:line="360" w:lineRule="auto"/>
              <w:ind w:firstLine="480" w:firstLineChars="200"/>
              <w:rPr>
                <w:color w:val="auto"/>
                <w:szCs w:val="24"/>
              </w:rPr>
            </w:pPr>
            <w:r>
              <w:rPr>
                <w:color w:val="auto"/>
                <w:szCs w:val="24"/>
              </w:rPr>
              <w:t>项目水平衡见图2-</w:t>
            </w:r>
            <w:r>
              <w:rPr>
                <w:rFonts w:hint="eastAsia"/>
                <w:color w:val="auto"/>
                <w:szCs w:val="24"/>
                <w:lang w:val="en-US" w:eastAsia="zh-CN"/>
              </w:rPr>
              <w:t>3</w:t>
            </w:r>
            <w:r>
              <w:rPr>
                <w:color w:val="auto"/>
                <w:szCs w:val="24"/>
              </w:rPr>
              <w:t>。</w:t>
            </w:r>
          </w:p>
          <w:p>
            <w:pPr>
              <w:snapToGrid w:val="0"/>
              <w:rPr>
                <w:b/>
                <w:color w:val="auto"/>
                <w:u w:val="single"/>
              </w:rPr>
            </w:pPr>
          </w:p>
          <w:p>
            <w:pPr>
              <w:snapToGrid w:val="0"/>
              <w:rPr>
                <w:b/>
                <w:color w:val="auto"/>
                <w:u w:val="single"/>
              </w:rPr>
            </w:pPr>
            <w:r>
              <w:rPr>
                <w:b/>
                <w:color w:val="auto"/>
                <w:u w:val="single"/>
              </w:rPr>
              <mc:AlternateContent>
                <mc:Choice Requires="wps">
                  <w:drawing>
                    <wp:anchor distT="0" distB="0" distL="114300" distR="114300" simplePos="0" relativeHeight="251676672" behindDoc="0" locked="0" layoutInCell="1" allowOverlap="1">
                      <wp:simplePos x="0" y="0"/>
                      <wp:positionH relativeFrom="column">
                        <wp:posOffset>1851025</wp:posOffset>
                      </wp:positionH>
                      <wp:positionV relativeFrom="paragraph">
                        <wp:posOffset>97155</wp:posOffset>
                      </wp:positionV>
                      <wp:extent cx="833120" cy="299085"/>
                      <wp:effectExtent l="0" t="0" r="0" b="0"/>
                      <wp:wrapNone/>
                      <wp:docPr id="40" name="矩形 40"/>
                      <wp:cNvGraphicFramePr/>
                      <a:graphic xmlns:a="http://schemas.openxmlformats.org/drawingml/2006/main">
                        <a:graphicData uri="http://schemas.microsoft.com/office/word/2010/wordprocessingShape">
                          <wps:wsp>
                            <wps:cNvSpPr/>
                            <wps:spPr>
                              <a:xfrm>
                                <a:off x="0" y="0"/>
                                <a:ext cx="833120" cy="299085"/>
                              </a:xfrm>
                              <a:prstGeom prst="rect">
                                <a:avLst/>
                              </a:prstGeom>
                              <a:solidFill>
                                <a:srgbClr val="FFFFFF">
                                  <a:alpha val="0"/>
                                </a:srgbClr>
                              </a:solidFill>
                              <a:ln>
                                <a:noFill/>
                              </a:ln>
                            </wps:spPr>
                            <wps:txbx>
                              <w:txbxContent>
                                <w:p>
                                  <w:pPr>
                                    <w:rPr>
                                      <w:rFonts w:hint="default"/>
                                      <w:sz w:val="21"/>
                                      <w:szCs w:val="21"/>
                                      <w:lang w:val="en-US"/>
                                    </w:rPr>
                                  </w:pPr>
                                  <w:r>
                                    <w:rPr>
                                      <w:rFonts w:hAnsi="宋体"/>
                                      <w:sz w:val="21"/>
                                      <w:szCs w:val="21"/>
                                    </w:rPr>
                                    <w:t>损耗</w:t>
                                  </w:r>
                                  <w:r>
                                    <w:rPr>
                                      <w:rFonts w:hint="eastAsia"/>
                                      <w:sz w:val="21"/>
                                      <w:szCs w:val="21"/>
                                      <w:lang w:val="en-US" w:eastAsia="zh-CN"/>
                                    </w:rPr>
                                    <w:t>30</w:t>
                                  </w:r>
                                </w:p>
                              </w:txbxContent>
                            </wps:txbx>
                            <wps:bodyPr upright="1"/>
                          </wps:wsp>
                        </a:graphicData>
                      </a:graphic>
                    </wp:anchor>
                  </w:drawing>
                </mc:Choice>
                <mc:Fallback>
                  <w:pict>
                    <v:rect id="_x0000_s1026" o:spid="_x0000_s1026" o:spt="1" style="position:absolute;left:0pt;margin-left:145.75pt;margin-top:7.65pt;height:23.55pt;width:65.6pt;z-index:251676672;mso-width-relative:page;mso-height-relative:page;" fillcolor="#FFFFFF" filled="t" stroked="f" coordsize="21600,21600" o:gfxdata="UEsDBAoAAAAAAIdO4kAAAAAAAAAAAAAAAAAEAAAAZHJzL1BLAwQUAAAACACHTuJALNsFNtkAAAAJ&#10;AQAADwAAAGRycy9kb3ducmV2LnhtbE2PPU/DMBCGdyT+g3VIbNSJ+wENcTrQZmBgIAV1deNrEhGf&#10;o9htw7/nmGA8vY/e97l8M7leXHAMnScN6SwBgVR721Gj4WNfPjyBCNGQNb0n1PCNATbF7U1uMuuv&#10;9I6XKjaCSyhkRkMb45BJGeoWnQkzPyBxdvKjM5HPsZF2NFcud71USbKSznTEC60Z8KXF+qs6Ow1V&#10;+Wnf1oc4P/ipbHav2+1pN+y1vr9Lk2cQEaf4B8OvPqtDwU5HfyYbRK9BrdMloxws5yAYWCj1COKo&#10;YaUWIItc/v+g+AFQSwMEFAAAAAgAh07iQK2pEyLCAQAAiAMAAA4AAABkcnMvZTJvRG9jLnhtbK1T&#10;zY7TMBC+I/EOlu80aRdQN2q6h63KBcFKyz6A6ziJJf9pxm3Sp0HixkPwOIjXYOyELiyXPWwOzsx4&#10;/M1839ibm9EadlKA2ruaLxclZ8pJ32jX1fzhy/7NmjOMwjXCeKdqflbIb7avX22GUKmV771pFDAC&#10;cVgNoeZ9jKEqCpS9sgIXPihHm60HKyK50BUNiIHQrSlWZfm+GDw0AbxUiBTdTZt8RoTnAPq21VLt&#10;vDxa5eKECsqISJSw1wH5NnfbtkrGz22LKjJTc2Ia80pFyD6ktdhuRNWBCL2WcwviOS084WSFdlT0&#10;ArUTUbAj6P+grJbg0bdxIb0tJiJZEWKxLJ9oc9+LoDIXkhrDRXR8OVj56XQHTDc1f0uSOGFp4r++&#10;fv/54xujAKkzBKwo6T7cwewhmYnq2IJNfyLBxqzo+aKoGiOTFFxfXS1XBCxpa3V9Xa7fJczi8XAA&#10;jB+UtywZNQcaWNZRnD5inFL/pKRa6I1u9tqY7EB3uDXAToKGu8/fdNaEXkzRTIHK4ZSaS/+DYVxC&#10;cj5hTuVSpEisJ57JiuNhnMkffHMmwY4BdNdTw8vMJyXRgDL8fJnSDfjbz6CPD2j7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CzbBTbZAAAACQEAAA8AAAAAAAAAAQAgAAAAIgAAAGRycy9kb3ducmV2&#10;LnhtbFBLAQIUABQAAAAIAIdO4kCtqRMiwgEAAIgDAAAOAAAAAAAAAAEAIAAAACgBAABkcnMvZTJv&#10;RG9jLnhtbFBLBQYAAAAABgAGAFkBAABcBQAAAAA=&#10;">
                      <v:fill on="t" opacity="0f" focussize="0,0"/>
                      <v:stroke on="f"/>
                      <v:imagedata o:title=""/>
                      <o:lock v:ext="edit" aspectratio="f"/>
                      <v:textbox>
                        <w:txbxContent>
                          <w:p>
                            <w:pPr>
                              <w:rPr>
                                <w:rFonts w:hint="default"/>
                                <w:sz w:val="21"/>
                                <w:szCs w:val="21"/>
                                <w:lang w:val="en-US"/>
                              </w:rPr>
                            </w:pPr>
                            <w:r>
                              <w:rPr>
                                <w:rFonts w:hAnsi="宋体"/>
                                <w:sz w:val="21"/>
                                <w:szCs w:val="21"/>
                              </w:rPr>
                              <w:t>损耗</w:t>
                            </w:r>
                            <w:r>
                              <w:rPr>
                                <w:rFonts w:hint="eastAsia"/>
                                <w:sz w:val="21"/>
                                <w:szCs w:val="21"/>
                                <w:lang w:val="en-US" w:eastAsia="zh-CN"/>
                              </w:rPr>
                              <w:t>30</w:t>
                            </w:r>
                          </w:p>
                        </w:txbxContent>
                      </v:textbox>
                    </v:rect>
                  </w:pict>
                </mc:Fallback>
              </mc:AlternateContent>
            </w:r>
          </w:p>
          <w:p>
            <w:pPr>
              <w:snapToGrid w:val="0"/>
              <w:rPr>
                <w:b/>
                <w:color w:val="auto"/>
                <w:u w:val="single"/>
              </w:rPr>
            </w:pPr>
            <w:r>
              <w:rPr>
                <w:color w:val="auto"/>
                <w:szCs w:val="24"/>
              </w:rPr>
              <mc:AlternateContent>
                <mc:Choice Requires="wps">
                  <w:drawing>
                    <wp:anchor distT="0" distB="0" distL="114300" distR="114300" simplePos="0" relativeHeight="251694080" behindDoc="0" locked="0" layoutInCell="1" allowOverlap="1">
                      <wp:simplePos x="0" y="0"/>
                      <wp:positionH relativeFrom="column">
                        <wp:posOffset>1654810</wp:posOffset>
                      </wp:positionH>
                      <wp:positionV relativeFrom="paragraph">
                        <wp:posOffset>100965</wp:posOffset>
                      </wp:positionV>
                      <wp:extent cx="267970" cy="238760"/>
                      <wp:effectExtent l="3810" t="0" r="7620" b="2540"/>
                      <wp:wrapNone/>
                      <wp:docPr id="41" name="任意多边形 41"/>
                      <wp:cNvGraphicFramePr/>
                      <a:graphic xmlns:a="http://schemas.openxmlformats.org/drawingml/2006/main">
                        <a:graphicData uri="http://schemas.microsoft.com/office/word/2010/wordprocessingShape">
                          <wps:wsp>
                            <wps:cNvSpPr/>
                            <wps:spPr>
                              <a:xfrm>
                                <a:off x="0" y="0"/>
                                <a:ext cx="267970" cy="238760"/>
                              </a:xfrm>
                              <a:custGeom>
                                <a:avLst/>
                                <a:gdLst/>
                                <a:ahLst/>
                                <a:cxnLst/>
                                <a:pathLst>
                                  <a:path w="753" h="680">
                                    <a:moveTo>
                                      <a:pt x="0" y="680"/>
                                    </a:moveTo>
                                    <a:lnTo>
                                      <a:pt x="422" y="104"/>
                                    </a:lnTo>
                                    <a:lnTo>
                                      <a:pt x="422" y="449"/>
                                    </a:lnTo>
                                    <a:lnTo>
                                      <a:pt x="753" y="0"/>
                                    </a:lnTo>
                                  </a:path>
                                </a:pathLst>
                              </a:custGeom>
                              <a:noFill/>
                              <a:ln w="9525" cap="flat" cmpd="sng">
                                <a:solidFill>
                                  <a:srgbClr val="000000"/>
                                </a:solidFill>
                                <a:prstDash val="dash"/>
                                <a:headEnd type="none" w="med" len="med"/>
                                <a:tailEnd type="triangle" w="sm" len="lg"/>
                              </a:ln>
                            </wps:spPr>
                            <wps:bodyPr upright="1"/>
                          </wps:wsp>
                        </a:graphicData>
                      </a:graphic>
                    </wp:anchor>
                  </w:drawing>
                </mc:Choice>
                <mc:Fallback>
                  <w:pict>
                    <v:shape id="_x0000_s1026" o:spid="_x0000_s1026" o:spt="100" style="position:absolute;left:0pt;margin-left:130.3pt;margin-top:7.95pt;height:18.8pt;width:21.1pt;z-index:251694080;mso-width-relative:page;mso-height-relative:page;" filled="f" stroked="t" coordsize="753,680" o:gfxdata="UEsDBAoAAAAAAIdO4kAAAAAAAAAAAAAAAAAEAAAAZHJzL1BLAwQUAAAACACHTuJAI2S8DdcAAAAJ&#10;AQAADwAAAGRycy9kb3ducmV2LnhtbE2PTU+EMBCG7yb+h2ZMvBi3BQQVKXsw2aw3I36cC8wCkU4J&#10;7cLuv3c86XHyPnnneYvtyY5iwdkPjjREGwUCqXHtQJ2Gj/fd7QMIHwy1ZnSEGs7oYVteXhQmb91K&#10;b7hUoRNcQj43GvoQplxK3/Rojd+4CYmzg5utCXzOnWxns3K5HWWsVCatGYg/9GbC5x6b7+poNdyc&#10;q6/kfr9f7xb5gt3hdYefdaT19VWknkAEPIU/GH71WR1KdqrdkVovRg1xpjJGOUgfQTCQqJi31BrS&#10;JAVZFvL/gvIHUEsDBBQAAAAIAIdO4kDHyBm4WwIAAOEEAAAOAAAAZHJzL2Uyb0RvYy54bWytVMuO&#10;0zAU3SPxD5b3NGmm05eazoIybBCMNMMHuLaTWPJLtvvas2fPEvETaARfwyA+g2snacsgoVmQRXLt&#10;e3J8z/G1F1d7JdGWOy+MLvFwkGPENTVM6LrE7++uX0wx8oFoRqTRvMQH7vHV8vmzxc7OeWEaIxl3&#10;CEi0n+9siZsQ7DzLPG24In5gLNeQrIxTJMDQ1RlzZAfsSmZFno+znXHMOkO59zC7apO4Y3RPITRV&#10;JShfGbpRXIeW1XFJAkjyjbAeL1O1VcVpeFdVngckSwxKQ3rDIhCv4ztbLsi8dsQ2gnYlkKeU8EiT&#10;IkLDokeqFQkEbZz4i0oJ6ow3VRhQo7JWSHIEVAzzR97cNsTypAWs9vZouv9/tPTt9sYhwUo8GmKk&#10;iYId/3F///PDx4cvn359//rw7TOCDNi0s34O6Ft747qRhzBq3ldOxS+oQftk7eFoLd8HRGGyGE9m&#10;EzCdQqq4mE7Gyfrs9DPd+PCam0REtm98aHeG9RFp+ojudR9aEuJ0XDyGaFfiyeUFRk2Jx9M8bYgy&#10;W35nEiKcqotZWADWP+WlPseNigIjKHaYjzpkn++/NvH1uNFo9k9cqqv3BdZtWSCIhadKjmJg8twN&#10;ba6FlMkOqaPE2WVxCU4SOHwVND2EysIGel0nxd5IweIvUbR39fqldGhL4gFIT1fmHzDrfFgR37Q4&#10;BlFEkXnDCXulGQoHC42h4ULAsQLFGUaSw/0Ro4QMRMgTMjhBdC1btFcdWNZHi0BxbKi2hWK0NuwA&#10;nbixTtQNHNPUcwkDnZ/86U5pPFrn48R0upm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jZLwN&#10;1wAAAAkBAAAPAAAAAAAAAAEAIAAAACIAAABkcnMvZG93bnJldi54bWxQSwECFAAUAAAACACHTuJA&#10;x8gZuFsCAADhBAAADgAAAAAAAAABACAAAAAmAQAAZHJzL2Uyb0RvYy54bWxQSwUGAAAAAAYABgBZ&#10;AQAA8wUAAAAA&#10;" path="m0,680l422,104,422,449,753,0e">
                      <v:fill on="f" focussize="0,0"/>
                      <v:stroke color="#000000" joinstyle="round" dashstyle="dash" endarrow="block" endarrowwidth="narrow" endarrowlength="long"/>
                      <v:imagedata o:title=""/>
                      <o:lock v:ext="edit" aspectratio="f"/>
                    </v:shape>
                  </w:pict>
                </mc:Fallback>
              </mc:AlternateContent>
            </w:r>
          </w:p>
          <w:p>
            <w:pPr>
              <w:snapToGrid w:val="0"/>
              <w:spacing w:line="360" w:lineRule="auto"/>
              <w:rPr>
                <w:b/>
                <w:color w:val="auto"/>
                <w:u w:val="single"/>
              </w:rPr>
            </w:pPr>
            <w:r>
              <w:rPr>
                <w:b/>
                <w:color w:val="auto"/>
                <w:u w:val="single"/>
              </w:rPr>
              <mc:AlternateContent>
                <mc:Choice Requires="wps">
                  <w:drawing>
                    <wp:anchor distT="0" distB="0" distL="114300" distR="114300" simplePos="0" relativeHeight="251686912" behindDoc="0" locked="0" layoutInCell="1" allowOverlap="1">
                      <wp:simplePos x="0" y="0"/>
                      <wp:positionH relativeFrom="column">
                        <wp:posOffset>3512185</wp:posOffset>
                      </wp:positionH>
                      <wp:positionV relativeFrom="paragraph">
                        <wp:posOffset>29210</wp:posOffset>
                      </wp:positionV>
                      <wp:extent cx="513080" cy="299085"/>
                      <wp:effectExtent l="0" t="0" r="0" b="0"/>
                      <wp:wrapNone/>
                      <wp:docPr id="46" name="矩形 46"/>
                      <wp:cNvGraphicFramePr/>
                      <a:graphic xmlns:a="http://schemas.openxmlformats.org/drawingml/2006/main">
                        <a:graphicData uri="http://schemas.microsoft.com/office/word/2010/wordprocessingShape">
                          <wps:wsp>
                            <wps:cNvSpPr/>
                            <wps:spPr>
                              <a:xfrm>
                                <a:off x="0" y="0"/>
                                <a:ext cx="513080" cy="299085"/>
                              </a:xfrm>
                              <a:prstGeom prst="rect">
                                <a:avLst/>
                              </a:prstGeom>
                              <a:solidFill>
                                <a:srgbClr val="FFFFFF">
                                  <a:alpha val="0"/>
                                </a:srgbClr>
                              </a:solidFill>
                              <a:ln>
                                <a:noFill/>
                              </a:ln>
                            </wps:spPr>
                            <wps:txbx>
                              <w:txbxContent>
                                <w:p>
                                  <w:pPr>
                                    <w:rPr>
                                      <w:rFonts w:hint="default" w:eastAsiaTheme="minorEastAsia"/>
                                      <w:sz w:val="21"/>
                                      <w:szCs w:val="21"/>
                                      <w:lang w:val="en-US"/>
                                    </w:rPr>
                                  </w:pPr>
                                  <w:r>
                                    <w:rPr>
                                      <w:rFonts w:hint="eastAsia" w:eastAsiaTheme="minorEastAsia"/>
                                      <w:sz w:val="21"/>
                                      <w:szCs w:val="21"/>
                                      <w:lang w:val="en-US" w:eastAsia="zh-CN"/>
                                    </w:rPr>
                                    <w:t>120</w:t>
                                  </w:r>
                                </w:p>
                              </w:txbxContent>
                            </wps:txbx>
                            <wps:bodyPr upright="1"/>
                          </wps:wsp>
                        </a:graphicData>
                      </a:graphic>
                    </wp:anchor>
                  </w:drawing>
                </mc:Choice>
                <mc:Fallback>
                  <w:pict>
                    <v:rect id="_x0000_s1026" o:spid="_x0000_s1026" o:spt="1" style="position:absolute;left:0pt;margin-left:276.55pt;margin-top:2.3pt;height:23.55pt;width:40.4pt;z-index:251686912;mso-width-relative:page;mso-height-relative:page;" fillcolor="#FFFFFF" filled="t" stroked="f" coordsize="21600,21600" o:gfxdata="UEsDBAoAAAAAAIdO4kAAAAAAAAAAAAAAAAAEAAAAZHJzL1BLAwQUAAAACACHTuJA7iH7ZdgAAAAI&#10;AQAADwAAAGRycy9kb3ducmV2LnhtbE2PMU/DMBCFdyT+g3VIbNRJQwMNcTq0zcDAQArq6sbXJCI+&#10;R7Hbpv++xwTj6Xt677t8NdlenHH0nSMF8SwCgVQ701Gj4GtXPr2C8EGT0b0jVHBFD6vi/i7XmXEX&#10;+sRzFRrBJeQzraANYcik9HWLVvuZG5CYHd1odeBzbKQZ9YXLbS/nUZRKqzvihVYPuG6x/qlOVkFV&#10;fpuP5T4kezeVzfZ9szluh51Sjw9x9AYi4BT+wvCrz+pQsNPBnch40StYLJKYowqeUxDM0yRZgjgw&#10;iF9AFrn8/0BxA1BLAwQUAAAACACHTuJA1EFob8MBAACIAwAADgAAAGRycy9lMm9Eb2MueG1srVPN&#10;jtMwEL4j8Q6W7zRpYVfdqOkeqMoFwUoLD+A6TmLJf5pxm/RpkLjxEDwO4jUYO6ELu5c9bA7OzHj8&#10;zXzf2Jvb0Rp2UoDau5ovFyVnyknfaNfV/OuX/Zs1ZxiFa4TxTtX8rJDfbl+/2gyhUivfe9MoYATi&#10;sBpCzfsYQ1UUKHtlBS58UI42Ww9WRHKhKxoQA6FbU6zK8roYPDQBvFSIFN1Nm3xGhOcA+rbVUu28&#10;PFrl4oQKyohIlLDXAfk2d9u2SsbPbYsqMlNzYhrzSkXIPqS12G5E1YEIvZZzC+I5LTziZIV2VPQC&#10;tRNRsCPoJ1BWS/Do27iQ3hYTkawIsViWj7S570VQmQtJjeEiOr4crPx0ugOmm5q/u+bMCUsT//3t&#10;x6+f3xkFSJ0hYEVJ9+EOZg/JTFTHFmz6Ewk2ZkXPF0XVGJmk4NXybbkmrSVtrW5uyvVVwiweDgfA&#10;+EF5y5JRc6CBZR3F6SPGKfVvSqqF3uhmr43JDnSH9wbYSdBw9/mbzprQiymaB0zlcErNpf/DMC4h&#10;OZ8wp3IpUiTWE89kxfEwzuQPvjmTYMcAuuup4WXmk5JoQBl+vkzpBvzrZ9CHB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4h+2XYAAAACAEAAA8AAAAAAAAAAQAgAAAAIgAAAGRycy9kb3ducmV2&#10;LnhtbFBLAQIUABQAAAAIAIdO4kDUQWhvwwEAAIgDAAAOAAAAAAAAAAEAIAAAACcBAABkcnMvZTJv&#10;RG9jLnhtbFBLBQYAAAAABgAGAFkBAABcBQAAAAA=&#10;">
                      <v:fill on="t" opacity="0f" focussize="0,0"/>
                      <v:stroke on="f"/>
                      <v:imagedata o:title=""/>
                      <o:lock v:ext="edit" aspectratio="f"/>
                      <v:textbox>
                        <w:txbxContent>
                          <w:p>
                            <w:pPr>
                              <w:rPr>
                                <w:rFonts w:hint="default" w:eastAsiaTheme="minorEastAsia"/>
                                <w:sz w:val="21"/>
                                <w:szCs w:val="21"/>
                                <w:lang w:val="en-US"/>
                              </w:rPr>
                            </w:pPr>
                            <w:r>
                              <w:rPr>
                                <w:rFonts w:hint="eastAsia" w:eastAsiaTheme="minorEastAsia"/>
                                <w:sz w:val="21"/>
                                <w:szCs w:val="21"/>
                                <w:lang w:val="en-US" w:eastAsia="zh-CN"/>
                              </w:rPr>
                              <w:t>120</w:t>
                            </w:r>
                          </w:p>
                        </w:txbxContent>
                      </v:textbox>
                    </v:rect>
                  </w:pict>
                </mc:Fallback>
              </mc:AlternateContent>
            </w:r>
            <w:r>
              <w:rPr>
                <w:b/>
                <w:color w:val="auto"/>
                <w:u w:val="single"/>
              </w:rPr>
              <mc:AlternateContent>
                <mc:Choice Requires="wps">
                  <w:drawing>
                    <wp:anchor distT="0" distB="0" distL="114300" distR="114300" simplePos="0" relativeHeight="251679744" behindDoc="0" locked="0" layoutInCell="1" allowOverlap="1">
                      <wp:simplePos x="0" y="0"/>
                      <wp:positionH relativeFrom="column">
                        <wp:posOffset>798830</wp:posOffset>
                      </wp:positionH>
                      <wp:positionV relativeFrom="paragraph">
                        <wp:posOffset>35560</wp:posOffset>
                      </wp:positionV>
                      <wp:extent cx="477520" cy="299085"/>
                      <wp:effectExtent l="0" t="0" r="0" b="0"/>
                      <wp:wrapNone/>
                      <wp:docPr id="44" name="矩形 44"/>
                      <wp:cNvGraphicFramePr/>
                      <a:graphic xmlns:a="http://schemas.openxmlformats.org/drawingml/2006/main">
                        <a:graphicData uri="http://schemas.microsoft.com/office/word/2010/wordprocessingShape">
                          <wps:wsp>
                            <wps:cNvSpPr/>
                            <wps:spPr>
                              <a:xfrm>
                                <a:off x="0" y="0"/>
                                <a:ext cx="477520" cy="299085"/>
                              </a:xfrm>
                              <a:prstGeom prst="rect">
                                <a:avLst/>
                              </a:prstGeom>
                              <a:solidFill>
                                <a:srgbClr val="FFFFFF">
                                  <a:alpha val="0"/>
                                </a:srgbClr>
                              </a:solidFill>
                              <a:ln>
                                <a:noFill/>
                              </a:ln>
                            </wps:spPr>
                            <wps:txbx>
                              <w:txbxContent>
                                <w:p>
                                  <w:pPr>
                                    <w:rPr>
                                      <w:rFonts w:hint="default" w:eastAsiaTheme="minorEastAsia"/>
                                      <w:sz w:val="21"/>
                                      <w:szCs w:val="21"/>
                                      <w:lang w:val="en-US"/>
                                    </w:rPr>
                                  </w:pPr>
                                  <w:r>
                                    <w:rPr>
                                      <w:rFonts w:hint="eastAsia" w:eastAsiaTheme="minorEastAsia"/>
                                      <w:sz w:val="21"/>
                                      <w:szCs w:val="21"/>
                                      <w:lang w:val="en-US" w:eastAsia="zh-CN"/>
                                    </w:rPr>
                                    <w:t>150</w:t>
                                  </w:r>
                                </w:p>
                              </w:txbxContent>
                            </wps:txbx>
                            <wps:bodyPr upright="1"/>
                          </wps:wsp>
                        </a:graphicData>
                      </a:graphic>
                    </wp:anchor>
                  </w:drawing>
                </mc:Choice>
                <mc:Fallback>
                  <w:pict>
                    <v:rect id="_x0000_s1026" o:spid="_x0000_s1026" o:spt="1" style="position:absolute;left:0pt;margin-left:62.9pt;margin-top:2.8pt;height:23.55pt;width:37.6pt;z-index:251679744;mso-width-relative:page;mso-height-relative:page;" fillcolor="#FFFFFF" filled="t" stroked="f" coordsize="21600,21600" o:gfxdata="UEsDBAoAAAAAAIdO4kAAAAAAAAAAAAAAAAAEAAAAZHJzL1BLAwQUAAAACACHTuJAQcz0p9YAAAAI&#10;AQAADwAAAGRycy9kb3ducmV2LnhtbE2PMU/DMBCFd6T+B+sqsVE7qVogxOnQNgMDAymoqxtfk4j4&#10;HMVuG/49xwTjp3d69718M7leXHEMnScNyUKBQKq97ajR8HEoH55AhGjImt4TavjGAJtidpebzPob&#10;veO1io3gEgqZ0dDGOGRShrpFZ8LCD0icnf3oTGQcG2lHc+Ny18tUqbV0piP+0JoBty3WX9XFaajK&#10;T/v2fIzLo5/KZv+62533w0Hr+3miXkBEnOLfMfzqszoU7HTyF7JB9MzpitWjhtUaBOepSnjbiTl9&#10;BFnk8v+A4gdQSwMEFAAAAAgAh07iQDa+/rbDAQAAiAMAAA4AAABkcnMvZTJvRG9jLnhtbK1TzY7T&#10;MBC+I/EOlu80adVld6Ome6AqFwQrLfsAruMklvynGbdJnwaJGw/B4yBeg7ETurBc9kAOzsx4/M18&#10;39ibu9EadlKA2ruaLxclZ8pJ32jX1fzx8/7NDWcYhWuE8U7V/KyQ321fv9oMoVIr33vTKGAE4rAa&#10;Qs37GENVFCh7ZQUufFCONlsPVkRyoSsaEAOhW1OsyvJtMXhoAnipECm6mzb5jAgvAfRtq6XaeXm0&#10;ysUJFZQRkShhrwPybe62bZWMn9oWVWSm5sQ05pWKkH1Ia7HdiKoDEXot5xbES1p4xskK7ajoBWon&#10;omBH0P9AWS3Bo2/jQnpbTESyIsRiWT7T5qEXQWUuJDWGi+j4/2Dlx9M9MN3UfL3mzAlLE//55duP&#10;718ZBUidIWBFSQ/hHmYPyUxUxxZs+hMJNmZFzxdF1RiZpOD6+vpqRVpL2lrd3pY3VwmzeDocAON7&#10;5S1LRs2BBpZ1FKcPGKfU3ympFnqjm702JjvQHd4ZYCdBw93nbzprQi+maB4wlcMpNZf+C8O4hOR8&#10;wpzKpUiRWE88kxXHwziTP/jmTIIdA+iup4aXmU9KogFl+PkypRvwp59Bnx7Q9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BBzPSn1gAAAAgBAAAPAAAAAAAAAAEAIAAAACIAAABkcnMvZG93bnJldi54&#10;bWxQSwECFAAUAAAACACHTuJANr7+tsMBAACIAwAADgAAAAAAAAABACAAAAAlAQAAZHJzL2Uyb0Rv&#10;Yy54bWxQSwUGAAAAAAYABgBZAQAAWgUAAAAA&#10;">
                      <v:fill on="t" opacity="0f" focussize="0,0"/>
                      <v:stroke on="f"/>
                      <v:imagedata o:title=""/>
                      <o:lock v:ext="edit" aspectratio="f"/>
                      <v:textbox>
                        <w:txbxContent>
                          <w:p>
                            <w:pPr>
                              <w:rPr>
                                <w:rFonts w:hint="default" w:eastAsiaTheme="minorEastAsia"/>
                                <w:sz w:val="21"/>
                                <w:szCs w:val="21"/>
                                <w:lang w:val="en-US"/>
                              </w:rPr>
                            </w:pPr>
                            <w:r>
                              <w:rPr>
                                <w:rFonts w:hint="eastAsia" w:eastAsiaTheme="minorEastAsia"/>
                                <w:sz w:val="21"/>
                                <w:szCs w:val="21"/>
                                <w:lang w:val="en-US" w:eastAsia="zh-CN"/>
                              </w:rPr>
                              <w:t>150</w:t>
                            </w:r>
                          </w:p>
                        </w:txbxContent>
                      </v:textbox>
                    </v:rect>
                  </w:pict>
                </mc:Fallback>
              </mc:AlternateContent>
            </w:r>
            <w:r>
              <w:rPr>
                <w:b/>
                <w:color w:val="auto"/>
                <w:szCs w:val="24"/>
              </w:rPr>
              <mc:AlternateContent>
                <mc:Choice Requires="wps">
                  <w:drawing>
                    <wp:anchor distT="0" distB="0" distL="114300" distR="114300" simplePos="0" relativeHeight="251684864" behindDoc="0" locked="0" layoutInCell="1" allowOverlap="1">
                      <wp:simplePos x="0" y="0"/>
                      <wp:positionH relativeFrom="column">
                        <wp:posOffset>3940175</wp:posOffset>
                      </wp:positionH>
                      <wp:positionV relativeFrom="paragraph">
                        <wp:posOffset>151130</wp:posOffset>
                      </wp:positionV>
                      <wp:extent cx="774700" cy="299085"/>
                      <wp:effectExtent l="0" t="0" r="0" b="0"/>
                      <wp:wrapNone/>
                      <wp:docPr id="45" name="矩形 45"/>
                      <wp:cNvGraphicFramePr/>
                      <a:graphic xmlns:a="http://schemas.openxmlformats.org/drawingml/2006/main">
                        <a:graphicData uri="http://schemas.microsoft.com/office/word/2010/wordprocessingShape">
                          <wps:wsp>
                            <wps:cNvSpPr/>
                            <wps:spPr>
                              <a:xfrm>
                                <a:off x="0" y="0"/>
                                <a:ext cx="774700" cy="299085"/>
                              </a:xfrm>
                              <a:prstGeom prst="rect">
                                <a:avLst/>
                              </a:prstGeom>
                              <a:solidFill>
                                <a:srgbClr val="FFFFFF">
                                  <a:alpha val="0"/>
                                </a:srgbClr>
                              </a:solidFill>
                              <a:ln>
                                <a:noFill/>
                              </a:ln>
                            </wps:spPr>
                            <wps:txbx>
                              <w:txbxContent>
                                <w:p>
                                  <w:pPr>
                                    <w:rPr>
                                      <w:sz w:val="21"/>
                                      <w:szCs w:val="21"/>
                                    </w:rPr>
                                  </w:pPr>
                                  <w:r>
                                    <w:rPr>
                                      <w:rFonts w:hint="eastAsia" w:hAnsi="宋体"/>
                                      <w:sz w:val="21"/>
                                      <w:szCs w:val="21"/>
                                    </w:rPr>
                                    <w:t>纳管排放</w:t>
                                  </w:r>
                                </w:p>
                              </w:txbxContent>
                            </wps:txbx>
                            <wps:bodyPr upright="1"/>
                          </wps:wsp>
                        </a:graphicData>
                      </a:graphic>
                    </wp:anchor>
                  </w:drawing>
                </mc:Choice>
                <mc:Fallback>
                  <w:pict>
                    <v:rect id="_x0000_s1026" o:spid="_x0000_s1026" o:spt="1" style="position:absolute;left:0pt;margin-left:310.25pt;margin-top:11.9pt;height:23.55pt;width:61pt;z-index:251684864;mso-width-relative:page;mso-height-relative:page;" fillcolor="#FFFFFF" filled="t" stroked="f" coordsize="21600,21600" o:gfxdata="UEsDBAoAAAAAAIdO4kAAAAAAAAAAAAAAAAAEAAAAZHJzL1BLAwQUAAAACACHTuJAQ7Z/pNgAAAAJ&#10;AQAADwAAAGRycy9kb3ducmV2LnhtbE2PMW/CMBCF90r9D9ZV6lZsAqUljcNQyNChA6EVq4mPJGp8&#10;jmID4d/3OpXt7t7Tu+9lq9F14oxDaD1pmE4UCKTK25ZqDV+74ukVRIiGrOk8oYYrBljl93eZSa2/&#10;0BbPZawFh1BIjYYmxj6VMlQNOhMmvkdi7egHZyKvQy3tYC4c7jqZKLWQzrTEHxrT43uD1U95chrK&#10;4tt+LvdxtvdjUW8+1uvjpt9p/fgwVW8gIo7x3wx/+IwOOTMd/IlsEJ2GRaKe2aohmXEFNrzMEz4c&#10;eFBLkHkmbxvkv1BLAwQUAAAACACHTuJAd+8dx8MBAACIAwAADgAAAGRycy9lMm9Eb2MueG1srVPN&#10;jtMwEL4j8Q6W7zRptdDdqOkeqMoFwUoLD+A6TmLJf5pxm/RpkLjxEDwO4jUYO6ELu5c9bA7OzHj8&#10;zXzf2Jvb0Rp2UoDau5ovFyVnyknfaNfV/OuX/ZtrzjAK1wjjnar5WSG/3b5+tRlCpVa+96ZRwAjE&#10;YTWEmvcxhqooUPbKClz4oBxtth6siORCVzQgBkK3pliV5bti8NAE8FIhUnQ3bfIZEZ4D6NtWS7Xz&#10;8miVixMqKCMiUcJeB+Tb3G3bKhk/ty2qyEzNiWnMKxUh+5DWYrsRVQci9FrOLYjntPCIkxXaUdEL&#10;1E5EwY6gn0BZLcGjb+NCeltMRLIixGJZPtLmvhdBZS4kNYaL6PhysPLT6Q6Ybmp+9ZYzJyxN/Pe3&#10;H79+fmcUIHWGgBUl3Yc7mD0kM1EdW7DpTyTYmBU9XxRVY2SSguv11bokrSVtrW5uyuuMWTwcDoDx&#10;g/KWJaPmQAPLOorTR4xUkFL/pqRa6I1u9tqY7EB3eG+AnQQNd5+/6awJvZiiecCEgVNqxvsPw7iE&#10;5HzCnMqlSJFYTzyTFcfDOJM/+OZMgh0D6K6nhpdJo5xOA8rw82VKN+BfP2c9PKDt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EO2f6TYAAAACQEAAA8AAAAAAAAAAQAgAAAAIgAAAGRycy9kb3ducmV2&#10;LnhtbFBLAQIUABQAAAAIAIdO4kB37x3HwwEAAIgDAAAOAAAAAAAAAAEAIAAAACcBAABkcnMvZTJv&#10;RG9jLnhtbFBLBQYAAAAABgAGAFkBAABcBQAAAAA=&#10;">
                      <v:fill on="t" opacity="0f" focussize="0,0"/>
                      <v:stroke on="f"/>
                      <v:imagedata o:title=""/>
                      <o:lock v:ext="edit" aspectratio="f"/>
                      <v:textbox>
                        <w:txbxContent>
                          <w:p>
                            <w:pPr>
                              <w:rPr>
                                <w:sz w:val="21"/>
                                <w:szCs w:val="21"/>
                              </w:rPr>
                            </w:pPr>
                            <w:r>
                              <w:rPr>
                                <w:rFonts w:hint="eastAsia" w:hAnsi="宋体"/>
                                <w:sz w:val="21"/>
                                <w:szCs w:val="21"/>
                              </w:rPr>
                              <w:t>纳管排放</w:t>
                            </w:r>
                          </w:p>
                        </w:txbxContent>
                      </v:textbox>
                    </v:rect>
                  </w:pict>
                </mc:Fallback>
              </mc:AlternateContent>
            </w:r>
            <w:r>
              <w:rPr>
                <w:b/>
                <w:color w:val="auto"/>
                <w:u w:val="single"/>
              </w:rPr>
              <mc:AlternateContent>
                <mc:Choice Requires="wps">
                  <w:drawing>
                    <wp:anchor distT="0" distB="0" distL="114300" distR="114300" simplePos="0" relativeHeight="251674624" behindDoc="0" locked="0" layoutInCell="1" allowOverlap="1">
                      <wp:simplePos x="0" y="0"/>
                      <wp:positionH relativeFrom="column">
                        <wp:posOffset>2920365</wp:posOffset>
                      </wp:positionH>
                      <wp:positionV relativeFrom="paragraph">
                        <wp:posOffset>156845</wp:posOffset>
                      </wp:positionV>
                      <wp:extent cx="612775" cy="313055"/>
                      <wp:effectExtent l="4445" t="5080" r="5080" b="12065"/>
                      <wp:wrapNone/>
                      <wp:docPr id="47" name="矩形 47"/>
                      <wp:cNvGraphicFramePr/>
                      <a:graphic xmlns:a="http://schemas.openxmlformats.org/drawingml/2006/main">
                        <a:graphicData uri="http://schemas.microsoft.com/office/word/2010/wordprocessingShape">
                          <wps:wsp>
                            <wps:cNvSpPr/>
                            <wps:spPr>
                              <a:xfrm>
                                <a:off x="0" y="0"/>
                                <a:ext cx="612775" cy="313055"/>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sz w:val="21"/>
                                      <w:szCs w:val="21"/>
                                    </w:rPr>
                                  </w:pPr>
                                  <w:r>
                                    <w:rPr>
                                      <w:rFonts w:hint="eastAsia" w:hAnsi="宋体"/>
                                      <w:sz w:val="21"/>
                                      <w:szCs w:val="21"/>
                                    </w:rPr>
                                    <w:t>化粪池</w:t>
                                  </w:r>
                                </w:p>
                              </w:txbxContent>
                            </wps:txbx>
                            <wps:bodyPr upright="1"/>
                          </wps:wsp>
                        </a:graphicData>
                      </a:graphic>
                    </wp:anchor>
                  </w:drawing>
                </mc:Choice>
                <mc:Fallback>
                  <w:pict>
                    <v:rect id="_x0000_s1026" o:spid="_x0000_s1026" o:spt="1" style="position:absolute;left:0pt;margin-left:229.95pt;margin-top:12.35pt;height:24.65pt;width:48.25pt;z-index:251674624;mso-width-relative:page;mso-height-relative:page;" fillcolor="#FFFFFF" filled="t" stroked="t" coordsize="21600,21600" o:gfxdata="UEsDBAoAAAAAAIdO4kAAAAAAAAAAAAAAAAAEAAAAZHJzL1BLAwQUAAAACACHTuJAGFsAGNgAAAAJ&#10;AQAADwAAAGRycy9kb3ducmV2LnhtbE2PwU7DMBBE70j8g7VI3KjdyGlJyKYSSBwQIKBw4OjGSxKI&#10;11HstuHvMSc4ruZp5m21md0gDjSF3jPCcqFAEDfe9twivL3eXlyCCNGwNYNnQvimAJv69KQypfVH&#10;fqHDNrYilXAoDUIX41hKGZqOnAkLPxKn7MNPzsR0Tq20kzmmcjfITKmVdKbntNCZkW46ar62e4fw&#10;+fiUX99lD1mwlu9nWWhlnt8Rz8+W6gpEpDn+wfCrn9ShTk47v2cbxICg86JIKEKm1yASkOcrDWKH&#10;sNYKZF3J/x/UP1BLAwQUAAAACACHTuJAjyfMxwUCAAAoBAAADgAAAGRycy9lMm9Eb2MueG1srVPN&#10;jtMwEL4j8Q6W7zRpl27ZqOkeKOWCYKWFB3BtJ7HkP3ncJn0aJG48BI+DeA3GTuj+HvZADs6MPf5m&#10;vm/G6+vBaHKUAZSzNZ3PSkqk5U4o29b029fdm3eUQGRWMO2srOlJAr3evH617n0lF65zWshAEMRC&#10;1fuadjH6qiiAd9IwmDkvLR42LhgW0Q1tIQLrEd3oYlGWl0XvgvDBcQmAu9vxkE6I4SWArmkUl1vH&#10;D0baOKIGqVlEStApD3STq20ayeOXpgEZia4pMo15xSRo79NabNasagPzneJTCewlJTziZJiymPQM&#10;tWWRkUNQT6CM4sGBa+KMO1OMRLIiyGJePtLmtmNeZi4oNfiz6PD/YPnn400gStT07YoSywx2/M/3&#10;n79//SC4ger0HioMuvU3YfIAzUR1aIJJfyRBhqzo6ayoHCLhuHk5X6xWS0o4Hl3ML8rlMmEWd5d9&#10;gPhROkOSUdOADcs6suMniGPov5CUC5xWYqe0zk5o9+91IEeGzd3lb0J/EKYt6Wt6tVykOhhObIOT&#10;gqbxyBpsm/M9uAH3gcv8PQecCtsy6MYCMkIKY5VRUYZsdZKJD1aQePIorMUHRVMxRgpKtMT3l6wc&#10;GZnSz0SCmQJ1O5WgLQqYujL2IVlx2A8Iksy9Eyds6MEH1XYo6DzfSic4QFn5adjThN73M+jdA9/8&#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hbABjYAAAACQEAAA8AAAAAAAAAAQAgAAAAIgAAAGRy&#10;cy9kb3ducmV2LnhtbFBLAQIUABQAAAAIAIdO4kCPJ8zHBQIAACgEAAAOAAAAAAAAAAEAIAAAACcB&#10;AABkcnMvZTJvRG9jLnhtbFBLBQYAAAAABgAGAFkBAACeBQAAAAA=&#10;">
                      <v:fill on="t" focussize="0,0"/>
                      <v:stroke color="#000000" joinstyle="miter" endarrowwidth="narrow" endarrowlength="long"/>
                      <v:imagedata o:title=""/>
                      <o:lock v:ext="edit" aspectratio="f"/>
                      <v:textbox>
                        <w:txbxContent>
                          <w:p>
                            <w:pPr>
                              <w:jc w:val="center"/>
                              <w:rPr>
                                <w:sz w:val="21"/>
                                <w:szCs w:val="21"/>
                              </w:rPr>
                            </w:pPr>
                            <w:r>
                              <w:rPr>
                                <w:rFonts w:hint="eastAsia" w:hAnsi="宋体"/>
                                <w:sz w:val="21"/>
                                <w:szCs w:val="21"/>
                              </w:rPr>
                              <w:t>化粪池</w:t>
                            </w:r>
                          </w:p>
                        </w:txbxContent>
                      </v:textbox>
                    </v:rect>
                  </w:pict>
                </mc:Fallback>
              </mc:AlternateContent>
            </w:r>
            <w:r>
              <w:rPr>
                <w:b/>
                <w:color w:val="auto"/>
                <w:u w:val="single"/>
              </w:rPr>
              <mc:AlternateContent>
                <mc:Choice Requires="wps">
                  <w:drawing>
                    <wp:anchor distT="0" distB="0" distL="114300" distR="114300" simplePos="0" relativeHeight="251675648" behindDoc="0" locked="0" layoutInCell="1" allowOverlap="1">
                      <wp:simplePos x="0" y="0"/>
                      <wp:positionH relativeFrom="column">
                        <wp:posOffset>2440940</wp:posOffset>
                      </wp:positionH>
                      <wp:positionV relativeFrom="paragraph">
                        <wp:posOffset>29845</wp:posOffset>
                      </wp:positionV>
                      <wp:extent cx="470535" cy="299085"/>
                      <wp:effectExtent l="0" t="0" r="0" b="0"/>
                      <wp:wrapNone/>
                      <wp:docPr id="52" name="矩形 52"/>
                      <wp:cNvGraphicFramePr/>
                      <a:graphic xmlns:a="http://schemas.openxmlformats.org/drawingml/2006/main">
                        <a:graphicData uri="http://schemas.microsoft.com/office/word/2010/wordprocessingShape">
                          <wps:wsp>
                            <wps:cNvSpPr/>
                            <wps:spPr>
                              <a:xfrm>
                                <a:off x="0" y="0"/>
                                <a:ext cx="470535" cy="299085"/>
                              </a:xfrm>
                              <a:prstGeom prst="rect">
                                <a:avLst/>
                              </a:prstGeom>
                              <a:solidFill>
                                <a:srgbClr val="FFFFFF">
                                  <a:alpha val="0"/>
                                </a:srgbClr>
                              </a:solidFill>
                              <a:ln>
                                <a:noFill/>
                              </a:ln>
                            </wps:spPr>
                            <wps:txbx>
                              <w:txbxContent>
                                <w:p>
                                  <w:pPr>
                                    <w:rPr>
                                      <w:rFonts w:hint="default" w:eastAsiaTheme="minorEastAsia"/>
                                      <w:sz w:val="21"/>
                                      <w:szCs w:val="21"/>
                                      <w:lang w:val="en-US"/>
                                    </w:rPr>
                                  </w:pPr>
                                  <w:r>
                                    <w:rPr>
                                      <w:rFonts w:hint="eastAsia" w:eastAsiaTheme="minorEastAsia"/>
                                      <w:sz w:val="21"/>
                                      <w:szCs w:val="21"/>
                                      <w:lang w:val="en-US" w:eastAsia="zh-CN"/>
                                    </w:rPr>
                                    <w:t>120</w:t>
                                  </w:r>
                                </w:p>
                              </w:txbxContent>
                            </wps:txbx>
                            <wps:bodyPr upright="1"/>
                          </wps:wsp>
                        </a:graphicData>
                      </a:graphic>
                    </wp:anchor>
                  </w:drawing>
                </mc:Choice>
                <mc:Fallback>
                  <w:pict>
                    <v:rect id="_x0000_s1026" o:spid="_x0000_s1026" o:spt="1" style="position:absolute;left:0pt;margin-left:192.2pt;margin-top:2.35pt;height:23.55pt;width:37.05pt;z-index:251675648;mso-width-relative:page;mso-height-relative:page;" fillcolor="#FFFFFF" filled="t" stroked="f" coordsize="21600,21600" o:gfxdata="UEsDBAoAAAAAAIdO4kAAAAAAAAAAAAAAAAAEAAAAZHJzL1BLAwQUAAAACACHTuJAdyiMJ9gAAAAI&#10;AQAADwAAAGRycy9kb3ducmV2LnhtbE2PMU/DMBSEdyT+g/WQ2KgTmkAa8tKBNgMDAylVVzd+TSLi&#10;5yh22/DvMROMpzvdfVesZzOIC02ut4wQLyIQxI3VPbcIn7vqIQPhvGKtBsuE8E0O1uXtTaFyba/8&#10;QZfatyKUsMsVQuf9mEvpmo6Mcgs7EgfvZCejfJBTK/WkrqHcDPIxip6kUT2HhU6N9NpR81WfDUJd&#10;7fX76uCXBztX7fZtszltxx3i/V0cvYDwNPu/MPziB3QoA9PRnlk7MSAssyQJUYTkGUTwkzRLQRwR&#10;0jgDWRby/4HyB1BLAwQUAAAACACHTuJA7W1QH8MBAACIAwAADgAAAGRycy9lMm9Eb2MueG1srVPN&#10;jtMwEL4j8Q6W7zRpobAbNd0DVbkgWGnhAVzHSSz5TzNukz4NEjcegsdBvAZjJ3TZ3cseyMGZGY+/&#10;me8be3MzWsNOClB7V/PlouRMOekb7bqaf/2yf3XFGUbhGmG8UzU/K+Q325cvNkOo1Mr33jQKGIE4&#10;rIZQ8z7GUBUFyl5ZgQsflKPN1oMVkVzoigbEQOjWFKuyfFsMHpoAXipEiu6mTT4jwnMAfdtqqXZe&#10;Hq1ycUIFZUQkStjrgHybu21bJePntkUVmak5MY15pSJkH9JabDei6kCEXsu5BfGcFh5xskI7KnqB&#10;2oko2BH0EyirJXj0bVxIb4uJSFaEWCzLR9rc9SKozIWkxnARHf8frPx0ugWmm5qvV5w5YWniv7/9&#10;+PXzO6MAqTMErCjpLtzC7CGZierYgk1/IsHGrOj5oqgaI5MUfPOuXL9ecyZpa3V9XV6tE2ZxfzgA&#10;xg/KW5aMmgMNLOsoTh8xTql/U1It9EY3e21MdqA7vDfAToKGu8/fdNaEXkzRPGAqh1NqLv0Aw7iE&#10;5HzCnMqlSJFYTzyTFcfDOJM/+OZMgh0D6K6nhpeZT0qiAWX4+TKlG/Cvn0HvH9D2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cojCfYAAAACAEAAA8AAAAAAAAAAQAgAAAAIgAAAGRycy9kb3ducmV2&#10;LnhtbFBLAQIUABQAAAAIAIdO4kDtbVAfwwEAAIgDAAAOAAAAAAAAAAEAIAAAACcBAABkcnMvZTJv&#10;RG9jLnhtbFBLBQYAAAAABgAGAFkBAABcBQAAAAA=&#10;">
                      <v:fill on="t" opacity="0f" focussize="0,0"/>
                      <v:stroke on="f"/>
                      <v:imagedata o:title=""/>
                      <o:lock v:ext="edit" aspectratio="f"/>
                      <v:textbox>
                        <w:txbxContent>
                          <w:p>
                            <w:pPr>
                              <w:rPr>
                                <w:rFonts w:hint="default" w:eastAsiaTheme="minorEastAsia"/>
                                <w:sz w:val="21"/>
                                <w:szCs w:val="21"/>
                                <w:lang w:val="en-US"/>
                              </w:rPr>
                            </w:pPr>
                            <w:r>
                              <w:rPr>
                                <w:rFonts w:hint="eastAsia" w:eastAsiaTheme="minorEastAsia"/>
                                <w:sz w:val="21"/>
                                <w:szCs w:val="21"/>
                                <w:lang w:val="en-US" w:eastAsia="zh-CN"/>
                              </w:rPr>
                              <w:t>120</w:t>
                            </w:r>
                          </w:p>
                        </w:txbxContent>
                      </v:textbox>
                    </v:rect>
                  </w:pict>
                </mc:Fallback>
              </mc:AlternateContent>
            </w:r>
            <w:r>
              <w:rPr>
                <w:b/>
                <w:color w:val="auto"/>
                <w:sz w:val="10"/>
                <w:szCs w:val="10"/>
                <w:u w:val="single"/>
              </w:rPr>
              <mc:AlternateContent>
                <mc:Choice Requires="wps">
                  <w:drawing>
                    <wp:anchor distT="0" distB="0" distL="114300" distR="114300" simplePos="0" relativeHeight="251683840" behindDoc="0" locked="0" layoutInCell="1" allowOverlap="1">
                      <wp:simplePos x="0" y="0"/>
                      <wp:positionH relativeFrom="column">
                        <wp:posOffset>1341755</wp:posOffset>
                      </wp:positionH>
                      <wp:positionV relativeFrom="paragraph">
                        <wp:posOffset>165735</wp:posOffset>
                      </wp:positionV>
                      <wp:extent cx="1097280" cy="295910"/>
                      <wp:effectExtent l="4445" t="4445" r="15875" b="17145"/>
                      <wp:wrapNone/>
                      <wp:docPr id="62" name="矩形 62"/>
                      <wp:cNvGraphicFramePr/>
                      <a:graphic xmlns:a="http://schemas.openxmlformats.org/drawingml/2006/main">
                        <a:graphicData uri="http://schemas.microsoft.com/office/word/2010/wordprocessingShape">
                          <wps:wsp>
                            <wps:cNvSpPr/>
                            <wps:spPr>
                              <a:xfrm>
                                <a:off x="0" y="0"/>
                                <a:ext cx="1097280" cy="29591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sz w:val="21"/>
                                      <w:szCs w:val="21"/>
                                    </w:rPr>
                                  </w:pPr>
                                  <w:r>
                                    <w:rPr>
                                      <w:rFonts w:hAnsi="宋体"/>
                                      <w:sz w:val="21"/>
                                      <w:szCs w:val="21"/>
                                    </w:rPr>
                                    <w:t>职工生活用水</w:t>
                                  </w:r>
                                </w:p>
                              </w:txbxContent>
                            </wps:txbx>
                            <wps:bodyPr upright="1"/>
                          </wps:wsp>
                        </a:graphicData>
                      </a:graphic>
                    </wp:anchor>
                  </w:drawing>
                </mc:Choice>
                <mc:Fallback>
                  <w:pict>
                    <v:rect id="_x0000_s1026" o:spid="_x0000_s1026" o:spt="1" style="position:absolute;left:0pt;margin-left:105.65pt;margin-top:13.05pt;height:23.3pt;width:86.4pt;z-index:251683840;mso-width-relative:page;mso-height-relative:page;" fillcolor="#FFFFFF" filled="t" stroked="t" coordsize="21600,21600" o:gfxdata="UEsDBAoAAAAAAIdO4kAAAAAAAAAAAAAAAAAEAAAAZHJzL1BLAwQUAAAACACHTuJAfJ2rkNgAAAAJ&#10;AQAADwAAAGRycy9kb3ducmV2LnhtbE2PwU7DMAyG70i8Q2QkbixpNrZRmk4CiQOCCbZx4Og1oS00&#10;TtVkW3l7zAluv+VPvz8Xq9F34uiG2AYykE0UCEdVsC3VBt52D1dLEDEhWewCOQPfLsKqPD8rMLfh&#10;RBt33KZacAnFHA00KfW5lLFqnMc4Cb0j3n2EwWPicailHfDE5b6TWqm59NgSX2iwd/eNq762B2/g&#10;c/1yffeon3W0lp5GeTNT+PpuzOVFpm5BJDemPxh+9VkdSnbahwPZKDoDOsumjHKYZyAYmC5nHPYG&#10;FnoBsizk/w/KH1BLAwQUAAAACACHTuJAa9UhxgkCAAApBAAADgAAAGRycy9lMm9Eb2MueG1srVPN&#10;jtMwEL4j8Q6W7zRppC7bqOkeKOWCYKWFB3BtJ7HkP3ncJn0aJG48BI+DeA3GTuj+sIc9kIMztme+&#10;me+b8eZmNJqcZADlbEOXi5ISabkTynYN/fpl/+aaEojMCqadlQ09S6A329evNoOvZeV6p4UMBEEs&#10;1INvaB+jr4sCeC8Ng4Xz0uJl64JhEbehK0RgA6IbXVRleVUMLggfHJcAeLqbLumMGF4C6NpWcblz&#10;/GikjRNqkJpFpAS98kC3udq2lTx+bluQkeiGItOYV0yC9iGtxXbD6i4w3ys+l8BeUsITToYpi0kv&#10;UDsWGTkG9Q+UUTw4cG1ccGeKiUhWBFksyyfa3PXMy8wFpQZ/ER3+Hyz/dLoNRImGXlWUWGaw47+/&#10;/fj18zvBA1Rn8FCj052/DfMO0ExUxzaY9EcSZMyKni+KyjESjofLcv22ukaxOd5V69V6mSUv7qN9&#10;gPhBOkOS0dCAHctCstNHiJgRXf+6pGTgtBJ7pXXehO7wTgdyYtjdff5SyRjyyE1bMjR0vapWWAfD&#10;kW1xVNA0HmmD7XK+RxHwELjM33PAqbAdg34qICMkN1YbFWWSi9W9ZOK9FSSePSpr8UXRVIyRghIt&#10;8QEmK3tGpvQznmBmR93NJWiLFFNbpkYkK46HEUGSeXDijB09+qC6HgVd5qh0gxOUtZmnPY3ow30G&#10;vX/h2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8nauQ2AAAAAkBAAAPAAAAAAAAAAEAIAAAACIA&#10;AABkcnMvZG93bnJldi54bWxQSwECFAAUAAAACACHTuJAa9UhxgkCAAApBAAADgAAAAAAAAABACAA&#10;AAAnAQAAZHJzL2Uyb0RvYy54bWxQSwUGAAAAAAYABgBZAQAAogUAAAAA&#10;">
                      <v:fill on="t" focussize="0,0"/>
                      <v:stroke color="#000000" joinstyle="miter" endarrowwidth="narrow" endarrowlength="long"/>
                      <v:imagedata o:title=""/>
                      <o:lock v:ext="edit" aspectratio="f"/>
                      <v:textbox>
                        <w:txbxContent>
                          <w:p>
                            <w:pPr>
                              <w:jc w:val="center"/>
                              <w:rPr>
                                <w:sz w:val="21"/>
                                <w:szCs w:val="21"/>
                              </w:rPr>
                            </w:pPr>
                            <w:r>
                              <w:rPr>
                                <w:rFonts w:hAnsi="宋体"/>
                                <w:sz w:val="21"/>
                                <w:szCs w:val="21"/>
                              </w:rPr>
                              <w:t>职工生活用水</w:t>
                            </w:r>
                          </w:p>
                        </w:txbxContent>
                      </v:textbox>
                    </v:rect>
                  </w:pict>
                </mc:Fallback>
              </mc:AlternateContent>
            </w:r>
          </w:p>
          <w:p>
            <w:pPr>
              <w:snapToGrid w:val="0"/>
              <w:spacing w:line="360" w:lineRule="auto"/>
              <w:rPr>
                <w:b/>
                <w:color w:val="auto"/>
                <w:u w:val="single"/>
              </w:rPr>
            </w:pPr>
            <w:r>
              <w:rPr>
                <w:color w:val="auto"/>
              </w:rPr>
              <mc:AlternateContent>
                <mc:Choice Requires="wps">
                  <w:drawing>
                    <wp:anchor distT="0" distB="0" distL="114300" distR="114300" simplePos="0" relativeHeight="251681792" behindDoc="0" locked="0" layoutInCell="1" allowOverlap="1">
                      <wp:simplePos x="0" y="0"/>
                      <wp:positionH relativeFrom="column">
                        <wp:posOffset>669290</wp:posOffset>
                      </wp:positionH>
                      <wp:positionV relativeFrom="paragraph">
                        <wp:posOffset>48895</wp:posOffset>
                      </wp:positionV>
                      <wp:extent cx="76200" cy="2988310"/>
                      <wp:effectExtent l="5080" t="0" r="0" b="8890"/>
                      <wp:wrapNone/>
                      <wp:docPr id="207" name="任意多边形 207"/>
                      <wp:cNvGraphicFramePr/>
                      <a:graphic xmlns:a="http://schemas.openxmlformats.org/drawingml/2006/main">
                        <a:graphicData uri="http://schemas.microsoft.com/office/word/2010/wordprocessingShape">
                          <wps:wsp>
                            <wps:cNvSpPr/>
                            <wps:spPr>
                              <a:xfrm>
                                <a:off x="0" y="0"/>
                                <a:ext cx="76200" cy="2988310"/>
                              </a:xfrm>
                              <a:custGeom>
                                <a:avLst/>
                                <a:gdLst/>
                                <a:ahLst/>
                                <a:cxnLst/>
                                <a:pathLst>
                                  <a:path h="2040">
                                    <a:moveTo>
                                      <a:pt x="0" y="0"/>
                                    </a:moveTo>
                                    <a:lnTo>
                                      <a:pt x="0" y="2040"/>
                                    </a:lnTo>
                                  </a:path>
                                </a:pathLst>
                              </a:cu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00" style="position:absolute;left:0pt;margin-left:52.7pt;margin-top:3.85pt;height:235.3pt;width:6pt;z-index:251681792;mso-width-relative:page;mso-height-relative:page;" filled="f" stroked="t" coordsize="1,2040" o:gfxdata="UEsDBAoAAAAAAIdO4kAAAAAAAAAAAAAAAAAEAAAAZHJzL1BLAwQUAAAACACHTuJAAzqVJtQAAAAJ&#10;AQAADwAAAGRycy9kb3ducmV2LnhtbE2PzU7DMBCE70i8g7VI3KgdKKSEOD0gcUSIpnB24yUOjddp&#10;7PTn7dme6HE0o5lvyuXR92KPY+wCachmCgRSE2xHrYZ1/Xa3ABGTIWv6QKjhhBGW1fVVaQobDvSJ&#10;+1VqBZdQLIwGl9JQSBkbh97EWRiQ2PsJozeJ5dhKO5oDl/te3iv1JL3piBecGfDVYbNdTZ5Halzv&#10;vj9wu5ue3dev9+/1KSatb28y9QIi4TH9h+GMz+hQMdMmTGSj6FmrxzlHNeQ5iLOf5aw3Gub54gFk&#10;VcrLB9UfUEsDBBQAAAAIAIdO4kBANETuMAIAAIoEAAAOAAAAZHJzL2Uyb0RvYy54bWytVM1uEzEQ&#10;viPxDpbvZDeBtmmUTQ+EckFQqeUBHNu7a8l/8jjZ5M6dO0fES6AKnoYiHoOxNz8lveRADpuxZ/ab&#10;75ufnV6tjSYrGUA5W9HhoKREWu6Esk1FP95dvxhTApFZwbSzsqIbCfRq9vzZtPMTOXKt00IGgiAW&#10;Jp2vaBujnxQF8FYaBgPnpUVn7YJhEY+hKURgHaIbXYzK8rzoXBA+OC4B8HbeO+kWMZwC6OpacTl3&#10;fGmkjT1qkJpFlASt8kBnmW1dSx4/1DXISHRFUWnMT0yC9iI9i9mUTZrAfKv4lgI7hcKRJsOUxaR7&#10;qDmLjCyDegJlFA8OXB0H3JmiF5IrgiqG5VFtblvmZdaCpQa/Lzr8P1j+fnUTiBIVHZUXlFhmsOW/&#10;7u9/f/r88O3Ln5/fH358JcmFheo8TDD+1t+E7QnQTKrXdTDpH/WQdS7uZl9cuY6E4+XFOXafEo6e&#10;0eV4/HKYi18cXuZLiG+ly0Bs9Q5i3xuxs1i7s/ja7kzPYrpOyZNJ2iTkVZl7YdxK3rnsike0MO3B&#10;q+3TqAyCBDCwd6OREuSbfVK8fMzaumuldaatLekqenk2OkPJDNekxvFE03gsNdgmEwSnlUivJI4Q&#10;msVrHciKpVHNv1R0TPFPmA8Q5wzaPi67+iFuJRNvrCBx47GFFneXJgpGCkq0xFVPVuYWmdKnRGbt&#10;yCD1ve90shZObHBklj6opsV9GmaWyYMjmvlu1yntwONzRjp8Qm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M6lSbUAAAACQEAAA8AAAAAAAAAAQAgAAAAIgAAAGRycy9kb3ducmV2LnhtbFBLAQIU&#10;ABQAAAAIAIdO4kBANETuMAIAAIoEAAAOAAAAAAAAAAEAIAAAACMBAABkcnMvZTJvRG9jLnhtbFBL&#10;BQYAAAAABgAGAFkBAADFBQAAAAA=&#10;" path="m0,0l0,2040e">
                      <v:fill on="f" focussize="0,0"/>
                      <v:stroke color="#000000" joinstyle="round"/>
                      <v:imagedata o:title=""/>
                      <o:lock v:ext="edit" aspectratio="f"/>
                    </v:shape>
                  </w:pict>
                </mc:Fallback>
              </mc:AlternateContent>
            </w:r>
            <w:r>
              <w:rPr>
                <w:b/>
                <w:color w:val="auto"/>
                <w:u w:val="single"/>
              </w:rPr>
              <mc:AlternateContent>
                <mc:Choice Requires="wps">
                  <w:drawing>
                    <wp:anchor distT="0" distB="0" distL="114300" distR="114300" simplePos="0" relativeHeight="251685888" behindDoc="0" locked="0" layoutInCell="1" allowOverlap="1">
                      <wp:simplePos x="0" y="0"/>
                      <wp:positionH relativeFrom="column">
                        <wp:posOffset>3538855</wp:posOffset>
                      </wp:positionH>
                      <wp:positionV relativeFrom="paragraph">
                        <wp:posOffset>48895</wp:posOffset>
                      </wp:positionV>
                      <wp:extent cx="454660" cy="635"/>
                      <wp:effectExtent l="0" t="24765" r="2540" b="25400"/>
                      <wp:wrapNone/>
                      <wp:docPr id="206" name="直接连接符 206"/>
                      <wp:cNvGraphicFramePr/>
                      <a:graphic xmlns:a="http://schemas.openxmlformats.org/drawingml/2006/main">
                        <a:graphicData uri="http://schemas.microsoft.com/office/word/2010/wordprocessingShape">
                          <wps:wsp>
                            <wps:cNvCnPr/>
                            <wps:spPr>
                              <a:xfrm>
                                <a:off x="0" y="0"/>
                                <a:ext cx="454660"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278.65pt;margin-top:3.85pt;height:0.05pt;width:35.8pt;z-index:251685888;mso-width-relative:page;mso-height-relative:page;" filled="f" stroked="t" coordsize="21600,21600" o:gfxdata="UEsDBAoAAAAAAIdO4kAAAAAAAAAAAAAAAAAEAAAAZHJzL1BLAwQUAAAACACHTuJACBSbqtgAAAAH&#10;AQAADwAAAGRycy9kb3ducmV2LnhtbE2OTU/DMBBE70j8B2uRuFG7oU1CiFMhBELtAYnSQ49uvE2i&#10;xusodj/g17Oc4Dia0ZtXLi6uFyccQ+dJw3SiQCDV3nbUaNh8vt7lIEI0ZE3vCTV8YYBFdX1VmsL6&#10;M33gaR0bwRAKhdHQxjgUUoa6RWfCxA9I3O396EzkODbSjubMcNfLRKlUOtMRP7RmwOcW68P66DQs&#10;t8vDt0pfwjBLnjb7xG/fV28zrW9vpuoRRMRL/BvDrz6rQ8VOO38kG0SvYT7P7nmqIctAcJ8m+QOI&#10;HeccZFXK//7VD1BLAwQUAAAACACHTuJAEEqgGgECAADrAwAADgAAAGRycy9lMm9Eb2MueG1srVPN&#10;jtMwEL4j8Q6W7zRt2VYQNd3DluWCoBLwAFPHSSz5Tx63aV+CF0DiBieO3Hkblsdg7IQWlsseyMEZ&#10;ez5/nu/zeHV9NJodZEDlbMVnkyln0gpXK9tW/P272yfPOMMItgbtrKz4SSK/Xj9+tOp9Keeuc7qW&#10;gRGJxbL3Fe9i9GVRoOikAZw4Ly0lGxcMRJqGtqgD9MRudDGfTpdF70LtgxMSkVY3Q5KPjOEhhK5p&#10;lJAbJ/ZG2jiwBqkhkiTslEe+ztU2jRTxTdOgjExXnJTGPNIhFO/SWKxXULYBfKfEWAI8pIR7mgwo&#10;S4eeqTYQge2D+ofKKBEcuiZOhDPFICQ7Qipm03vevO3Ay6yFrEZ/Nh3/H614fdgGpuqKz6dLziwY&#10;uvK7j99+fPj88/snGu++fmEpRUb1HkvC39htGGfotyGpPjbBpD/pYcds7ulsrjxGJmjxanG1XJLt&#10;glLLp4tEWFx2+oDxpXSGpaDiWtkkHEo4vMI4QH9D0rK2rK/488V8QYRAXdjQ7VNoPClB2+a96LSq&#10;b5XWaQeGdnejAztA6oT8jSX8BUuHbAC7AZdTCQZlJ6F+YWsWT54csvQ0eCrByJozLeklpSgjIyh9&#10;QcagwLZ6QKMZwbodD9eWbEjGDlamaOfqE93J3gfVduTFLENThnogmzb2a2qyP+eZ6fJG1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BSbqtgAAAAHAQAADwAAAAAAAAABACAAAAAiAAAAZHJzL2Rv&#10;d25yZXYueG1sUEsBAhQAFAAAAAgAh07iQBBKoBoBAgAA6wMAAA4AAAAAAAAAAQAgAAAAJwEAAGRy&#10;cy9lMm9Eb2MueG1sUEsFBgAAAAAGAAYAWQEAAJoFAAAAAA==&#10;">
                      <v:fill on="f" focussize="0,0"/>
                      <v:stroke color="#000000" joinstyle="round" endarrow="block" endarrowwidth="narrow" endarrowlength="long"/>
                      <v:imagedata o:title=""/>
                      <o:lock v:ext="edit" aspectratio="f"/>
                    </v:line>
                  </w:pict>
                </mc:Fallback>
              </mc:AlternateContent>
            </w:r>
            <w:r>
              <w:rPr>
                <w:color w:val="auto"/>
              </w:rPr>
              <mc:AlternateContent>
                <mc:Choice Requires="wps">
                  <w:drawing>
                    <wp:anchor distT="0" distB="0" distL="114300" distR="114300" simplePos="0" relativeHeight="251682816" behindDoc="0" locked="0" layoutInCell="1" allowOverlap="1">
                      <wp:simplePos x="0" y="0"/>
                      <wp:positionH relativeFrom="column">
                        <wp:posOffset>673735</wp:posOffset>
                      </wp:positionH>
                      <wp:positionV relativeFrom="paragraph">
                        <wp:posOffset>50800</wp:posOffset>
                      </wp:positionV>
                      <wp:extent cx="667385" cy="1270"/>
                      <wp:effectExtent l="0" t="24130" r="5715" b="25400"/>
                      <wp:wrapNone/>
                      <wp:docPr id="51" name="直接连接符 51"/>
                      <wp:cNvGraphicFramePr/>
                      <a:graphic xmlns:a="http://schemas.openxmlformats.org/drawingml/2006/main">
                        <a:graphicData uri="http://schemas.microsoft.com/office/word/2010/wordprocessingShape">
                          <wps:wsp>
                            <wps:cNvCnPr/>
                            <wps:spPr>
                              <a:xfrm>
                                <a:off x="0" y="0"/>
                                <a:ext cx="667385" cy="1270"/>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53.05pt;margin-top:4pt;height:0.1pt;width:52.55pt;z-index:251682816;mso-width-relative:page;mso-height-relative:page;" filled="f" stroked="t" coordsize="21600,21600" o:gfxdata="UEsDBAoAAAAAAIdO4kAAAAAAAAAAAAAAAAAEAAAAZHJzL1BLAwQUAAAACACHTuJAp2PaZdUAAAAH&#10;AQAADwAAAGRycy9kb3ducmV2LnhtbE2PTUvDQBCG74L/YRnBm90PSigxmyKiSD0Itj30uM1Ok9Ds&#10;bMhuP/TXO570+PC+vPNMtbyGQZxxSn0kC3qmQCA10ffUWthuXh8WIFJ25N0QCS18YYJlfXtTudLH&#10;C33ieZ1bwSOUSmehy3kspUxNh8GlWRyRODvEKbjMOLXST+7C42GQRqlCBtcTX+jciM8dNsf1KVhY&#10;7VbHb1W8pHFunrYHE3cf729za+/vtHoEkfGa/8rwq8/qULPTPp7IJzEwq0Jz1cKCX+LcaG1A7JkN&#10;yLqS//3rH1BLAwQUAAAACACHTuJAxP4WLgMCAADqAwAADgAAAGRycy9lMm9Eb2MueG1srVPNjtMw&#10;EL4j8Q6W7zRtUbtL1HQPW5YLgpWAB5g6TmLJf/K4TfsSvAASNzhx5M7b7PIYjJ3QwnLZAzk4Y/vz&#10;N/N9Hq+uDkazvQyonK34bDLlTFrhamXbin94f/PskjOMYGvQzsqKHyXyq/XTJ6vel3LuOqdrGRiR&#10;WCx7X/EuRl8WBYpOGsCJ89LSZuOCgUjT0BZ1gJ7YjS7m0+my6F2ofXBCItLqZtjkI2N4DKFrGiXk&#10;xomdkTYOrEFqiCQJO+WRr3O1TSNFfNs0KCPTFSelMY+UhOJtGov1Cso2gO+UGEuAx5TwQJMBZSnp&#10;iWoDEdguqH+ojBLBoWviRDhTDEKyI6RiNn3gzbsOvMxayGr0J9Px/9GKN/vbwFRd8cWMMwuGbvz+&#10;0/e7j19+/vhM4/23r4x2yKbeY0noa3sbxhn625A0H5pg0p/UsEO29niyVh4iE7S4XF48v1xwJmhr&#10;Nr/Ixhfnoz5gfCWdYSmouFY26YYS9q8xUjqC/oakZW1ZX/EXi3liBGrChi6fQuNJCNo2n0WnVX2j&#10;tE4nMLTbax3YHlIj5C+JIt6/YCnJBrAbcHlraJFOQv3S1iwePTlk6WXwVIKRNWda0kNKERFCGUHp&#10;MzIGBbbVAxrNCNbtmFxbqiE5O3iZoq2rj3QlOx9U25EX2fyMoRbIFY/tmnrsz3lmOj/R9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nY9pl1QAAAAcBAAAPAAAAAAAAAAEAIAAAACIAAABkcnMvZG93&#10;bnJldi54bWxQSwECFAAUAAAACACHTuJAxP4WLgMCAADqAwAADgAAAAAAAAABACAAAAAkAQAAZHJz&#10;L2Uyb0RvYy54bWxQSwUGAAAAAAYABgBZAQAAmQUAAAAA&#10;">
                      <v:fill on="f" focussize="0,0"/>
                      <v:stroke color="#000000" joinstyle="round" endarrow="block" endarrowwidth="narrow" endarrowlength="long"/>
                      <v:imagedata o:title=""/>
                      <o:lock v:ext="edit" aspectratio="f"/>
                    </v:line>
                  </w:pict>
                </mc:Fallback>
              </mc:AlternateContent>
            </w:r>
            <w:r>
              <w:rPr>
                <w:b/>
                <w:color w:val="auto"/>
                <w:u w:val="single"/>
              </w:rPr>
              <mc:AlternateContent>
                <mc:Choice Requires="wps">
                  <w:drawing>
                    <wp:anchor distT="0" distB="0" distL="114300" distR="114300" simplePos="0" relativeHeight="251680768" behindDoc="0" locked="0" layoutInCell="1" allowOverlap="1">
                      <wp:simplePos x="0" y="0"/>
                      <wp:positionH relativeFrom="column">
                        <wp:posOffset>2446020</wp:posOffset>
                      </wp:positionH>
                      <wp:positionV relativeFrom="paragraph">
                        <wp:posOffset>49530</wp:posOffset>
                      </wp:positionV>
                      <wp:extent cx="476885" cy="635"/>
                      <wp:effectExtent l="0" t="24765" r="5715" b="25400"/>
                      <wp:wrapNone/>
                      <wp:docPr id="214" name="直接连接符 214"/>
                      <wp:cNvGraphicFramePr/>
                      <a:graphic xmlns:a="http://schemas.openxmlformats.org/drawingml/2006/main">
                        <a:graphicData uri="http://schemas.microsoft.com/office/word/2010/wordprocessingShape">
                          <wps:wsp>
                            <wps:cNvCnPr/>
                            <wps:spPr>
                              <a:xfrm>
                                <a:off x="0" y="0"/>
                                <a:ext cx="476885"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192.6pt;margin-top:3.9pt;height:0.05pt;width:37.55pt;z-index:251680768;mso-width-relative:page;mso-height-relative:page;" filled="f" stroked="t" coordsize="21600,21600" o:gfxdata="UEsDBAoAAAAAAIdO4kAAAAAAAAAAAAAAAAAEAAAAZHJzL1BLAwQUAAAACACHTuJAAiZ8rtgAAAAH&#10;AQAADwAAAGRycy9kb3ducmV2LnhtbE2PzU7DMBCE70h9B2srcaN20xBKiFNVFQiVAxKlhx7deJtE&#10;jddR7P7A07Oc4Dia0cw3xeLqOnHGIbSeNEwnCgRS5W1LtYbt58vdHESIhqzpPKGGLwywKEc3hcmt&#10;v9AHnjexFlxCITcamhj7XMpQNehMmPgeib2DH5yJLIda2sFcuNx1MlEqk860xAuN6XHVYHXcnJyG&#10;9W59/FbZc+jTZLk9JH73/vaaan07nqonEBGv8S8Mv/iMDiUz7f2JbBCdhtn8PuGohgd+wH6aqRmI&#10;PetHkGUh//OXP1BLAwQUAAAACACHTuJAA9IV3AACAADrAwAADgAAAGRycy9lMm9Eb2MueG1srVNL&#10;jhMxEN0jcQfLe9JJmITQSmcWE4YNgkjAASpud7cl/+RyfpfgAkjsYMWSPbdhOAZld5PAsJkFvXCX&#10;Xc/P9Z7Ly+uj0WwvAypnKz4ZjTmTVrha2bbi79/dPllwhhFsDdpZWfGTRH69evxoefClnLrO6VoG&#10;RiQWy4OveBejL4sCRScN4Mh5aSnZuGAg0jS0RR3gQOxGF9PxeF4cXKh9cEIi0uq6T/KBMTyE0DWN&#10;EnLtxM5IG3vWIDVEkoSd8shXudqmkSK+aRqUkemKk9KYRzqE4m0ai9USyjaA75QYSoCHlHBPkwFl&#10;6dAz1RoisF1Q/1AZJYJD18SRcKbohWRHSMVkfM+btx14mbWQ1ejPpuP/oxWv95vAVF3x6eSKMwuG&#10;rvzu47cfHz7//P6JxruvX1hKkVEHjyXhb+wmDDP0m5BUH5tg0p/0sGM293Q2Vx4jE7R49Wy+WMw4&#10;E5SaP50lwuKy0weML6UzLAUV18om4VDC/hXGHvobkpa1ZYeKP59NEyFQFzZ0+xQaT0rQtnkvOq3q&#10;W6V12oGh3d7owPaQOiF/Qwl/wdIha8Cux+VUgkHZSahf2JrFkyeHLD0NnkowsuZMS3pJKcrICEpf&#10;kDEosK3u0WgGsG6Hw7UlG5KxvZUp2rr6RHey80G1HXkxydCUoR7Ipg39mprsz3lmurzR1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nyu2AAAAAcBAAAPAAAAAAAAAAEAIAAAACIAAABkcnMvZG93&#10;bnJldi54bWxQSwECFAAUAAAACACHTuJAA9IV3AACAADrAwAADgAAAAAAAAABACAAAAAnAQAAZHJz&#10;L2Uyb0RvYy54bWxQSwUGAAAAAAYABgBZAQAAmQUAAAAA&#10;">
                      <v:fill on="f" focussize="0,0"/>
                      <v:stroke color="#000000" joinstyle="round" endarrow="block" endarrowwidth="narrow" endarrowlength="long"/>
                      <v:imagedata o:title=""/>
                      <o:lock v:ext="edit" aspectratio="f"/>
                    </v:line>
                  </w:pict>
                </mc:Fallback>
              </mc:AlternateContent>
            </w:r>
          </w:p>
          <w:p>
            <w:pPr>
              <w:snapToGrid w:val="0"/>
              <w:spacing w:line="240" w:lineRule="auto"/>
              <w:rPr>
                <w:b/>
                <w:color w:val="auto"/>
                <w:u w:val="single"/>
              </w:rPr>
            </w:pPr>
            <w:r>
              <w:rPr>
                <w:b/>
                <w:color w:val="auto"/>
                <w:u w:val="single"/>
              </w:rPr>
              <mc:AlternateContent>
                <mc:Choice Requires="wps">
                  <w:drawing>
                    <wp:anchor distT="0" distB="0" distL="114300" distR="114300" simplePos="0" relativeHeight="251692032" behindDoc="0" locked="0" layoutInCell="1" allowOverlap="1">
                      <wp:simplePos x="0" y="0"/>
                      <wp:positionH relativeFrom="column">
                        <wp:posOffset>1978660</wp:posOffset>
                      </wp:positionH>
                      <wp:positionV relativeFrom="paragraph">
                        <wp:posOffset>64770</wp:posOffset>
                      </wp:positionV>
                      <wp:extent cx="833120" cy="299085"/>
                      <wp:effectExtent l="0" t="0" r="0" b="0"/>
                      <wp:wrapNone/>
                      <wp:docPr id="205" name="矩形 205"/>
                      <wp:cNvGraphicFramePr/>
                      <a:graphic xmlns:a="http://schemas.openxmlformats.org/drawingml/2006/main">
                        <a:graphicData uri="http://schemas.microsoft.com/office/word/2010/wordprocessingShape">
                          <wps:wsp>
                            <wps:cNvSpPr/>
                            <wps:spPr>
                              <a:xfrm>
                                <a:off x="0" y="0"/>
                                <a:ext cx="833120" cy="299085"/>
                              </a:xfrm>
                              <a:prstGeom prst="rect">
                                <a:avLst/>
                              </a:prstGeom>
                              <a:solidFill>
                                <a:srgbClr val="FFFFFF">
                                  <a:alpha val="0"/>
                                </a:srgbClr>
                              </a:solidFill>
                              <a:ln>
                                <a:noFill/>
                              </a:ln>
                            </wps:spPr>
                            <wps:txbx>
                              <w:txbxContent>
                                <w:p>
                                  <w:pPr>
                                    <w:rPr>
                                      <w:rFonts w:hint="default" w:eastAsia="宋体"/>
                                      <w:sz w:val="21"/>
                                      <w:szCs w:val="21"/>
                                      <w:lang w:val="en-US" w:eastAsia="zh-CN"/>
                                    </w:rPr>
                                  </w:pPr>
                                  <w:r>
                                    <w:rPr>
                                      <w:rFonts w:hAnsi="宋体"/>
                                      <w:sz w:val="21"/>
                                      <w:szCs w:val="21"/>
                                    </w:rPr>
                                    <w:t>损耗</w:t>
                                  </w:r>
                                  <w:r>
                                    <w:rPr>
                                      <w:rFonts w:hint="eastAsia"/>
                                      <w:sz w:val="21"/>
                                      <w:szCs w:val="21"/>
                                      <w:lang w:val="en-US" w:eastAsia="zh-CN"/>
                                    </w:rPr>
                                    <w:t>8</w:t>
                                  </w:r>
                                </w:p>
                              </w:txbxContent>
                            </wps:txbx>
                            <wps:bodyPr upright="1"/>
                          </wps:wsp>
                        </a:graphicData>
                      </a:graphic>
                    </wp:anchor>
                  </w:drawing>
                </mc:Choice>
                <mc:Fallback>
                  <w:pict>
                    <v:rect id="_x0000_s1026" o:spid="_x0000_s1026" o:spt="1" style="position:absolute;left:0pt;margin-left:155.8pt;margin-top:5.1pt;height:23.55pt;width:65.6pt;z-index:251692032;mso-width-relative:page;mso-height-relative:page;" fillcolor="#FFFFFF" filled="t" stroked="f" coordsize="21600,21600" o:gfxdata="UEsDBAoAAAAAAIdO4kAAAAAAAAAAAAAAAAAEAAAAZHJzL1BLAwQUAAAACACHTuJA4kTlidgAAAAJ&#10;AQAADwAAAGRycy9kb3ducmV2LnhtbE2PMU/DMBCFdyT+g3VIbNROUgqEOB1oMzAwkIK6uvE1iYjP&#10;Uey24d9zTDCe3qd33yvWsxvEGafQe9KQLBQIpMbbnloNH7vq7hFEiIasGTyhhm8MsC6vrwqTW3+h&#10;dzzXsRVcQiE3GroYx1zK0HToTFj4EYmzo5+ciXxOrbSTuXC5G2Sq1Eo60xN/6MyILx02X/XJaair&#10;T/v2tI/Z3s9Vu33dbI7bcaf17U2inkFEnOMfDL/6rA4lOx38iWwQg4YsSVaMcqBSEAwslylvOWi4&#10;f8hAloX8v6D8AVBLAwQUAAAACACHTuJAO+TNpsMBAACKAwAADgAAAGRycy9lMm9Eb2MueG1srVPN&#10;jtMwEL4j8Q6W7zRpVqBu1HQPVOWCYKWFB3AdJ7HkP824Tfo0SNx4CB4H8RqMndCF5bIHcnBmxuNv&#10;5vvG3t5N1rCzAtTeNXy9KjlTTvpWu77hnz8dXm04wyhcK4x3quEXhfxu9/LFdgy1qvzgTauAEYjD&#10;egwNH2IMdVGgHJQVuPJBOdrsPFgRyYW+aEGMhG5NUZXlm2L00AbwUiFSdD9v8gURngPou05Ltffy&#10;ZJWLMyooIyJRwkEH5LvcbdcpGT92HarITMOJacwrFSH7mNZitxV1DyIMWi4tiOe08ISTFdpR0SvU&#10;XkTBTqD/gbJagkffxZX0tpiJZEWIxbp8os3DIILKXEhqDFfR8f/Byg/ne2C6bXhVvubMCUsj//nl&#10;24/vX1mKkD5jwJrSHsI9LB6SmchOHdj0JxpsypperpqqKTJJwc3NzboitSVtVbe35SZjFo+HA2B8&#10;p7xlyWg40MiykuL8HiMVpNTfKakWeqPbgzYmO9Af3xpgZ0HjPeRvPmvCIOZoHjFh4Jya8f7CMC4h&#10;OZ8w53IpUiTWM89kxek4LeSPvr2QZKcAuh+o4XXSKKfTiDL8cp3SHfjTz1mPT2j3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JE5YnYAAAACQEAAA8AAAAAAAAAAQAgAAAAIgAAAGRycy9kb3ducmV2&#10;LnhtbFBLAQIUABQAAAAIAIdO4kA75M2mwwEAAIoDAAAOAAAAAAAAAAEAIAAAACcBAABkcnMvZTJv&#10;RG9jLnhtbFBLBQYAAAAABgAGAFkBAABcBQAAAAA=&#10;">
                      <v:fill on="t" opacity="0f" focussize="0,0"/>
                      <v:stroke on="f"/>
                      <v:imagedata o:title=""/>
                      <o:lock v:ext="edit" aspectratio="f"/>
                      <v:textbox>
                        <w:txbxContent>
                          <w:p>
                            <w:pPr>
                              <w:rPr>
                                <w:rFonts w:hint="default" w:eastAsia="宋体"/>
                                <w:sz w:val="21"/>
                                <w:szCs w:val="21"/>
                                <w:lang w:val="en-US" w:eastAsia="zh-CN"/>
                              </w:rPr>
                            </w:pPr>
                            <w:r>
                              <w:rPr>
                                <w:rFonts w:hAnsi="宋体"/>
                                <w:sz w:val="21"/>
                                <w:szCs w:val="21"/>
                              </w:rPr>
                              <w:t>损耗</w:t>
                            </w:r>
                            <w:r>
                              <w:rPr>
                                <w:rFonts w:hint="eastAsia"/>
                                <w:sz w:val="21"/>
                                <w:szCs w:val="21"/>
                                <w:lang w:val="en-US" w:eastAsia="zh-CN"/>
                              </w:rPr>
                              <w:t>8</w:t>
                            </w:r>
                          </w:p>
                        </w:txbxContent>
                      </v:textbox>
                    </v:rect>
                  </w:pict>
                </mc:Fallback>
              </mc:AlternateContent>
            </w:r>
          </w:p>
          <w:p>
            <w:pPr>
              <w:snapToGrid w:val="0"/>
              <w:spacing w:line="360" w:lineRule="auto"/>
              <w:rPr>
                <w:b/>
                <w:color w:val="auto"/>
                <w:u w:val="single"/>
              </w:rPr>
            </w:pPr>
            <w:r>
              <w:rPr>
                <w:color w:val="auto"/>
                <w:szCs w:val="24"/>
              </w:rPr>
              <mc:AlternateContent>
                <mc:Choice Requires="wps">
                  <w:drawing>
                    <wp:anchor distT="0" distB="0" distL="114300" distR="114300" simplePos="0" relativeHeight="251693056" behindDoc="0" locked="0" layoutInCell="1" allowOverlap="1">
                      <wp:simplePos x="0" y="0"/>
                      <wp:positionH relativeFrom="column">
                        <wp:posOffset>1752600</wp:posOffset>
                      </wp:positionH>
                      <wp:positionV relativeFrom="paragraph">
                        <wp:posOffset>44450</wp:posOffset>
                      </wp:positionV>
                      <wp:extent cx="267970" cy="238760"/>
                      <wp:effectExtent l="3810" t="0" r="7620" b="2540"/>
                      <wp:wrapNone/>
                      <wp:docPr id="49" name="任意多边形 49"/>
                      <wp:cNvGraphicFramePr/>
                      <a:graphic xmlns:a="http://schemas.openxmlformats.org/drawingml/2006/main">
                        <a:graphicData uri="http://schemas.microsoft.com/office/word/2010/wordprocessingShape">
                          <wps:wsp>
                            <wps:cNvSpPr/>
                            <wps:spPr>
                              <a:xfrm>
                                <a:off x="0" y="0"/>
                                <a:ext cx="267970" cy="238760"/>
                              </a:xfrm>
                              <a:custGeom>
                                <a:avLst/>
                                <a:gdLst/>
                                <a:ahLst/>
                                <a:cxnLst/>
                                <a:pathLst>
                                  <a:path w="753" h="680">
                                    <a:moveTo>
                                      <a:pt x="0" y="680"/>
                                    </a:moveTo>
                                    <a:lnTo>
                                      <a:pt x="422" y="104"/>
                                    </a:lnTo>
                                    <a:lnTo>
                                      <a:pt x="422" y="449"/>
                                    </a:lnTo>
                                    <a:lnTo>
                                      <a:pt x="753" y="0"/>
                                    </a:lnTo>
                                  </a:path>
                                </a:pathLst>
                              </a:custGeom>
                              <a:noFill/>
                              <a:ln w="9525" cap="flat" cmpd="sng">
                                <a:solidFill>
                                  <a:srgbClr val="000000"/>
                                </a:solidFill>
                                <a:prstDash val="dash"/>
                                <a:headEnd type="none" w="med" len="med"/>
                                <a:tailEnd type="triangle" w="sm" len="lg"/>
                              </a:ln>
                            </wps:spPr>
                            <wps:bodyPr upright="1"/>
                          </wps:wsp>
                        </a:graphicData>
                      </a:graphic>
                    </wp:anchor>
                  </w:drawing>
                </mc:Choice>
                <mc:Fallback>
                  <w:pict>
                    <v:shape id="_x0000_s1026" o:spid="_x0000_s1026" o:spt="100" style="position:absolute;left:0pt;margin-left:138pt;margin-top:3.5pt;height:18.8pt;width:21.1pt;z-index:251693056;mso-width-relative:page;mso-height-relative:page;" filled="f" stroked="t" coordsize="753,680" o:gfxdata="UEsDBAoAAAAAAIdO4kAAAAAAAAAAAAAAAAAEAAAAZHJzL1BLAwQUAAAACACHTuJACXg7jNgAAAAI&#10;AQAADwAAAGRycy9kb3ducmV2LnhtbE2PzW6DMBCE75X6DtZW6qVqDARBRFlyqBSlt6r052zwBlDx&#10;GmEHkreve2pPo9WsZr4p9xczioVmN1hGiDcRCOLW6oE7hI/3w+MOhPOKtRotE8KVHOyr25tSFdqu&#10;/EZL7TsRQtgVCqH3fiqkdG1PRrmNnYiDd7KzUT6ccyf1rNYQbkaZRFEmjRo4NPRqouee2u/6bBAe&#10;rvXXNj8e13SRL9SdXg/02cSI93dx9ATC08X/PcMvfkCHKjA19szaiREhybOwxSPkQYK/jXcJiAYh&#10;TTOQVSn/D6h+AFBLAwQUAAAACACHTuJARsi6u10CAADhBAAADgAAAGRycy9lMm9Eb2MueG1srVTL&#10;jtMwFN0j8Q+W9zRpptOXms6CMmwQjDTDB7i2k1jyS7b72rNnzxLxE2g0fA2D+AyunaQtw2YWZJFc&#10;+54c33N87cXVXkm05c4Lo0s8HOQYcU0NE7ou8ce761dTjHwgmhFpNC/xgXt8tXz5YrGzc16YxkjG&#10;HQIS7ec7W+ImBDvPMk8brogfGMs1JCvjFAkwdHXGHNkBu5JZkefjbGccs85Q7j3Mrtok7hjdcwhN&#10;VQnKV4ZuFNehZXVckgCSfCOsx8tUbVVxGj5UlecByRKD0pDesAjE6/jOlgsyrx2xjaBdCeQ5JTzR&#10;pIjQsOiRakUCQRsn/qFSgjrjTRUG1KisFZIcARXD/Ik3tw2xPGkBq709mu7/Hy19v71xSLASj2YY&#10;aaJgx3/e3//69Pnx25ffP74/PnxFkAGbdtbPAX1rb1w38hBGzfvKqfgFNWifrD0creX7gChMFuPJ&#10;bAKmU0gVF9PJOFmfnX6mGx/ecpOIyPadD+3OsD4iTR/Rve5DS0KcjovHEO1KPLm8wKgp8Xiapw1R&#10;ZsvvTEKEU3UxCwvA+qe81Oe4UVFgBMUO81GH7PP91ya+HjdqXQLGPt9/W1yqq/fliIIgFp4qOYqB&#10;yXM3tLkWUiY7pI4SZ5fFJThJ4PBV0PQQKgsb6HWdFHsjBYu/RNHe1evX0qEtiQcgPZ2cv2DW+bAi&#10;vmlxDKKIIvOGE/ZGMxQOFhpDw4WAYwWKM4wkh/sjRgkZiJAnZHCC6Fq2aK86sKyPVoLi2FBtC8Vo&#10;bdgBOnFjnagbOKbDBI0Z6PzkT3dK49E6Hyem0820/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J&#10;eDuM2AAAAAgBAAAPAAAAAAAAAAEAIAAAACIAAABkcnMvZG93bnJldi54bWxQSwECFAAUAAAACACH&#10;TuJARsi6u10CAADhBAAADgAAAAAAAAABACAAAAAnAQAAZHJzL2Uyb0RvYy54bWxQSwUGAAAAAAYA&#10;BgBZAQAA9gUAAAAA&#10;" path="m0,680l422,104,422,449,753,0e">
                      <v:fill on="f" focussize="0,0"/>
                      <v:stroke color="#000000" joinstyle="round" dashstyle="dash" endarrow="block" endarrowwidth="narrow" endarrowlength="long"/>
                      <v:imagedata o:title=""/>
                      <o:lock v:ext="edit" aspectratio="f"/>
                    </v:shape>
                  </w:pict>
                </mc:Fallback>
              </mc:AlternateContent>
            </w:r>
            <w:r>
              <w:rPr>
                <w:b/>
                <w:color w:val="auto"/>
                <w:u w:val="single"/>
              </w:rPr>
              <mc:AlternateContent>
                <mc:Choice Requires="wps">
                  <w:drawing>
                    <wp:anchor distT="0" distB="0" distL="114300" distR="114300" simplePos="0" relativeHeight="251696128" behindDoc="0" locked="0" layoutInCell="1" allowOverlap="1">
                      <wp:simplePos x="0" y="0"/>
                      <wp:positionH relativeFrom="column">
                        <wp:posOffset>2858770</wp:posOffset>
                      </wp:positionH>
                      <wp:positionV relativeFrom="paragraph">
                        <wp:posOffset>160020</wp:posOffset>
                      </wp:positionV>
                      <wp:extent cx="407670" cy="299085"/>
                      <wp:effectExtent l="0" t="0" r="0" b="0"/>
                      <wp:wrapNone/>
                      <wp:docPr id="235" name="矩形 235"/>
                      <wp:cNvGraphicFramePr/>
                      <a:graphic xmlns:a="http://schemas.openxmlformats.org/drawingml/2006/main">
                        <a:graphicData uri="http://schemas.microsoft.com/office/word/2010/wordprocessingShape">
                          <wps:wsp>
                            <wps:cNvSpPr/>
                            <wps:spPr>
                              <a:xfrm>
                                <a:off x="0" y="0"/>
                                <a:ext cx="407670" cy="299085"/>
                              </a:xfrm>
                              <a:prstGeom prst="rect">
                                <a:avLst/>
                              </a:prstGeom>
                              <a:solidFill>
                                <a:srgbClr val="FFFFFF">
                                  <a:alpha val="0"/>
                                </a:srgbClr>
                              </a:solidFill>
                              <a:ln>
                                <a:noFill/>
                              </a:ln>
                            </wps:spPr>
                            <wps:txbx>
                              <w:txbxContent>
                                <w:p>
                                  <w:pPr>
                                    <w:rPr>
                                      <w:rFonts w:hint="default" w:eastAsiaTheme="minorEastAsia"/>
                                      <w:sz w:val="21"/>
                                      <w:szCs w:val="21"/>
                                      <w:lang w:val="en-US" w:eastAsia="zh-CN"/>
                                    </w:rPr>
                                  </w:pPr>
                                  <w:r>
                                    <w:rPr>
                                      <w:rFonts w:hint="eastAsia" w:eastAsiaTheme="minorEastAsia"/>
                                      <w:sz w:val="21"/>
                                      <w:szCs w:val="21"/>
                                      <w:lang w:val="en-US" w:eastAsia="zh-CN"/>
                                    </w:rPr>
                                    <w:t>2</w:t>
                                  </w:r>
                                </w:p>
                              </w:txbxContent>
                            </wps:txbx>
                            <wps:bodyPr upright="1"/>
                          </wps:wsp>
                        </a:graphicData>
                      </a:graphic>
                    </wp:anchor>
                  </w:drawing>
                </mc:Choice>
                <mc:Fallback>
                  <w:pict>
                    <v:rect id="_x0000_s1026" o:spid="_x0000_s1026" o:spt="1" style="position:absolute;left:0pt;margin-left:225.1pt;margin-top:12.6pt;height:23.55pt;width:32.1pt;z-index:251696128;mso-width-relative:page;mso-height-relative:page;" fillcolor="#FFFFFF" filled="t" stroked="f" coordsize="21600,21600" o:gfxdata="UEsDBAoAAAAAAIdO4kAAAAAAAAAAAAAAAAAEAAAAZHJzL1BLAwQUAAAACACHTuJAiKjpodkAAAAJ&#10;AQAADwAAAGRycy9kb3ducmV2LnhtbE2PsU7DMBCGdyTewTokNuokTaCEXDrQZmBgIKXq6sZuEhGf&#10;o9htw9tzTDCdTvfpv+8v1rMdxMVMvneEEC8iEIYap3tqET531cMKhA+KtBocGYRv42Fd3t4UKtfu&#10;Sh/mUodWcAj5XCF0IYy5lL7pjFV+4UZDfDu5yarA69RKPakrh9tBJlH0KK3qiT90ajSvnWm+6rNF&#10;qKu9fn8+hOXBzVW7fdtsTttxh3h/F0cvIIKZwx8Mv/qsDiU7Hd2ZtBcDQppFCaMIScaTgSxOUxBH&#10;hKdkCbIs5P8G5Q9QSwMEFAAAAAgAh07iQDgMc/zEAQAAigMAAA4AAABkcnMvZTJvRG9jLnhtbK1T&#10;zY7TMBC+I/EOlu80aYH9iZrugapcEKy0ywO4jpNY8p9m3CZ9GiRuPASPg3gNxk7owu5lD5uDMzMe&#10;fzPfN/b6ZrSGHRWg9q7my0XJmXLSN9p1Nf96v3tzxRlG4RphvFM1PynkN5vXr9ZDqNTK9940ChiB&#10;OKyGUPM+xlAVBcpeWYELH5SjzdaDFZFc6IoGxEDo1hSrsrwoBg9NAC8VIkW30yafEeE5gL5ttVRb&#10;Lw9WuTihgjIiEiXsdUC+yd22rZLxS9uiiszUnJjGvFIRsvdpLTZrUXUgQq/l3IJ4TguPOFmhHRU9&#10;Q21FFOwA+gmU1RI8+jYupLfFRCQrQiyW5SNt7noRVOZCUmM4i44vBys/H2+B6abmq7fvOXPC0sh/&#10;f/vx6+d3liKkzxCworS7cAuzh2QmsmMLNv2JBhuzpqezpmqMTFLwXXl5cUlqS9paXV+XVxmzeDgc&#10;AONH5S1LRs2BRpaVFMdPGKkgpf5NSbXQG93stDHZgW7/wQA7ChrvLn/TWRN6MUXziAkDp9SM9x+G&#10;cQnJ+YQ5lUuRIrGeeCYrjvtxJr/3zYkkOwTQXU8NL5NGOZ1GlOHn65TuwL9+znp4Qp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iKjpodkAAAAJAQAADwAAAAAAAAABACAAAAAiAAAAZHJzL2Rvd25y&#10;ZXYueG1sUEsBAhQAFAAAAAgAh07iQDgMc/zEAQAAigMAAA4AAAAAAAAAAQAgAAAAKAEAAGRycy9l&#10;Mm9Eb2MueG1sUEsFBgAAAAAGAAYAWQEAAF4FAAAAAA==&#10;">
                      <v:fill on="t" opacity="0f" focussize="0,0"/>
                      <v:stroke on="f"/>
                      <v:imagedata o:title=""/>
                      <o:lock v:ext="edit" aspectratio="f"/>
                      <v:textbox>
                        <w:txbxContent>
                          <w:p>
                            <w:pPr>
                              <w:rPr>
                                <w:rFonts w:hint="default" w:eastAsiaTheme="minorEastAsia"/>
                                <w:sz w:val="21"/>
                                <w:szCs w:val="21"/>
                                <w:lang w:val="en-US" w:eastAsia="zh-CN"/>
                              </w:rPr>
                            </w:pPr>
                            <w:r>
                              <w:rPr>
                                <w:rFonts w:hint="eastAsia" w:eastAsiaTheme="minorEastAsia"/>
                                <w:sz w:val="21"/>
                                <w:szCs w:val="21"/>
                                <w:lang w:val="en-US" w:eastAsia="zh-CN"/>
                              </w:rPr>
                              <w:t>2</w:t>
                            </w:r>
                          </w:p>
                        </w:txbxContent>
                      </v:textbox>
                    </v:rect>
                  </w:pict>
                </mc:Fallback>
              </mc:AlternateContent>
            </w:r>
            <w:r>
              <w:rPr>
                <w:b/>
                <w:color w:val="auto"/>
                <w:szCs w:val="24"/>
              </w:rPr>
              <mc:AlternateContent>
                <mc:Choice Requires="wps">
                  <w:drawing>
                    <wp:anchor distT="0" distB="0" distL="114300" distR="114300" simplePos="0" relativeHeight="251691008" behindDoc="0" locked="0" layoutInCell="1" allowOverlap="1">
                      <wp:simplePos x="0" y="0"/>
                      <wp:positionH relativeFrom="column">
                        <wp:posOffset>798830</wp:posOffset>
                      </wp:positionH>
                      <wp:positionV relativeFrom="paragraph">
                        <wp:posOffset>185420</wp:posOffset>
                      </wp:positionV>
                      <wp:extent cx="437515" cy="299085"/>
                      <wp:effectExtent l="0" t="0" r="0" b="0"/>
                      <wp:wrapNone/>
                      <wp:docPr id="208" name="矩形 208"/>
                      <wp:cNvGraphicFramePr/>
                      <a:graphic xmlns:a="http://schemas.openxmlformats.org/drawingml/2006/main">
                        <a:graphicData uri="http://schemas.microsoft.com/office/word/2010/wordprocessingShape">
                          <wps:wsp>
                            <wps:cNvSpPr/>
                            <wps:spPr>
                              <a:xfrm>
                                <a:off x="0" y="0"/>
                                <a:ext cx="437515" cy="299085"/>
                              </a:xfrm>
                              <a:prstGeom prst="rect">
                                <a:avLst/>
                              </a:prstGeom>
                              <a:solidFill>
                                <a:srgbClr val="FFFFFF">
                                  <a:alpha val="0"/>
                                </a:srgbClr>
                              </a:solidFill>
                              <a:ln>
                                <a:noFill/>
                              </a:ln>
                            </wps:spPr>
                            <wps:txbx>
                              <w:txbxContent>
                                <w:p>
                                  <w:pPr>
                                    <w:rPr>
                                      <w:rFonts w:hint="default" w:eastAsiaTheme="minorEastAsia"/>
                                      <w:sz w:val="21"/>
                                      <w:szCs w:val="21"/>
                                      <w:lang w:val="en-US" w:eastAsia="zh-CN"/>
                                    </w:rPr>
                                  </w:pPr>
                                  <w:r>
                                    <w:rPr>
                                      <w:rFonts w:hint="eastAsia" w:eastAsiaTheme="minorEastAsia"/>
                                      <w:sz w:val="21"/>
                                      <w:szCs w:val="21"/>
                                      <w:lang w:val="en-US" w:eastAsia="zh-CN"/>
                                    </w:rPr>
                                    <w:t>10</w:t>
                                  </w:r>
                                </w:p>
                              </w:txbxContent>
                            </wps:txbx>
                            <wps:bodyPr upright="1"/>
                          </wps:wsp>
                        </a:graphicData>
                      </a:graphic>
                    </wp:anchor>
                  </w:drawing>
                </mc:Choice>
                <mc:Fallback>
                  <w:pict>
                    <v:rect id="_x0000_s1026" o:spid="_x0000_s1026" o:spt="1" style="position:absolute;left:0pt;margin-left:62.9pt;margin-top:14.6pt;height:23.55pt;width:34.45pt;z-index:251691008;mso-width-relative:page;mso-height-relative:page;" fillcolor="#FFFFFF" filled="t" stroked="f" coordsize="21600,21600" o:gfxdata="UEsDBAoAAAAAAIdO4kAAAAAAAAAAAAAAAAAEAAAAZHJzL1BLAwQUAAAACACHTuJAcw7mnNgAAAAJ&#10;AQAADwAAAGRycy9kb3ducmV2LnhtbE2PMW/CMBSE90r8B+shdSsOoYUmzQsDkKFDh4ZWrCZ+JBHx&#10;cxQbSP99zdSOpzvdfZetR9OJKw2utYwwn0UgiCurW64RvvbF0ysI5xVr1VkmhB9ysM4nD5lKtb3x&#10;J11LX4tQwi5VCI33fSqlqxoyys1sTxy8kx2M8kEOtdSDuoVy08k4ipbSqJbDQqN62jRUncuLQSiL&#10;b/2RHPziYMei3r1vt6ddv0d8nM6jNxCeRv8Xhjt+QIc8MB3thbUTXdDxS0D3CHESg7gHkucViCPC&#10;arkAmWfy/4P8F1BLAwQUAAAACACHTuJAgpnrNcQBAACKAwAADgAAAGRycy9lMm9Eb2MueG1srVPN&#10;jtMwEL4j8Q6W7zRpobAbNd0DVbkgWGnhAVzHSSz5TzNukz4NEjcegsdBvAZjJ3TZ3cseyMGZGY+/&#10;me8be3MzWsNOClB7V/PlouRMOekb7bqaf/2yf3XFGUbhGmG8UzU/K+Q325cvNkOo1Mr33jQKGIE4&#10;rIZQ8z7GUBUFyl5ZgQsflKPN1oMVkVzoigbEQOjWFKuyfFsMHpoAXipEiu6mTT4jwnMAfdtqqXZe&#10;Hq1ycUIFZUQkStjrgHybu21bJePntkUVmak5MY15pSJkH9JabDei6kCEXsu5BfGcFh5xskI7KnqB&#10;2oko2BH0EyirJXj0bVxIb4uJSFaEWCzLR9rc9SKozIWkxnARHf8frPx0ugWmm5qvShq8E5ZG/vvb&#10;j18/v7MUIX2GgBWl3YVbmD0kM5EdW7DpTzTYmDU9XzRVY2SSgm9ev1sv15xJ2lpdX5dX64RZ3B8O&#10;gPGD8pYlo+ZAI8tKitNHjFPq35RUC73RzV4bkx3oDu8NsJOg8e7zN501oRdTNI+YyuGUmks/wDAu&#10;ITmfMKdyKVIk1hPPZMXxMM7kD745k2THALrrqeFl5pOSaEQZfr5O6Q7862fQ+ye0/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zDuac2AAAAAkBAAAPAAAAAAAAAAEAIAAAACIAAABkcnMvZG93bnJl&#10;di54bWxQSwECFAAUAAAACACHTuJAgpnrNcQBAACKAwAADgAAAAAAAAABACAAAAAnAQAAZHJzL2Uy&#10;b0RvYy54bWxQSwUGAAAAAAYABgBZAQAAXQUAAAAA&#10;">
                      <v:fill on="t" opacity="0f" focussize="0,0"/>
                      <v:stroke on="f"/>
                      <v:imagedata o:title=""/>
                      <o:lock v:ext="edit" aspectratio="f"/>
                      <v:textbox>
                        <w:txbxContent>
                          <w:p>
                            <w:pPr>
                              <w:rPr>
                                <w:rFonts w:hint="default" w:eastAsiaTheme="minorEastAsia"/>
                                <w:sz w:val="21"/>
                                <w:szCs w:val="21"/>
                                <w:lang w:val="en-US" w:eastAsia="zh-CN"/>
                              </w:rPr>
                            </w:pPr>
                            <w:r>
                              <w:rPr>
                                <w:rFonts w:hint="eastAsia" w:eastAsiaTheme="minorEastAsia"/>
                                <w:sz w:val="21"/>
                                <w:szCs w:val="21"/>
                                <w:lang w:val="en-US" w:eastAsia="zh-CN"/>
                              </w:rPr>
                              <w:t>10</w:t>
                            </w:r>
                          </w:p>
                        </w:txbxContent>
                      </v:textbox>
                    </v:rect>
                  </w:pict>
                </mc:Fallback>
              </mc:AlternateContent>
            </w:r>
          </w:p>
          <w:p>
            <w:pPr>
              <w:snapToGrid w:val="0"/>
              <w:spacing w:line="240" w:lineRule="auto"/>
              <w:rPr>
                <w:b/>
                <w:color w:val="auto"/>
                <w:u w:val="single"/>
              </w:rPr>
            </w:pPr>
            <w:r>
              <w:rPr>
                <w:b/>
                <w:color w:val="auto"/>
                <w:u w:val="single"/>
              </w:rPr>
              <mc:AlternateContent>
                <mc:Choice Requires="wps">
                  <w:drawing>
                    <wp:anchor distT="0" distB="0" distL="114300" distR="114300" simplePos="0" relativeHeight="251677696" behindDoc="0" locked="0" layoutInCell="1" allowOverlap="1">
                      <wp:simplePos x="0" y="0"/>
                      <wp:positionH relativeFrom="column">
                        <wp:posOffset>53340</wp:posOffset>
                      </wp:positionH>
                      <wp:positionV relativeFrom="paragraph">
                        <wp:posOffset>139065</wp:posOffset>
                      </wp:positionV>
                      <wp:extent cx="660400" cy="299085"/>
                      <wp:effectExtent l="0" t="0" r="0" b="0"/>
                      <wp:wrapNone/>
                      <wp:docPr id="63" name="矩形 63"/>
                      <wp:cNvGraphicFramePr/>
                      <a:graphic xmlns:a="http://schemas.openxmlformats.org/drawingml/2006/main">
                        <a:graphicData uri="http://schemas.microsoft.com/office/word/2010/wordprocessingShape">
                          <wps:wsp>
                            <wps:cNvSpPr/>
                            <wps:spPr>
                              <a:xfrm>
                                <a:off x="0" y="0"/>
                                <a:ext cx="660400" cy="299085"/>
                              </a:xfrm>
                              <a:prstGeom prst="rect">
                                <a:avLst/>
                              </a:prstGeom>
                              <a:solidFill>
                                <a:srgbClr val="FFFFFF">
                                  <a:alpha val="0"/>
                                </a:srgbClr>
                              </a:solidFill>
                              <a:ln>
                                <a:noFill/>
                              </a:ln>
                            </wps:spPr>
                            <wps:txbx>
                              <w:txbxContent>
                                <w:p>
                                  <w:pPr>
                                    <w:rPr>
                                      <w:sz w:val="21"/>
                                      <w:szCs w:val="21"/>
                                    </w:rPr>
                                  </w:pPr>
                                  <w:r>
                                    <w:rPr>
                                      <w:rFonts w:hAnsi="宋体"/>
                                      <w:sz w:val="21"/>
                                      <w:szCs w:val="21"/>
                                    </w:rPr>
                                    <w:t>自来水</w:t>
                                  </w:r>
                                </w:p>
                              </w:txbxContent>
                            </wps:txbx>
                            <wps:bodyPr upright="1"/>
                          </wps:wsp>
                        </a:graphicData>
                      </a:graphic>
                    </wp:anchor>
                  </w:drawing>
                </mc:Choice>
                <mc:Fallback>
                  <w:pict>
                    <v:rect id="_x0000_s1026" o:spid="_x0000_s1026" o:spt="1" style="position:absolute;left:0pt;margin-left:4.2pt;margin-top:10.95pt;height:23.55pt;width:52pt;z-index:251677696;mso-width-relative:page;mso-height-relative:page;" fillcolor="#FFFFFF" filled="t" stroked="f" coordsize="21600,21600" o:gfxdata="UEsDBAoAAAAAAIdO4kAAAAAAAAAAAAAAAAAEAAAAZHJzL1BLAwQUAAAACACHTuJAbAmh8dUAAAAH&#10;AQAADwAAAGRycy9kb3ducmV2LnhtbE2OvU7DMBSFdyTewbpIbNROQFUTctOBNgMDA2lRVze+TSLi&#10;6yh22/D2uBOM50fnfMV6toO40OR7xwjJQoEgbpzpuUXY76qnFQgfNBs9OCaEH/KwLu/vCp0bd+VP&#10;utShFXGEfa4RuhDGXErfdGS1X7iROGYnN1kdopxaaSZ9jeN2kKlSS2l1z/Gh0yO9ddR812eLUFdf&#10;5iM7hOeDm6t2+77ZnLbjDvHxIVGvIALN4a8MN/yIDmVkOrozGy8GhNVLLCKkSQbiFidpNI4Iy0yB&#10;LAv5n7/8BVBLAwQUAAAACACHTuJAB1Al0cMBAACIAwAADgAAAGRycy9lMm9Eb2MueG1srVPNjtMw&#10;EL4j8Q6W7zRpgWo3arqHrcoFwUrLPoDrOIkl/2nGbdKnQeLGQ/A4iNdg7IQuLJc9bA7OzHj8zXzf&#10;2Jub0Rp2UoDau5ovFyVnyknfaNfV/OHL/s0VZxiFa4TxTtX8rJDfbF+/2gyhUivfe9MoYATisBpC&#10;zfsYQ1UUKHtlBS58UI42Ww9WRHKhKxoQA6FbU6zKcl0MHpoAXipEiu6mTT4jwnMAfdtqqXZeHq1y&#10;cUIFZUQkStjrgHybu21bJePntkUVmak5MY15pSJkH9JabDei6kCEXsu5BfGcFp5wskI7KnqB2oko&#10;2BH0f1BWS/Do27iQ3hYTkawIsViWT7S570VQmQtJjeEiOr4crPx0ugOmm5qv33LmhKWJ//r6/eeP&#10;b4wCpM4QsKKk+3AHs4dkJqpjCzb9iQQbs6Lni6JqjExScL0u35WktaSt1fV1efU+YRaPhwNg/KC8&#10;ZcmoOdDAso7i9BHjlPonJdVCb3Sz18ZkB7rDrQF2EjTcff6msyb0YormAVM5nFJz6X8wjEtIzifM&#10;qVyKFIn1xDNZcTyMM/mDb84k2DGA7npqeJn5pCQaUIafL1O6AX/7GfTxAW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GwJofHVAAAABwEAAA8AAAAAAAAAAQAgAAAAIgAAAGRycy9kb3ducmV2Lnht&#10;bFBLAQIUABQAAAAIAIdO4kAHUCXRwwEAAIgDAAAOAAAAAAAAAAEAIAAAACQBAABkcnMvZTJvRG9j&#10;LnhtbFBLBQYAAAAABgAGAFkBAABZBQAAAAA=&#10;">
                      <v:fill on="t" opacity="0f" focussize="0,0"/>
                      <v:stroke on="f"/>
                      <v:imagedata o:title=""/>
                      <o:lock v:ext="edit" aspectratio="f"/>
                      <v:textbox>
                        <w:txbxContent>
                          <w:p>
                            <w:pPr>
                              <w:rPr>
                                <w:sz w:val="21"/>
                                <w:szCs w:val="21"/>
                              </w:rPr>
                            </w:pPr>
                            <w:r>
                              <w:rPr>
                                <w:rFonts w:hAnsi="宋体"/>
                                <w:sz w:val="21"/>
                                <w:szCs w:val="21"/>
                              </w:rPr>
                              <w:t>自来水</w:t>
                            </w:r>
                          </w:p>
                        </w:txbxContent>
                      </v:textbox>
                    </v:rect>
                  </w:pict>
                </mc:Fallback>
              </mc:AlternateContent>
            </w:r>
            <w:r>
              <w:rPr>
                <w:b/>
                <w:color w:val="auto"/>
                <w:u w:val="single"/>
              </w:rPr>
              <mc:AlternateContent>
                <mc:Choice Requires="wps">
                  <w:drawing>
                    <wp:anchor distT="0" distB="0" distL="114300" distR="114300" simplePos="0" relativeHeight="251695104" behindDoc="0" locked="0" layoutInCell="1" allowOverlap="1">
                      <wp:simplePos x="0" y="0"/>
                      <wp:positionH relativeFrom="column">
                        <wp:posOffset>3296285</wp:posOffset>
                      </wp:positionH>
                      <wp:positionV relativeFrom="paragraph">
                        <wp:posOffset>18415</wp:posOffset>
                      </wp:positionV>
                      <wp:extent cx="1151890" cy="299085"/>
                      <wp:effectExtent l="0" t="0" r="0" b="0"/>
                      <wp:wrapNone/>
                      <wp:docPr id="213" name="矩形 213"/>
                      <wp:cNvGraphicFramePr/>
                      <a:graphic xmlns:a="http://schemas.openxmlformats.org/drawingml/2006/main">
                        <a:graphicData uri="http://schemas.microsoft.com/office/word/2010/wordprocessingShape">
                          <wps:wsp>
                            <wps:cNvSpPr/>
                            <wps:spPr>
                              <a:xfrm>
                                <a:off x="0" y="0"/>
                                <a:ext cx="1151890" cy="299085"/>
                              </a:xfrm>
                              <a:prstGeom prst="rect">
                                <a:avLst/>
                              </a:prstGeom>
                              <a:solidFill>
                                <a:srgbClr val="FFFFFF">
                                  <a:alpha val="0"/>
                                </a:srgbClr>
                              </a:solidFill>
                              <a:ln>
                                <a:noFill/>
                              </a:ln>
                            </wps:spPr>
                            <wps:txbx>
                              <w:txbxContent>
                                <w:p>
                                  <w:pPr>
                                    <w:rPr>
                                      <w:rFonts w:hint="default" w:eastAsiaTheme="minorEastAsia"/>
                                      <w:sz w:val="21"/>
                                      <w:szCs w:val="21"/>
                                      <w:lang w:val="en-US" w:eastAsia="zh-CN"/>
                                    </w:rPr>
                                  </w:pPr>
                                  <w:r>
                                    <w:rPr>
                                      <w:rFonts w:hint="eastAsia" w:eastAsiaTheme="minorEastAsia"/>
                                      <w:sz w:val="21"/>
                                      <w:szCs w:val="21"/>
                                      <w:lang w:val="en-US" w:eastAsia="zh-CN"/>
                                    </w:rPr>
                                    <w:t>作为危废处置2</w:t>
                                  </w:r>
                                </w:p>
                              </w:txbxContent>
                            </wps:txbx>
                            <wps:bodyPr upright="1"/>
                          </wps:wsp>
                        </a:graphicData>
                      </a:graphic>
                    </wp:anchor>
                  </w:drawing>
                </mc:Choice>
                <mc:Fallback>
                  <w:pict>
                    <v:rect id="_x0000_s1026" o:spid="_x0000_s1026" o:spt="1" style="position:absolute;left:0pt;margin-left:259.55pt;margin-top:1.45pt;height:23.55pt;width:90.7pt;z-index:251695104;mso-width-relative:page;mso-height-relative:page;" fillcolor="#FFFFFF" filled="t" stroked="f" coordsize="21600,21600" o:gfxdata="UEsDBAoAAAAAAIdO4kAAAAAAAAAAAAAAAAAEAAAAZHJzL1BLAwQUAAAACACHTuJAjlGu19cAAAAI&#10;AQAADwAAAGRycy9kb3ducmV2LnhtbE2PMU/DMBCFd6T+B+uQ2KidogIJcTq0zdCBgRTU1Y2vSUR8&#10;jmK3Tf89xwTj6Xt677t8NbleXHAMnScNyVyBQKq97ajR8LkvH19BhGjImt4TarhhgFUxu8tNZv2V&#10;PvBSxUZwCYXMaGhjHDIpQ92iM2HuByRmJz86E/kcG2lHc+Vy18uFUs/SmY54oTUDrlusv6uz01CV&#10;X/Y9PcSng5/KZrvbbE7bYa/1w32i3kBEnOJfGH71WR0Kdjr6M9kgeg3LJE04qmGRgmD+otQSxJGB&#10;UiCLXP5/oPgBUEsDBBQAAAAIAIdO4kCra7YqxAEAAIsDAAAOAAAAZHJzL2Uyb0RvYy54bWytU82O&#10;0zAQviPxDpbvNEnRojZquoetygXBSgsP4DpOYsl/mnHb9GmQuPEQPA7iNRg7oQvLZQ+bgzMzHn8z&#10;3zf25na0hp0UoPau4dWi5Ew56Vvt+oZ/+bx/s+IMo3CtMN6phl8U8tvt61ebc6jV0g/etAoYgTis&#10;z6HhQ4yhLgqUg7ICFz4oR5udBysiudAXLYgzoVtTLMvyXXH20AbwUiFSdDdt8hkRngPou05LtfPy&#10;aJWLEyooIyJRwkEH5NvcbdcpGT91HarITMOJacwrFSH7kNZiuxF1DyIMWs4tiOe08ISTFdpR0SvU&#10;TkTBjqD/g7JagkffxYX0tpiIZEWIRVU+0eZhEEFlLiQ1hqvo+HKw8uPpHphuG76s3nLmhKWR//r6&#10;/eePbyxFSJ9zwJrSHsI9zB6SmciOHdj0JxpszJperpqqMTJJwaq6qVZrklvS3nK9Llc3CbR4PB0A&#10;43vlLUtGw4FmlqUUpw8Yp9Q/KakYeqPbvTYmO9Af7gywk6D57vM3nTVhEFM0z5jK4ZSaS/+DYVxC&#10;cj5hTuVSpEi0J6LJiuNhnNkffHshzY4BdD9Qw1Xmk5JoRhl+vk/pEvztZ9DHN7T9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I5RrtfXAAAACAEAAA8AAAAAAAAAAQAgAAAAIgAAAGRycy9kb3ducmV2&#10;LnhtbFBLAQIUABQAAAAIAIdO4kCra7YqxAEAAIsDAAAOAAAAAAAAAAEAIAAAACYBAABkcnMvZTJv&#10;RG9jLnhtbFBLBQYAAAAABgAGAFkBAABcBQAAAAA=&#10;">
                      <v:fill on="t" opacity="0f" focussize="0,0"/>
                      <v:stroke on="f"/>
                      <v:imagedata o:title=""/>
                      <o:lock v:ext="edit" aspectratio="f"/>
                      <v:textbox>
                        <w:txbxContent>
                          <w:p>
                            <w:pPr>
                              <w:rPr>
                                <w:rFonts w:hint="default" w:eastAsiaTheme="minorEastAsia"/>
                                <w:sz w:val="21"/>
                                <w:szCs w:val="21"/>
                                <w:lang w:val="en-US" w:eastAsia="zh-CN"/>
                              </w:rPr>
                            </w:pPr>
                            <w:r>
                              <w:rPr>
                                <w:rFonts w:hint="eastAsia" w:eastAsiaTheme="minorEastAsia"/>
                                <w:sz w:val="21"/>
                                <w:szCs w:val="21"/>
                                <w:lang w:val="en-US" w:eastAsia="zh-CN"/>
                              </w:rPr>
                              <w:t>作为危废处置2</w:t>
                            </w:r>
                          </w:p>
                        </w:txbxContent>
                      </v:textbox>
                    </v:rect>
                  </w:pict>
                </mc:Fallback>
              </mc:AlternateContent>
            </w:r>
            <w:r>
              <w:rPr>
                <w:b/>
                <w:color w:val="auto"/>
                <w:u w:val="single"/>
              </w:rPr>
              <mc:AlternateContent>
                <mc:Choice Requires="wps">
                  <w:drawing>
                    <wp:anchor distT="0" distB="0" distL="114300" distR="114300" simplePos="0" relativeHeight="251688960" behindDoc="0" locked="0" layoutInCell="1" allowOverlap="1">
                      <wp:simplePos x="0" y="0"/>
                      <wp:positionH relativeFrom="column">
                        <wp:posOffset>1286510</wp:posOffset>
                      </wp:positionH>
                      <wp:positionV relativeFrom="paragraph">
                        <wp:posOffset>19685</wp:posOffset>
                      </wp:positionV>
                      <wp:extent cx="1420495" cy="313055"/>
                      <wp:effectExtent l="4445" t="5080" r="10160" b="12065"/>
                      <wp:wrapNone/>
                      <wp:docPr id="57" name="矩形 57"/>
                      <wp:cNvGraphicFramePr/>
                      <a:graphic xmlns:a="http://schemas.openxmlformats.org/drawingml/2006/main">
                        <a:graphicData uri="http://schemas.microsoft.com/office/word/2010/wordprocessingShape">
                          <wps:wsp>
                            <wps:cNvSpPr/>
                            <wps:spPr>
                              <a:xfrm>
                                <a:off x="0" y="0"/>
                                <a:ext cx="1420495" cy="313055"/>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sz w:val="21"/>
                                      <w:szCs w:val="21"/>
                                    </w:rPr>
                                  </w:pPr>
                                  <w:r>
                                    <w:rPr>
                                      <w:rFonts w:hint="eastAsia"/>
                                      <w:sz w:val="21"/>
                                      <w:szCs w:val="21"/>
                                    </w:rPr>
                                    <w:t>废气处理水喷淋用水</w:t>
                                  </w:r>
                                </w:p>
                              </w:txbxContent>
                            </wps:txbx>
                            <wps:bodyPr upright="1"/>
                          </wps:wsp>
                        </a:graphicData>
                      </a:graphic>
                    </wp:anchor>
                  </w:drawing>
                </mc:Choice>
                <mc:Fallback>
                  <w:pict>
                    <v:rect id="_x0000_s1026" o:spid="_x0000_s1026" o:spt="1" style="position:absolute;left:0pt;margin-left:101.3pt;margin-top:1.55pt;height:24.65pt;width:111.85pt;z-index:251688960;mso-width-relative:page;mso-height-relative:page;" fillcolor="#FFFFFF" filled="t" stroked="t" coordsize="21600,21600" o:gfxdata="UEsDBAoAAAAAAIdO4kAAAAAAAAAAAAAAAAAEAAAAZHJzL1BLAwQUAAAACACHTuJAgKksD9cAAAAI&#10;AQAADwAAAGRycy9kb3ducmV2LnhtbE2PwU7DMBBE70j8g7VI3KgdN40gZFMJJA4IUKFw4LiNTRKI&#10;11HstuHvMSc4jmY086Zaz24QBzuF3jNCtlAgLDfe9NwivL3eXVyCCJHY0ODZInzbAOv69KSi0vgj&#10;v9jDNrYilXAoCaGLcSylDE1nHYWFHy0n78NPjmKSUyvNRMdU7gaplSqko57TQkejve1s87XdO4TP&#10;p83q5l4/6mAMP8zyKlf0/I54fpapaxDRzvEvDL/4CR3qxLTzezZBDAha6SJFEZYZiOTnuliC2CGs&#10;dA6yruT/A/UPUEsDBBQAAAAIAIdO4kB1Pe8kBgIAACkEAAAOAAAAZHJzL2Uyb0RvYy54bWytU82O&#10;0zAQviPxDpbvNGl3A2zUdA+UckGw0sIDuLaTWPKfPG6TPg0SNx6Cx0G8BmMndH/Ywx7IwZmxx9/M&#10;9814fT0aTY4ygHK2octFSYm03Allu4Z+/bJ79ZYSiMwKpp2VDT1JoNebly/Wg6/lyvVOCxkIglio&#10;B9/QPkZfFwXwXhoGC+elxcPWBcMiuqErRGADohtdrMrydTG4IHxwXALg7nY6pDNieA6ga1vF5dbx&#10;g5E2TqhBahaREvTKA93kattW8vi5bUFGohuKTGNeMQna+7QWmzWru8B8r/hcAntOCY84GaYsJj1D&#10;bVlk5BDUP1BG8eDAtXHBnSkmIlkRZLEsH2lz2zMvMxeUGvxZdPh/sPzT8SYQJRpavaHEMoMd//3t&#10;x6+f3wluoDqDhxqDbv1NmD1AM1Ed22DSH0mQMSt6Oisqx0g4bi4vV+XlVUUJx7OL5UVZVQm0uLvt&#10;A8QP0hmSjIYG7FgWkh0/QpxC/4akZOC0EjuldXZCt3+nAzky7O4ufzP6gzBtydDQq2qV6mA4si2O&#10;CprGI22wXc734AbcBy7z9xRwKmzLoJ8KyAgpjNVGRRmy1Usm3ltB4smjshZfFE3FGCko0RIfYLJy&#10;ZGRKPxEJZg7U3VyCtihgasvUiGTFcT8iSDL3TpywowcfVNejoMt8K53gBGXl52lPI3rfz6B3L3zz&#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CpLA/XAAAACAEAAA8AAAAAAAAAAQAgAAAAIgAAAGRy&#10;cy9kb3ducmV2LnhtbFBLAQIUABQAAAAIAIdO4kB1Pe8kBgIAACkEAAAOAAAAAAAAAAEAIAAAACYB&#10;AABkcnMvZTJvRG9jLnhtbFBLBQYAAAAABgAGAFkBAACeBQAAAAA=&#10;">
                      <v:fill on="t" focussize="0,0"/>
                      <v:stroke color="#000000" joinstyle="miter" endarrowwidth="narrow" endarrowlength="long"/>
                      <v:imagedata o:title=""/>
                      <o:lock v:ext="edit" aspectratio="f"/>
                      <v:textbox>
                        <w:txbxContent>
                          <w:p>
                            <w:pPr>
                              <w:jc w:val="center"/>
                              <w:rPr>
                                <w:sz w:val="21"/>
                                <w:szCs w:val="21"/>
                              </w:rPr>
                            </w:pPr>
                            <w:r>
                              <w:rPr>
                                <w:rFonts w:hint="eastAsia"/>
                                <w:sz w:val="21"/>
                                <w:szCs w:val="21"/>
                              </w:rPr>
                              <w:t>废气处理水喷淋用水</w:t>
                            </w:r>
                          </w:p>
                        </w:txbxContent>
                      </v:textbox>
                    </v:rect>
                  </w:pict>
                </mc:Fallback>
              </mc:AlternateContent>
            </w:r>
            <w:r>
              <w:rPr>
                <w:b/>
                <w:color w:val="auto"/>
                <w:szCs w:val="24"/>
              </w:rPr>
              <mc:AlternateContent>
                <mc:Choice Requires="wps">
                  <w:drawing>
                    <wp:anchor distT="0" distB="0" distL="114300" distR="114300" simplePos="0" relativeHeight="251689984" behindDoc="0" locked="0" layoutInCell="1" allowOverlap="1">
                      <wp:simplePos x="0" y="0"/>
                      <wp:positionH relativeFrom="column">
                        <wp:posOffset>671830</wp:posOffset>
                      </wp:positionH>
                      <wp:positionV relativeFrom="paragraph">
                        <wp:posOffset>183515</wp:posOffset>
                      </wp:positionV>
                      <wp:extent cx="624205" cy="635"/>
                      <wp:effectExtent l="0" t="24765" r="10795" b="25400"/>
                      <wp:wrapNone/>
                      <wp:docPr id="58" name="直接连接符 58"/>
                      <wp:cNvGraphicFramePr/>
                      <a:graphic xmlns:a="http://schemas.openxmlformats.org/drawingml/2006/main">
                        <a:graphicData uri="http://schemas.microsoft.com/office/word/2010/wordprocessingShape">
                          <wps:wsp>
                            <wps:cNvCnPr/>
                            <wps:spPr>
                              <a:xfrm>
                                <a:off x="0" y="0"/>
                                <a:ext cx="624205"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52.9pt;margin-top:14.45pt;height:0.05pt;width:49.15pt;z-index:251689984;mso-width-relative:page;mso-height-relative:page;" filled="f" stroked="t" coordsize="21600,21600" o:gfxdata="UEsDBAoAAAAAAIdO4kAAAAAAAAAAAAAAAAAEAAAAZHJzL1BLAwQUAAAACACHTuJAUuh9PtkAAAAJ&#10;AQAADwAAAGRycy9kb3ducmV2LnhtbE2PzU7DMBCE70h9B2srcaN2rFC1IU6FEAiVAxKlhx7deJtE&#10;jddR7P7A07Oc4DajGc1+W66uvhdnHGMXyEA2UyCQ6uA6agxsP1/uFiBisuRsHwgNfGGEVTW5KW3h&#10;woU+8LxJjeARioU10KY0FFLGukVv4ywMSJwdwuhtYjs20o32wuO+l1qpufS2I77Q2gGfWqyPm5M3&#10;sN6tj99q/hyHXD9uDzrs3t9ec2Nup5l6AJHwmv7K8IvP6FAx0z6cyEXRs1f3jJ4M6MUSBBe0yjMQ&#10;exZLBbIq5f8Pqh9QSwMEFAAAAAgAh07iQMVD2cP/AQAA6QMAAA4AAABkcnMvZTJvRG9jLnhtbK1T&#10;zY7TMBC+I/EOlu80baEVRE33sGW5IKgEPMDUcRJL/pPHbdqX4AWQuMGJI3feZpfHYOyEFpbLHsjB&#10;GXs+f57v83h1dTSaHWRA5WzFZ5MpZ9IKVyvbVvzD+5snzznDCLYG7ays+Ekiv1o/frTqfSnnrnO6&#10;loERicWy9xXvYvRlUaDopAGcOC8tJRsXDESahraoA/TEbnQxn06XRe9C7YMTEpFWN0OSj4zhIYSu&#10;aZSQGyf2Rto4sAapIZIk7JRHvs7VNo0U8W3ToIxMV5yUxjzSIRTv0lisV1C2AXynxFgCPKSEe5oM&#10;KEuHnqk2EIHtg/qHyigRHLomToQzxSAkO0IqZtN73rzrwMushaxGfzYd/x+teHPYBqbqii/o3i0Y&#10;uvG7T99vP375+eMzjXffvjLKkE29x5LQ13Ybxhn6bUiaj00w6U9q2DFbezpbK4+RCVpczp/NpwvO&#10;BKWWTxeJsLjs9AHjK+kMS0HFtbJJNpRweI1xgP6GpGVtWV/xF4t5IgTqwYbunkLjSQfaNu9Fp1V9&#10;o7ROOzC0u2sd2AFSH+RvLOEvWDpkA9gNuJxKMCg7CfVLW7N48mSQpYfBUwlG1pxpSe8oRRkZQekL&#10;MgYFttUDGs0I1u14uLZkQzJ2sDJFO1ef6Eb2Pqi2Iy9mGZoy1AHZtLFbU4v9Oc9Mlxe6/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S6H0+2QAAAAkBAAAPAAAAAAAAAAEAIAAAACIAAABkcnMvZG93&#10;bnJldi54bWxQSwECFAAUAAAACACHTuJAxUPZw/8BAADpAwAADgAAAAAAAAABACAAAAAoAQAAZHJz&#10;L2Uyb0RvYy54bWxQSwUGAAAAAAYABgBZAQAAmQUAAAAA&#10;">
                      <v:fill on="f" focussize="0,0"/>
                      <v:stroke color="#000000" joinstyle="round" endarrow="block" endarrowwidth="narrow" endarrowlength="long"/>
                      <v:imagedata o:title=""/>
                      <o:lock v:ext="edit" aspectratio="f"/>
                    </v:line>
                  </w:pict>
                </mc:Fallback>
              </mc:AlternateContent>
            </w:r>
            <w:r>
              <w:rPr>
                <w:b/>
                <w:color w:val="auto"/>
                <w:szCs w:val="24"/>
              </w:rPr>
              <mc:AlternateContent>
                <mc:Choice Requires="wps">
                  <w:drawing>
                    <wp:anchor distT="0" distB="0" distL="114300" distR="114300" simplePos="0" relativeHeight="251697152" behindDoc="0" locked="0" layoutInCell="1" allowOverlap="1">
                      <wp:simplePos x="0" y="0"/>
                      <wp:positionH relativeFrom="column">
                        <wp:posOffset>2708275</wp:posOffset>
                      </wp:positionH>
                      <wp:positionV relativeFrom="paragraph">
                        <wp:posOffset>177165</wp:posOffset>
                      </wp:positionV>
                      <wp:extent cx="624205" cy="635"/>
                      <wp:effectExtent l="0" t="24765" r="10795" b="25400"/>
                      <wp:wrapNone/>
                      <wp:docPr id="19" name="直接连接符 19"/>
                      <wp:cNvGraphicFramePr/>
                      <a:graphic xmlns:a="http://schemas.openxmlformats.org/drawingml/2006/main">
                        <a:graphicData uri="http://schemas.microsoft.com/office/word/2010/wordprocessingShape">
                          <wps:wsp>
                            <wps:cNvCnPr/>
                            <wps:spPr>
                              <a:xfrm>
                                <a:off x="0" y="0"/>
                                <a:ext cx="624205"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213.25pt;margin-top:13.95pt;height:0.05pt;width:49.15pt;z-index:251697152;mso-width-relative:page;mso-height-relative:page;" filled="f" stroked="t" coordsize="21600,21600" o:gfxdata="UEsDBAoAAAAAAIdO4kAAAAAAAAAAAAAAAAAEAAAAZHJzL1BLAwQUAAAACACHTuJAtrShs9oAAAAJ&#10;AQAADwAAAGRycy9kb3ducmV2LnhtbE2PTU/DMAyG70j8h8hI3FiyqCujNJ0QAqFxmMTYYces8dpq&#10;jVM12Qf8eswJjrYfvX7ecnHxvTjhGLtABqYTBQKpDq6jxsDm8/VuDiImS872gdDAF0ZYVNdXpS1c&#10;ONMHntapERxCsbAG2pSGQspYt+htnIQBiW/7MHqbeBwb6UZ75nDfS61ULr3tiD+0dsDnFuvD+ugN&#10;LLfLw7fKX+KQ6afNXoft6v0tM+b2ZqoeQSS8pD8YfvVZHSp22oUjuSh6A5nOZ4wa0PcPIBiY6Yy7&#10;7HgxVyCrUv5vUP0AUEsDBBQAAAAIAIdO4kAobWwA/wEAAOkDAAAOAAAAZHJzL2Uyb0RvYy54bWyt&#10;U82O0zAQviPxDpbvNG2hFRs13cOW5YKgEvAAU8dJLPlPHrdpX4IXQOIGJ47ceRuWx2DshBaWyx7I&#10;wRl7Pn+e7/N4dX00mh1kQOVsxWeTKWfSClcr21b8/bvbJ885wwi2Bu2srPhJIr9eP3606n0p565z&#10;upaBEYnFsvcV72L0ZVGg6KQBnDgvLSUbFwxEmoa2qAP0xG50MZ9Ol0XvQu2DExKRVjdDko+M4SGE&#10;rmmUkBsn9kbaOLAGqSGSJOyUR77O1TaNFPFN06CMTFeclMY80iEU79JYrFdQtgF8p8RYAjykhHua&#10;DChLh56pNhCB7YP6h8ooERy6Jk6EM8UgJDtCKmbTe9687cDLrIWsRn82Hf8frXh92AamauqEK84s&#10;GLrxu4/ffnz4/PP7Jxrvvn5hlCGbeo8loW/sNowz9NuQNB+bYNKf1LBjtvZ0tlYeIxO0uJw/m08X&#10;nAlKLZ8uEmFx2ekDxpfSGZaCimtlk2wo4fAK4wD9DUnL2rK+4leLeSIE6sGG7p5C40kH2jbvRadV&#10;fau0TjswtLsbHdgBUh/kbyzhL1g6ZAPYDbicSjAoOwn1C1uzePJkkKWHwVMJRtacaUnvKEUZGUHp&#10;CzIGBbbVAxrNCNbteLi2ZEMydrAyRTtXn+hG9j6otiMvZhmaMtQB2bSxW1OL/TnPTJcXuv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rShs9oAAAAJAQAADwAAAAAAAAABACAAAAAiAAAAZHJzL2Rv&#10;d25yZXYueG1sUEsBAhQAFAAAAAgAh07iQChtbAD/AQAA6QMAAA4AAAAAAAAAAQAgAAAAKQEAAGRy&#10;cy9lMm9Eb2MueG1sUEsFBgAAAAAGAAYAWQEAAJoFAAAAAA==&#10;">
                      <v:fill on="f" focussize="0,0"/>
                      <v:stroke color="#000000" joinstyle="round" endarrow="block" endarrowwidth="narrow" endarrowlength="long"/>
                      <v:imagedata o:title=""/>
                      <o:lock v:ext="edit" aspectratio="f"/>
                    </v:line>
                  </w:pict>
                </mc:Fallback>
              </mc:AlternateContent>
            </w:r>
          </w:p>
          <w:p>
            <w:pPr>
              <w:spacing w:line="240" w:lineRule="auto"/>
              <w:jc w:val="center"/>
              <w:rPr>
                <w:b/>
                <w:bCs/>
                <w:color w:val="auto"/>
                <w:szCs w:val="24"/>
                <w:u w:val="single"/>
              </w:rPr>
            </w:pPr>
            <w:r>
              <w:rPr>
                <w:b/>
                <w:color w:val="auto"/>
                <w:u w:val="single"/>
              </w:rPr>
              <mc:AlternateContent>
                <mc:Choice Requires="wps">
                  <w:drawing>
                    <wp:anchor distT="0" distB="0" distL="114300" distR="114300" simplePos="0" relativeHeight="251678720" behindDoc="0" locked="0" layoutInCell="1" allowOverlap="1">
                      <wp:simplePos x="0" y="0"/>
                      <wp:positionH relativeFrom="column">
                        <wp:posOffset>150495</wp:posOffset>
                      </wp:positionH>
                      <wp:positionV relativeFrom="paragraph">
                        <wp:posOffset>193675</wp:posOffset>
                      </wp:positionV>
                      <wp:extent cx="571500" cy="299085"/>
                      <wp:effectExtent l="0" t="0" r="0" b="0"/>
                      <wp:wrapNone/>
                      <wp:docPr id="217" name="矩形 217"/>
                      <wp:cNvGraphicFramePr/>
                      <a:graphic xmlns:a="http://schemas.openxmlformats.org/drawingml/2006/main">
                        <a:graphicData uri="http://schemas.microsoft.com/office/word/2010/wordprocessingShape">
                          <wps:wsp>
                            <wps:cNvSpPr/>
                            <wps:spPr>
                              <a:xfrm>
                                <a:off x="0" y="0"/>
                                <a:ext cx="571500" cy="299085"/>
                              </a:xfrm>
                              <a:prstGeom prst="rect">
                                <a:avLst/>
                              </a:prstGeom>
                              <a:solidFill>
                                <a:srgbClr val="FFFFFF">
                                  <a:alpha val="0"/>
                                </a:srgbClr>
                              </a:solidFill>
                              <a:ln>
                                <a:noFill/>
                              </a:ln>
                            </wps:spPr>
                            <wps:txbx>
                              <w:txbxContent>
                                <w:p>
                                  <w:pPr>
                                    <w:rPr>
                                      <w:rFonts w:hint="default" w:eastAsia="宋体"/>
                                      <w:sz w:val="21"/>
                                      <w:szCs w:val="21"/>
                                      <w:lang w:val="en-US" w:eastAsia="zh-CN"/>
                                    </w:rPr>
                                  </w:pPr>
                                  <w:r>
                                    <w:rPr>
                                      <w:rFonts w:hint="eastAsia"/>
                                      <w:sz w:val="21"/>
                                      <w:szCs w:val="21"/>
                                      <w:lang w:val="en-US" w:eastAsia="zh-CN"/>
                                    </w:rPr>
                                    <w:t>960.2</w:t>
                                  </w:r>
                                </w:p>
                              </w:txbxContent>
                            </wps:txbx>
                            <wps:bodyPr upright="1"/>
                          </wps:wsp>
                        </a:graphicData>
                      </a:graphic>
                    </wp:anchor>
                  </w:drawing>
                </mc:Choice>
                <mc:Fallback>
                  <w:pict>
                    <v:rect id="_x0000_s1026" o:spid="_x0000_s1026" o:spt="1" style="position:absolute;left:0pt;margin-left:11.85pt;margin-top:15.25pt;height:23.55pt;width:45pt;z-index:251678720;mso-width-relative:page;mso-height-relative:page;" fillcolor="#FFFFFF" filled="t" stroked="f" coordsize="21600,21600" o:gfxdata="UEsDBAoAAAAAAIdO4kAAAAAAAAAAAAAAAAAEAAAAZHJzL1BLAwQUAAAACACHTuJAL3SHMNcAAAAI&#10;AQAADwAAAGRycy9kb3ducmV2LnhtbE2PMU/DMBCFdyT+g3VIbNRJIxqa5tKBNgMDAymoqxtfk4j4&#10;HMVuG/49zgTju/f03nf5djK9uNLoOssI8SICQVxb3XGD8Hkon15AOK9Yq94yIfyQg21xf5erTNsb&#10;f9C18o0IJewyhdB6P2RSurolo9zCDsTBO9vRKB/k2Eg9qlsoN71cRtFKGtVxWGjVQK8t1d/VxSBU&#10;5Zd+Xx99crRT2ezfdrvzfjggPj7E0QaEp8n/hWHGD+hQBKaTvbB2okdYJmlIIiTRM4jZj+fDCSFN&#10;VyCLXP5/oPgFUEsDBBQAAAAIAIdO4kCgx2HxxAEAAIoDAAAOAAAAZHJzL2Uyb0RvYy54bWytU0tu&#10;2zAQ3RfoHQjua0kG3CSC5SxquJuiDZD2ADRFSQT4wwxty6cp0F0P0eMUvUaHlOK0ySaLaEHNDIdv&#10;5r0h17ejNeyoALV3Da8WJWfKSd9q1zf829fdu2vOMArXCuOdavhZIb/dvH2zPoVaLf3gTauAEYjD&#10;+hQaPsQY6qJAOSgrcOGDcrTZebAikgt90YI4Ebo1xbIs3xcnD20ALxUiRbfTJp8R4SWAvuu0VFsv&#10;D1a5OKGCMiISJRx0QL7J3XadkvFL16GKzDScmMa8UhGy92ktNmtR9yDCoOXcgnhJC084WaEdFb1A&#10;bUUU7AD6GZTVEjz6Li6kt8VEJCtCLKryiTb3gwgqcyGpMVxEx9eDlZ+Pd8B02/BldcWZE5ZG/uf7&#10;z9+/frAUIX1OAWtKuw93MHtIZiI7dmDTn2iwMWt6vmiqxsgkBVdX1aoktSVtLW9uyutVwiweDwfA&#10;+FF5y5LRcKCRZSXF8RPGKfUhJdVCb3S708ZkB/r9BwPsKGi8u/xNZ00YxBTNI6ZyOKXm0v9hGJeQ&#10;nE+YU7kUKRLriWey4rgfZ/J7355JskMA3Q/UcJX5pCQaUYafr1O6A//6GfTxCW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C90hzDXAAAACAEAAA8AAAAAAAAAAQAgAAAAIgAAAGRycy9kb3ducmV2&#10;LnhtbFBLAQIUABQAAAAIAIdO4kCgx2HxxAEAAIoDAAAOAAAAAAAAAAEAIAAAACYBAABkcnMvZTJv&#10;RG9jLnhtbFBLBQYAAAAABgAGAFkBAABcBQAAAAA=&#10;">
                      <v:fill on="t" opacity="0f" focussize="0,0"/>
                      <v:stroke on="f"/>
                      <v:imagedata o:title=""/>
                      <o:lock v:ext="edit" aspectratio="f"/>
                      <v:textbox>
                        <w:txbxContent>
                          <w:p>
                            <w:pPr>
                              <w:rPr>
                                <w:rFonts w:hint="default" w:eastAsia="宋体"/>
                                <w:sz w:val="21"/>
                                <w:szCs w:val="21"/>
                                <w:lang w:val="en-US" w:eastAsia="zh-CN"/>
                              </w:rPr>
                            </w:pPr>
                            <w:r>
                              <w:rPr>
                                <w:rFonts w:hint="eastAsia"/>
                                <w:sz w:val="21"/>
                                <w:szCs w:val="21"/>
                                <w:lang w:val="en-US" w:eastAsia="zh-CN"/>
                              </w:rPr>
                              <w:t>960.2</w:t>
                            </w:r>
                          </w:p>
                        </w:txbxContent>
                      </v:textbox>
                    </v:rect>
                  </w:pict>
                </mc:Fallback>
              </mc:AlternateContent>
            </w:r>
          </w:p>
          <w:p>
            <w:pPr>
              <w:pStyle w:val="14"/>
              <w:rPr>
                <w:b/>
                <w:bCs/>
                <w:color w:val="auto"/>
                <w:szCs w:val="24"/>
                <w:u w:val="single"/>
              </w:rPr>
            </w:pPr>
            <w:r>
              <w:rPr>
                <w:b/>
                <w:color w:val="auto"/>
                <w:u w:val="single"/>
              </w:rPr>
              <mc:AlternateContent>
                <mc:Choice Requires="wps">
                  <w:drawing>
                    <wp:anchor distT="0" distB="0" distL="114300" distR="114300" simplePos="0" relativeHeight="251715584" behindDoc="0" locked="0" layoutInCell="1" allowOverlap="1">
                      <wp:simplePos x="0" y="0"/>
                      <wp:positionH relativeFrom="column">
                        <wp:posOffset>2021205</wp:posOffset>
                      </wp:positionH>
                      <wp:positionV relativeFrom="paragraph">
                        <wp:posOffset>5715</wp:posOffset>
                      </wp:positionV>
                      <wp:extent cx="833120" cy="299085"/>
                      <wp:effectExtent l="0" t="0" r="0" b="0"/>
                      <wp:wrapNone/>
                      <wp:docPr id="77" name="矩形 77"/>
                      <wp:cNvGraphicFramePr/>
                      <a:graphic xmlns:a="http://schemas.openxmlformats.org/drawingml/2006/main">
                        <a:graphicData uri="http://schemas.microsoft.com/office/word/2010/wordprocessingShape">
                          <wps:wsp>
                            <wps:cNvSpPr/>
                            <wps:spPr>
                              <a:xfrm>
                                <a:off x="0" y="0"/>
                                <a:ext cx="833120" cy="299085"/>
                              </a:xfrm>
                              <a:prstGeom prst="rect">
                                <a:avLst/>
                              </a:prstGeom>
                              <a:solidFill>
                                <a:srgbClr val="FFFFFF">
                                  <a:alpha val="0"/>
                                </a:srgbClr>
                              </a:solidFill>
                              <a:ln>
                                <a:noFill/>
                              </a:ln>
                            </wps:spPr>
                            <wps:txbx>
                              <w:txbxContent>
                                <w:p>
                                  <w:pPr>
                                    <w:rPr>
                                      <w:rFonts w:hint="default" w:eastAsia="宋体"/>
                                      <w:sz w:val="21"/>
                                      <w:szCs w:val="21"/>
                                      <w:lang w:val="en-US" w:eastAsia="zh-CN"/>
                                    </w:rPr>
                                  </w:pPr>
                                  <w:r>
                                    <w:rPr>
                                      <w:rFonts w:hAnsi="宋体"/>
                                      <w:sz w:val="21"/>
                                      <w:szCs w:val="21"/>
                                    </w:rPr>
                                    <w:t>损耗</w:t>
                                  </w:r>
                                  <w:r>
                                    <w:rPr>
                                      <w:rFonts w:hint="eastAsia"/>
                                      <w:sz w:val="21"/>
                                      <w:szCs w:val="21"/>
                                      <w:lang w:val="en-US" w:eastAsia="zh-CN"/>
                                    </w:rPr>
                                    <w:t>300</w:t>
                                  </w:r>
                                </w:p>
                              </w:txbxContent>
                            </wps:txbx>
                            <wps:bodyPr upright="1"/>
                          </wps:wsp>
                        </a:graphicData>
                      </a:graphic>
                    </wp:anchor>
                  </w:drawing>
                </mc:Choice>
                <mc:Fallback>
                  <w:pict>
                    <v:rect id="_x0000_s1026" o:spid="_x0000_s1026" o:spt="1" style="position:absolute;left:0pt;margin-left:159.15pt;margin-top:0.45pt;height:23.55pt;width:65.6pt;z-index:251715584;mso-width-relative:page;mso-height-relative:page;" fillcolor="#FFFFFF" filled="t" stroked="f" coordsize="21600,21600" o:gfxdata="UEsDBAoAAAAAAIdO4kAAAAAAAAAAAAAAAAAEAAAAZHJzL1BLAwQUAAAACACHTuJAIYFXDdYAAAAH&#10;AQAADwAAAGRycy9kb3ducmV2LnhtbE2OMW+DMBSE90r9D9aL1K0xlLQCisnQhKFDh5JWWR38Aij4&#10;GWEnof++r1Oz3elOd1+xnu0gLjj53pGCeBmBQGqc6alV8LWrHlMQPmgyenCECn7Qw7q8vyt0btyV&#10;PvFSh1bwCPlcK+hCGHMpfdOh1X7pRiTOjm6yOrCdWmkmfeVxO8inKHqRVvfED50e8a3D5lSfrYK6&#10;+jYf2T4kezdX7fZ9szlux51SD4s4egURcA7/ZfjDZ3QomengzmS8GBQkcZpwVUEGguPVKnsGcWCR&#10;RiDLQt7yl79QSwMEFAAAAAgAh07iQB516GnDAQAAiAMAAA4AAABkcnMvZTJvRG9jLnhtbK1TzY7T&#10;MBC+I/EOlu80aVew3ajpHqjKBcFKCw/gOk5iyX+acZv0aZC48RA8DuI1GDuhC7uXPWwOzsx4/M18&#10;39ib29EadlKA2ruaLxclZ8pJ32jX1fzrl/2bNWcYhWuE8U7V/KyQ325fv9oMoVIr33vTKGAE4rAa&#10;Qs37GENVFCh7ZQUufFCONlsPVkRyoSsaEAOhW1OsyvJdMXhoAnipECm6mzb5jAjPAfRtq6XaeXm0&#10;ysUJFZQRkShhrwPybe62bZWMn9sWVWSm5sQ05pWKkH1Ia7HdiKoDEXot5xbEc1p4xMkK7ajoBWon&#10;omBH0E+grJbg0bdxIb0tJiJZEWKxLB9pc9+LoDIXkhrDRXR8OVj56XQHTDc1v77mzAlLE//97cev&#10;n98ZBUidIWBFSffhDmYPyUxUxxZs+hMJNmZFzxdF1RiZpOD66mq5Iq0lba1ubsr124RZPBwOgPGD&#10;8pYlo+ZAA8s6itNHjFPq35RUC73RzV4bkx3oDu8NsJOg4e7zN501oRdTNA+YyuGUmkv/h2FcQnI+&#10;YU7lUqRIrCeeyYrjYZzJH3xzJsGOAXTXU8PLzCcl0YAy/HyZ0g3418+gDw9o+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hgVcN1gAAAAcBAAAPAAAAAAAAAAEAIAAAACIAAABkcnMvZG93bnJldi54&#10;bWxQSwECFAAUAAAACACHTuJAHnXoacMBAACIAwAADgAAAAAAAAABACAAAAAlAQAAZHJzL2Uyb0Rv&#10;Yy54bWxQSwUGAAAAAAYABgBZAQAAWgUAAAAA&#10;">
                      <v:fill on="t" opacity="0f" focussize="0,0"/>
                      <v:stroke on="f"/>
                      <v:imagedata o:title=""/>
                      <o:lock v:ext="edit" aspectratio="f"/>
                      <v:textbox>
                        <w:txbxContent>
                          <w:p>
                            <w:pPr>
                              <w:rPr>
                                <w:rFonts w:hint="default" w:eastAsia="宋体"/>
                                <w:sz w:val="21"/>
                                <w:szCs w:val="21"/>
                                <w:lang w:val="en-US" w:eastAsia="zh-CN"/>
                              </w:rPr>
                            </w:pPr>
                            <w:r>
                              <w:rPr>
                                <w:rFonts w:hAnsi="宋体"/>
                                <w:sz w:val="21"/>
                                <w:szCs w:val="21"/>
                              </w:rPr>
                              <w:t>损耗</w:t>
                            </w:r>
                            <w:r>
                              <w:rPr>
                                <w:rFonts w:hint="eastAsia"/>
                                <w:sz w:val="21"/>
                                <w:szCs w:val="21"/>
                                <w:lang w:val="en-US" w:eastAsia="zh-CN"/>
                              </w:rPr>
                              <w:t>300</w:t>
                            </w:r>
                          </w:p>
                        </w:txbxContent>
                      </v:textbox>
                    </v:rect>
                  </w:pict>
                </mc:Fallback>
              </mc:AlternateContent>
            </w:r>
            <w:r>
              <w:rPr>
                <w:color w:val="auto"/>
                <w:szCs w:val="24"/>
              </w:rPr>
              <mc:AlternateContent>
                <mc:Choice Requires="wps">
                  <w:drawing>
                    <wp:anchor distT="0" distB="0" distL="114300" distR="114300" simplePos="0" relativeHeight="251716608" behindDoc="0" locked="0" layoutInCell="1" allowOverlap="1">
                      <wp:simplePos x="0" y="0"/>
                      <wp:positionH relativeFrom="column">
                        <wp:posOffset>1810385</wp:posOffset>
                      </wp:positionH>
                      <wp:positionV relativeFrom="paragraph">
                        <wp:posOffset>147955</wp:posOffset>
                      </wp:positionV>
                      <wp:extent cx="267970" cy="238760"/>
                      <wp:effectExtent l="3810" t="0" r="7620" b="2540"/>
                      <wp:wrapNone/>
                      <wp:docPr id="80" name="任意多边形 80"/>
                      <wp:cNvGraphicFramePr/>
                      <a:graphic xmlns:a="http://schemas.openxmlformats.org/drawingml/2006/main">
                        <a:graphicData uri="http://schemas.microsoft.com/office/word/2010/wordprocessingShape">
                          <wps:wsp>
                            <wps:cNvSpPr/>
                            <wps:spPr>
                              <a:xfrm>
                                <a:off x="0" y="0"/>
                                <a:ext cx="267970" cy="238760"/>
                              </a:xfrm>
                              <a:custGeom>
                                <a:avLst/>
                                <a:gdLst/>
                                <a:ahLst/>
                                <a:cxnLst/>
                                <a:pathLst>
                                  <a:path w="753" h="680">
                                    <a:moveTo>
                                      <a:pt x="0" y="680"/>
                                    </a:moveTo>
                                    <a:lnTo>
                                      <a:pt x="422" y="104"/>
                                    </a:lnTo>
                                    <a:lnTo>
                                      <a:pt x="422" y="449"/>
                                    </a:lnTo>
                                    <a:lnTo>
                                      <a:pt x="753" y="0"/>
                                    </a:lnTo>
                                  </a:path>
                                </a:pathLst>
                              </a:custGeom>
                              <a:noFill/>
                              <a:ln w="9525" cap="flat" cmpd="sng">
                                <a:solidFill>
                                  <a:srgbClr val="000000"/>
                                </a:solidFill>
                                <a:prstDash val="dash"/>
                                <a:headEnd type="none" w="med" len="med"/>
                                <a:tailEnd type="triangle" w="sm" len="lg"/>
                              </a:ln>
                            </wps:spPr>
                            <wps:bodyPr upright="1"/>
                          </wps:wsp>
                        </a:graphicData>
                      </a:graphic>
                    </wp:anchor>
                  </w:drawing>
                </mc:Choice>
                <mc:Fallback>
                  <w:pict>
                    <v:shape id="_x0000_s1026" o:spid="_x0000_s1026" o:spt="100" style="position:absolute;left:0pt;margin-left:142.55pt;margin-top:11.65pt;height:18.8pt;width:21.1pt;z-index:251716608;mso-width-relative:page;mso-height-relative:page;" filled="f" stroked="t" coordsize="753,680" o:gfxdata="UEsDBAoAAAAAAIdO4kAAAAAAAAAAAAAAAAAEAAAAZHJzL1BLAwQUAAAACACHTuJARz5M9NgAAAAJ&#10;AQAADwAAAGRycy9kb3ducmV2LnhtbE2PTU/DMAyG70j8h8hIXBBLP2AbpekOSNO4oRW2c9p4bUXj&#10;VE3Wbv8ec4Lba/nR68f55mJ7MeHoO0cK4kUEAql2pqNGwdfn9nENwgdNRveOUMEVPWyK25tcZ8bN&#10;tMepDI3gEvKZVtCGMGRS+rpFq/3CDUi8O7nR6sDj2Egz6pnLbS+TKFpKqzviC60e8K3F+rs8WwUP&#10;1/KYrna7+WmS79icPrZ4qGKl7u/i6BVEwEv4g+FXn9WhYKfKncl40StI1s8xoxzSFAQDabLiUClY&#10;Ri8gi1z+/6D4AVBLAwQUAAAACACHTuJA8pDhVFoCAADhBAAADgAAAGRycy9lMm9Eb2MueG1srVTL&#10;jtMwFN0j8Q+W9zRtptNH1HQWlGGDYKQZPsC1ncSSX7Ld1549e5aIn0Aj+BoG8RlcO0lbBgnNgiyS&#10;a9+Tc+85fiyu9kqiLXdeGF3i0WCIEdfUMKHrEr+/u34xw8gHohmRRvMSH7jHV8vnzxY7W/DcNEYy&#10;7hCQaF/sbImbEGyRZZ42XBE/MJZrSFbGKRJg6OqMObIDdiWzfDicZDvjmHWGcu9hdtUmccfonkJo&#10;qkpQvjJ0o7gOLavjkgSQ5BthPV6mbquK0/CuqjwPSJYYlIb0hiIQr+M7Wy5IUTtiG0G7FshTWnik&#10;SRGhoeiRakUCQRsn/qJSgjrjTRUG1KisFZIcARWj4SNvbhtiedICVnt7NN3/P1r6dnvjkGAlnoEl&#10;mihY8R/39z8/fHz48unX968P3z4jyIBNO+sLQN/aG9eNPIRR875yKn5BDdonaw9Ha/k+IAqT+WQ6&#10;n0IFCqn8YjadJM7s9DPd+PCam0REtm98aFeG9RFp+ojudR9aEuJ0LB5DtCvx9PICo6bEE+g6ziuz&#10;5XcmIcKpu5iFAlD/lJf6HDfOc4yg2dFw3CH7fP+1ia/Hjcfzf+JSX70vULdlgSA2njo5ioHJcze0&#10;uRZSJjukjhLnl/klOEng8FWw6SFUFhbQ6zop9kYKFn+Jor2r1y+lQ1sSD0B6ujb/gFnnw4r4psUx&#10;iCKKFA0n7JVmKBwsbAwNFwKOHSjOMJIc7o8YJWQgQp6QwQmia9miverAsj5aBIrjhmq3UIzWhh1g&#10;J26sE3UDx3SUoDEDOz/5053SeLTOx4npdDMtf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HPkz0&#10;2AAAAAkBAAAPAAAAAAAAAAEAIAAAACIAAABkcnMvZG93bnJldi54bWxQSwECFAAUAAAACACHTuJA&#10;8pDhVFoCAADhBAAADgAAAAAAAAABACAAAAAnAQAAZHJzL2Uyb0RvYy54bWxQSwUGAAAAAAYABgBZ&#10;AQAA8wUAAAAA&#10;" path="m0,680l422,104,422,449,753,0e">
                      <v:fill on="f" focussize="0,0"/>
                      <v:stroke color="#000000" joinstyle="round" dashstyle="dash" endarrow="block" endarrowwidth="narrow" endarrowlength="long"/>
                      <v:imagedata o:title=""/>
                      <o:lock v:ext="edit" aspectratio="f"/>
                    </v:shape>
                  </w:pict>
                </mc:Fallback>
              </mc:AlternateContent>
            </w:r>
            <w:r>
              <w:rPr>
                <w:b/>
                <w:color w:val="auto"/>
                <w:szCs w:val="24"/>
              </w:rPr>
              <mc:AlternateContent>
                <mc:Choice Requires="wps">
                  <w:drawing>
                    <wp:anchor distT="0" distB="0" distL="114300" distR="114300" simplePos="0" relativeHeight="251687936" behindDoc="0" locked="0" layoutInCell="1" allowOverlap="1">
                      <wp:simplePos x="0" y="0"/>
                      <wp:positionH relativeFrom="column">
                        <wp:posOffset>129540</wp:posOffset>
                      </wp:positionH>
                      <wp:positionV relativeFrom="paragraph">
                        <wp:posOffset>15240</wp:posOffset>
                      </wp:positionV>
                      <wp:extent cx="545465" cy="635"/>
                      <wp:effectExtent l="0" t="24765" r="635" b="25400"/>
                      <wp:wrapNone/>
                      <wp:docPr id="64" name="直接连接符 64"/>
                      <wp:cNvGraphicFramePr/>
                      <a:graphic xmlns:a="http://schemas.openxmlformats.org/drawingml/2006/main">
                        <a:graphicData uri="http://schemas.microsoft.com/office/word/2010/wordprocessingShape">
                          <wps:wsp>
                            <wps:cNvCnPr/>
                            <wps:spPr>
                              <a:xfrm>
                                <a:off x="0" y="0"/>
                                <a:ext cx="545465"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10.2pt;margin-top:1.2pt;height:0.05pt;width:42.95pt;z-index:251687936;mso-width-relative:page;mso-height-relative:page;" filled="f" stroked="t" coordsize="21600,21600" o:gfxdata="UEsDBAoAAAAAAIdO4kAAAAAAAAAAAAAAAAAEAAAAZHJzL1BLAwQUAAAACACHTuJAJiyi9dUAAAAG&#10;AQAADwAAAGRycy9kb3ducmV2LnhtbE2OS2vDMBCE74X8B7GB3hoprmuKazmE0FLSQyGPQ46KtbFN&#10;rJWxlEf767s5NadhmGHmK2ZX14kzDqH1pGE6USCQKm9bqjVsNx9PryBCNGRN5wk1/GCAWTl6KExu&#10;/YVWeF7HWvAIhdxoaGLscylD1aAzYeJ7JM4OfnAmsh1qaQdz4XHXyUSpTDrTEj80psdFg9VxfXIa&#10;lrvl8Vdl76FPk/n2kPjd99dnqvXjeKreQES8xv8y3PAZHUpm2vsT2SA6DYlKucnKcotV9gxiz/4F&#10;ZFnIe/zyD1BLAwQUAAAACACHTuJAqXxONP8BAADpAwAADgAAAGRycy9lMm9Eb2MueG1srVPNjtMw&#10;EL4j8Q6W7zRtaSuImu5hy3JBsBLwAFPHSSz5Tx63aV+CF0DiBieO3Hkblsdg7IQWlsseyMEZez5/&#10;nu/zeH11NJodZEDlbMVnkyln0gpXK9tW/P27myfPOMMItgbtrKz4SSK/2jx+tO59Keeuc7qWgRGJ&#10;xbL3Fe9i9GVRoOikAZw4Ly0lGxcMRJqGtqgD9MRudDGfTldF70LtgxMSkVa3Q5KPjOEhhK5plJBb&#10;J/ZG2jiwBqkhkiTslEe+ydU2jRTxTdOgjExXnJTGPNIhFO/SWGzWULYBfKfEWAI8pIR7mgwoS4ee&#10;qbYQge2D+ofKKBEcuiZOhDPFICQ7Qipm03vevO3Ay6yFrEZ/Nh3/H614fbgNTNUVXy04s2Doxu8+&#10;fvvx4fPP759ovPv6hVGGbOo9loS+trdhnKG/DUnzsQkm/UkNO2ZrT2dr5TEyQYvLxXKxWnImKLV6&#10;ukyExWWnDxhfSmdYCiqulU2yoYTDK4wD9DckLWvL+oo/X84TIVAPNnT3FBpPOtC2eS86reobpXXa&#10;gaHdXevADpD6IH9jCX/B0iFbwG7A5VSCQdlJqF/YmsWTJ4MsPQyeSjCy5kxLekcpysgISl+QMSiw&#10;rR7QaEawbsfDtSUbkrGDlSnaufpEN7L3QbUdeTHL0JShDsimjd2aWuzPeWa6vNDN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YsovXVAAAABgEAAA8AAAAAAAAAAQAgAAAAIgAAAGRycy9kb3ducmV2&#10;LnhtbFBLAQIUABQAAAAIAIdO4kCpfE40/wEAAOkDAAAOAAAAAAAAAAEAIAAAACQBAABkcnMvZTJv&#10;RG9jLnhtbFBLBQYAAAAABgAGAFkBAACVBQAAAAA=&#10;">
                      <v:fill on="f" focussize="0,0"/>
                      <v:stroke color="#000000" joinstyle="round" endarrow="block" endarrowwidth="narrow" endarrowlength="long"/>
                      <v:imagedata o:title=""/>
                      <o:lock v:ext="edit" aspectratio="f"/>
                    </v:line>
                  </w:pict>
                </mc:Fallback>
              </mc:AlternateContent>
            </w:r>
          </w:p>
          <w:p>
            <w:r>
              <w:rPr>
                <w:b/>
                <w:color w:val="auto"/>
                <w:u w:val="single"/>
              </w:rPr>
              <mc:AlternateContent>
                <mc:Choice Requires="wps">
                  <w:drawing>
                    <wp:anchor distT="0" distB="0" distL="114300" distR="114300" simplePos="0" relativeHeight="251712512" behindDoc="0" locked="0" layoutInCell="1" allowOverlap="1">
                      <wp:simplePos x="0" y="0"/>
                      <wp:positionH relativeFrom="column">
                        <wp:posOffset>1295400</wp:posOffset>
                      </wp:positionH>
                      <wp:positionV relativeFrom="paragraph">
                        <wp:posOffset>110490</wp:posOffset>
                      </wp:positionV>
                      <wp:extent cx="1420495" cy="313055"/>
                      <wp:effectExtent l="4445" t="5080" r="10160" b="12065"/>
                      <wp:wrapNone/>
                      <wp:docPr id="82" name="矩形 82"/>
                      <wp:cNvGraphicFramePr/>
                      <a:graphic xmlns:a="http://schemas.openxmlformats.org/drawingml/2006/main">
                        <a:graphicData uri="http://schemas.microsoft.com/office/word/2010/wordprocessingShape">
                          <wps:wsp>
                            <wps:cNvSpPr/>
                            <wps:spPr>
                              <a:xfrm>
                                <a:off x="0" y="0"/>
                                <a:ext cx="1420495" cy="313055"/>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钢管冷却用水</w:t>
                                  </w:r>
                                </w:p>
                              </w:txbxContent>
                            </wps:txbx>
                            <wps:bodyPr upright="1"/>
                          </wps:wsp>
                        </a:graphicData>
                      </a:graphic>
                    </wp:anchor>
                  </w:drawing>
                </mc:Choice>
                <mc:Fallback>
                  <w:pict>
                    <v:rect id="_x0000_s1026" o:spid="_x0000_s1026" o:spt="1" style="position:absolute;left:0pt;margin-left:102pt;margin-top:8.7pt;height:24.65pt;width:111.85pt;z-index:251712512;mso-width-relative:page;mso-height-relative:page;" fillcolor="#FFFFFF" filled="t" stroked="t" coordsize="21600,21600" o:gfxdata="UEsDBAoAAAAAAIdO4kAAAAAAAAAAAAAAAAAEAAAAZHJzL1BLAwQUAAAACACHTuJAebo+A9gAAAAJ&#10;AQAADwAAAGRycy9kb3ducmV2LnhtbE2PwU7DMBBE70j8g7VI3KhdKyQ0xKkEEgcECCg9cNzGSxKI&#10;11HstuHvMSc4jmY086Zaz24QB5pC79nAcqFAEDfe9twa2L7dXVyBCBHZ4uCZDHxTgHV9elJhaf2R&#10;X+mwia1IJRxKNNDFOJZShqYjh2HhR+LkffjJYUxyaqWd8JjK3SC1Url02HNa6HCk246ar83eGfh8&#10;er68udePOljLD7NcZQpf3o05P1uqaxCR5vgXhl/8hA51Ytr5PdsgBgNaZelLTEaRgUiBTBcFiJ2B&#10;PC9A1pX8/6D+AVBLAwQUAAAACACHTuJABa5T2wYCAAApBAAADgAAAGRycy9lMm9Eb2MueG1srVPN&#10;jtMwEL4j8Q6W7zRJd4t2o6Z7oJQLgpUWHsC1ncSS/+Rxm/RpkLjxEDwO4jUYO6H7wx72QA7OjD3+&#10;Zr5vxuub0WhylAGUsw2tFiUl0nInlO0a+vXL7s0VJRCZFUw7Kxt6kkBvNq9frQdfy6XrnRYyEASx&#10;UA++oX2Mvi4K4L00DBbOS4uHrQuGRXRDV4jABkQ3uliW5dticEH44LgEwN3tdEhnxPASQNe2isut&#10;4wcjbZxQg9QsIiXolQe6ydW2reTxc9uCjEQ3FJnGvGIStPdpLTZrVneB+V7xuQT2khKecDJMWUx6&#10;htqyyMghqH+gjOLBgWvjgjtTTESyIsiiKp9oc9czLzMXlBr8WXT4f7D80/E2ECUaerWkxDKDHf/9&#10;7cevn98JbqA6g4cag+78bZg9QDNRHdtg0h9JkDErejorKsdIOG5Wl8vy8npFCcezi+qiXK0SaHF/&#10;2weIH6QzJBkNDdixLCQ7foQ4hf4NScnAaSV2SuvshG7/TgdyZNjdXf5m9Edh2pKhoderZaqD4ci2&#10;OCpoGo+0wXY536Mb8BC4zN9zwKmwLYN+KiAjpDBWGxVlyFYvmXhvBYknj8pafFE0FWOkoERLfIDJ&#10;ypGRKf1MJJg5UHdzCdqigKktUyOSFcf9iCDJ3Dtxwo4efFBdj4JW+VY6wQnKys/Tnkb0oZ9B71/4&#10;5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5uj4D2AAAAAkBAAAPAAAAAAAAAAEAIAAAACIAAABk&#10;cnMvZG93bnJldi54bWxQSwECFAAUAAAACACHTuJABa5T2wYCAAApBAAADgAAAAAAAAABACAAAAAn&#10;AQAAZHJzL2Uyb0RvYy54bWxQSwUGAAAAAAYABgBZAQAAnwU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钢管冷却用水</w:t>
                            </w:r>
                          </w:p>
                        </w:txbxContent>
                      </v:textbox>
                    </v:rect>
                  </w:pict>
                </mc:Fallback>
              </mc:AlternateContent>
            </w:r>
            <w:r>
              <w:rPr>
                <w:b/>
                <w:color w:val="auto"/>
                <w:szCs w:val="24"/>
              </w:rPr>
              <mc:AlternateContent>
                <mc:Choice Requires="wps">
                  <w:drawing>
                    <wp:anchor distT="0" distB="0" distL="114300" distR="114300" simplePos="0" relativeHeight="251714560" behindDoc="0" locked="0" layoutInCell="1" allowOverlap="1">
                      <wp:simplePos x="0" y="0"/>
                      <wp:positionH relativeFrom="column">
                        <wp:posOffset>807720</wp:posOffset>
                      </wp:positionH>
                      <wp:positionV relativeFrom="paragraph">
                        <wp:posOffset>13335</wp:posOffset>
                      </wp:positionV>
                      <wp:extent cx="437515" cy="299085"/>
                      <wp:effectExtent l="0" t="0" r="0" b="0"/>
                      <wp:wrapNone/>
                      <wp:docPr id="79" name="矩形 79"/>
                      <wp:cNvGraphicFramePr/>
                      <a:graphic xmlns:a="http://schemas.openxmlformats.org/drawingml/2006/main">
                        <a:graphicData uri="http://schemas.microsoft.com/office/word/2010/wordprocessingShape">
                          <wps:wsp>
                            <wps:cNvSpPr/>
                            <wps:spPr>
                              <a:xfrm>
                                <a:off x="0" y="0"/>
                                <a:ext cx="437515" cy="299085"/>
                              </a:xfrm>
                              <a:prstGeom prst="rect">
                                <a:avLst/>
                              </a:prstGeom>
                              <a:solidFill>
                                <a:srgbClr val="FFFFFF">
                                  <a:alpha val="0"/>
                                </a:srgbClr>
                              </a:solidFill>
                              <a:ln>
                                <a:noFill/>
                              </a:ln>
                            </wps:spPr>
                            <wps:txbx>
                              <w:txbxContent>
                                <w:p>
                                  <w:pPr>
                                    <w:rPr>
                                      <w:rFonts w:hint="default" w:eastAsiaTheme="minorEastAsia"/>
                                      <w:sz w:val="21"/>
                                      <w:szCs w:val="21"/>
                                      <w:lang w:val="en-US" w:eastAsia="zh-CN"/>
                                    </w:rPr>
                                  </w:pPr>
                                  <w:r>
                                    <w:rPr>
                                      <w:rFonts w:hint="eastAsia" w:eastAsiaTheme="minorEastAsia"/>
                                      <w:sz w:val="21"/>
                                      <w:szCs w:val="21"/>
                                      <w:lang w:val="en-US" w:eastAsia="zh-CN"/>
                                    </w:rPr>
                                    <w:t>300</w:t>
                                  </w:r>
                                </w:p>
                              </w:txbxContent>
                            </wps:txbx>
                            <wps:bodyPr upright="1"/>
                          </wps:wsp>
                        </a:graphicData>
                      </a:graphic>
                    </wp:anchor>
                  </w:drawing>
                </mc:Choice>
                <mc:Fallback>
                  <w:pict>
                    <v:rect id="_x0000_s1026" o:spid="_x0000_s1026" o:spt="1" style="position:absolute;left:0pt;margin-left:63.6pt;margin-top:1.05pt;height:23.55pt;width:34.45pt;z-index:251714560;mso-width-relative:page;mso-height-relative:page;" fillcolor="#FFFFFF" filled="t" stroked="f" coordsize="21600,21600" o:gfxdata="UEsDBAoAAAAAAIdO4kAAAAAAAAAAAAAAAAAEAAAAZHJzL1BLAwQUAAAACACHTuJADuLQMNcAAAAI&#10;AQAADwAAAGRycy9kb3ducmV2LnhtbE2PMU/DMBCFdyT+g3VIbNSJQYWEOB1oMzAwkIK6uvE1iYjP&#10;Uey24d9zneh2T+/p3feK1ewGccIp9J40pIsEBFLjbU+thq9t9fACIkRD1gyeUMMvBliVtzeFya0/&#10;0yee6tgKLqGQGw1djGMuZWg6dCYs/IjE3sFPzkSWUyvtZM5c7gapkmQpnemJP3RmxLcOm5/66DTU&#10;1bf9yHbxcefnqt28r9eHzbjV+v4uTV5BRJzjfxgu+IwOJTPt/ZFsEANr9aw4qkGlIC5+tuRjr+Ep&#10;UyDLQl4PKP8AUEsDBBQAAAAIAIdO4kBcQAK3xAEAAIgDAAAOAAAAZHJzL2Uyb0RvYy54bWytU82O&#10;0zAQviPxDpbvNGmh7DZqugeqckGw0i4P4DpOYsl/mnHb9GmQuPEQPA7iNRg7oQu7lz1sDs7MePzN&#10;fN/Y65vBGnZUgNq7ms9nJWfKSd9o19X86/3uzTVnGIVrhPFO1fyskN9sXr9an0KlFr73plHACMRh&#10;dQo172MMVVGg7JUVOPNBOdpsPVgRyYWuaECcCN2aYlGW74uThyaAlwqRottxk0+I8BxA37Zaqq2X&#10;B6tcHFFBGRGJEvY6IN/kbttWyfilbVFFZmpOTGNeqQjZ+7QWm7WoOhCh13JqQTynhUecrNCOil6g&#10;tiIKdgD9BMpqCR59G2fS22IkkhUhFvPykTZ3vQgqcyGpMVxEx5eDlZ+Pt8B0U/OrFWdOWJr4728/&#10;fv38zihA6pwCVpR0F25h8pDMRHVowaY/kWBDVvR8UVQNkUkKvnt7tZwvOZO0tVityutlwiweDgfA&#10;+FF5y5JRc6CBZR3F8RPGMfVvSqqF3uhmp43JDnT7DwbYUdBwd/kbz5rQizGaB0zlcEzNpf/DMC4h&#10;OZ8wx3IpUiTWI89kxWE/TOT3vjmTYIcAuuup4Xnmk5JoQBl+ukzpBvzrZ9CHB7T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7i0DDXAAAACAEAAA8AAAAAAAAAAQAgAAAAIgAAAGRycy9kb3ducmV2&#10;LnhtbFBLAQIUABQAAAAIAIdO4kBcQAK3xAEAAIgDAAAOAAAAAAAAAAEAIAAAACYBAABkcnMvZTJv&#10;RG9jLnhtbFBLBQYAAAAABgAGAFkBAABcBQAAAAA=&#10;">
                      <v:fill on="t" opacity="0f" focussize="0,0"/>
                      <v:stroke on="f"/>
                      <v:imagedata o:title=""/>
                      <o:lock v:ext="edit" aspectratio="f"/>
                      <v:textbox>
                        <w:txbxContent>
                          <w:p>
                            <w:pPr>
                              <w:rPr>
                                <w:rFonts w:hint="default" w:eastAsiaTheme="minorEastAsia"/>
                                <w:sz w:val="21"/>
                                <w:szCs w:val="21"/>
                                <w:lang w:val="en-US" w:eastAsia="zh-CN"/>
                              </w:rPr>
                            </w:pPr>
                            <w:r>
                              <w:rPr>
                                <w:rFonts w:hint="eastAsia" w:eastAsiaTheme="minorEastAsia"/>
                                <w:sz w:val="21"/>
                                <w:szCs w:val="21"/>
                                <w:lang w:val="en-US" w:eastAsia="zh-CN"/>
                              </w:rPr>
                              <w:t>300</w:t>
                            </w:r>
                          </w:p>
                        </w:txbxContent>
                      </v:textbox>
                    </v:rect>
                  </w:pict>
                </mc:Fallback>
              </mc:AlternateContent>
            </w:r>
          </w:p>
          <w:p>
            <w:r>
              <w:rPr>
                <w:b/>
                <w:color w:val="auto"/>
                <w:szCs w:val="24"/>
              </w:rPr>
              <mc:AlternateContent>
                <mc:Choice Requires="wps">
                  <w:drawing>
                    <wp:anchor distT="0" distB="0" distL="114300" distR="114300" simplePos="0" relativeHeight="251713536" behindDoc="0" locked="0" layoutInCell="1" allowOverlap="1">
                      <wp:simplePos x="0" y="0"/>
                      <wp:positionH relativeFrom="column">
                        <wp:posOffset>680720</wp:posOffset>
                      </wp:positionH>
                      <wp:positionV relativeFrom="paragraph">
                        <wp:posOffset>76200</wp:posOffset>
                      </wp:positionV>
                      <wp:extent cx="624205" cy="635"/>
                      <wp:effectExtent l="0" t="24765" r="10795" b="25400"/>
                      <wp:wrapNone/>
                      <wp:docPr id="81" name="直接连接符 81"/>
                      <wp:cNvGraphicFramePr/>
                      <a:graphic xmlns:a="http://schemas.openxmlformats.org/drawingml/2006/main">
                        <a:graphicData uri="http://schemas.microsoft.com/office/word/2010/wordprocessingShape">
                          <wps:wsp>
                            <wps:cNvCnPr/>
                            <wps:spPr>
                              <a:xfrm>
                                <a:off x="0" y="0"/>
                                <a:ext cx="624205"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53.6pt;margin-top:6pt;height:0.05pt;width:49.15pt;z-index:251713536;mso-width-relative:page;mso-height-relative:page;" filled="f" stroked="t" coordsize="21600,21600" o:gfxdata="UEsDBAoAAAAAAIdO4kAAAAAAAAAAAAAAAAAEAAAAZHJzL1BLAwQUAAAACACHTuJAWOQ1LNkAAAAJ&#10;AQAADwAAAGRycy9kb3ducmV2LnhtbE2PzU7DMBCE75V4B2uReqN2rLagEKdCiAqVAxKlhx7deJtE&#10;jddR7P7A07M90dvO7mj2m2Jx8Z044RDbQAayiQKBVAXXUm1g8718eAIRkyVnu0Bo4AcjLMq7UWFz&#10;F870had1qgWHUMytgSalPpcyVg16GyehR+LbPgzeJpZDLd1gzxzuO6mVmktvW+IPje3xtcHqsD56&#10;A6vt6vCr5m+xn+qXzV6H7efH+9SY8X2mnkEkvKR/M1zxGR1KZtqFI7koOtbqUbOVB82d2KDVbAZi&#10;d11kIMtC3jYo/wBQSwMEFAAAAAgAh07iQOwzfy3/AQAA6QMAAA4AAABkcnMvZTJvRG9jLnhtbK1T&#10;zY7TMBC+I/EOlu80baHVEjXdw5blgqAS8ABTx0ks+U8et2lfghdA4gYnjtx5G5bHYOyEFpbLHsjB&#10;GXs+f57v83h1fTSaHWRA5WzFZ5MpZ9IKVyvbVvz9u9snV5xhBFuDdlZW/CSRX68fP1r1vpRz1zld&#10;y8CIxGLZ+4p3MfqyKFB00gBOnJeWko0LBiJNQ1vUAXpiN7qYT6fLoneh9sEJiUirmyHJR8bwEELX&#10;NErIjRN7I20cWIPUEEkSdsojX+dqm0aK+KZpUEamK05KYx7pEIp3aSzWKyjbAL5TYiwBHlLCPU0G&#10;lKVDz1QbiMD2Qf1DZZQIDl0TJ8KZYhCSHSEVs+k9b9524GXWQlajP5uO/49WvD5sA1N1xa9mnFkw&#10;dON3H7/9+PD55/dPNN59/cIoQzb1HktC39htGGfotyFpPjbBpD+pYcds7elsrTxGJmhxOX82ny44&#10;E5RaPl0kwuKy0weML6UzLAUV18om2VDC4RXGAfobkpa1ZX3Fny/miRCoBxu6ewqNJx1o27wXnVb1&#10;rdI67cDQ7m50YAdIfZC/sYS/YOmQDWA34HIqwaDsJNQvbM3iyZNBlh4GTyUYWXOmJb2jFGVkBKUv&#10;yBgU2FYPaDQjWLfj4dqSDcnYwcoU7Vx9ohvZ+6DajrzI3mcMdUA2bezW1GJ/zjPT5YWu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5DUs2QAAAAkBAAAPAAAAAAAAAAEAIAAAACIAAABkcnMvZG93&#10;bnJldi54bWxQSwECFAAUAAAACACHTuJA7DN/Lf8BAADpAwAADgAAAAAAAAABACAAAAAoAQAAZHJz&#10;L2Uyb0RvYy54bWxQSwUGAAAAAAYABgBZAQAAmQUAAAAA&#10;">
                      <v:fill on="f" focussize="0,0"/>
                      <v:stroke color="#000000" joinstyle="round" endarrow="block" endarrowwidth="narrow" endarrowlength="long"/>
                      <v:imagedata o:title=""/>
                      <o:lock v:ext="edit" aspectratio="f"/>
                    </v:line>
                  </w:pict>
                </mc:Fallback>
              </mc:AlternateContent>
            </w:r>
          </w:p>
          <w:p>
            <w:r>
              <w:rPr>
                <w:b/>
                <w:color w:val="auto"/>
                <w:u w:val="single"/>
              </w:rPr>
              <mc:AlternateContent>
                <mc:Choice Requires="wps">
                  <w:drawing>
                    <wp:anchor distT="0" distB="0" distL="114300" distR="114300" simplePos="0" relativeHeight="251710464" behindDoc="0" locked="0" layoutInCell="1" allowOverlap="1">
                      <wp:simplePos x="0" y="0"/>
                      <wp:positionH relativeFrom="column">
                        <wp:posOffset>2009775</wp:posOffset>
                      </wp:positionH>
                      <wp:positionV relativeFrom="paragraph">
                        <wp:posOffset>107315</wp:posOffset>
                      </wp:positionV>
                      <wp:extent cx="833120" cy="299085"/>
                      <wp:effectExtent l="0" t="0" r="0" b="0"/>
                      <wp:wrapNone/>
                      <wp:docPr id="68" name="矩形 68"/>
                      <wp:cNvGraphicFramePr/>
                      <a:graphic xmlns:a="http://schemas.openxmlformats.org/drawingml/2006/main">
                        <a:graphicData uri="http://schemas.microsoft.com/office/word/2010/wordprocessingShape">
                          <wps:wsp>
                            <wps:cNvSpPr/>
                            <wps:spPr>
                              <a:xfrm>
                                <a:off x="0" y="0"/>
                                <a:ext cx="833120" cy="299085"/>
                              </a:xfrm>
                              <a:prstGeom prst="rect">
                                <a:avLst/>
                              </a:prstGeom>
                              <a:solidFill>
                                <a:srgbClr val="FFFFFF">
                                  <a:alpha val="0"/>
                                </a:srgbClr>
                              </a:solidFill>
                              <a:ln>
                                <a:noFill/>
                              </a:ln>
                            </wps:spPr>
                            <wps:txbx>
                              <w:txbxContent>
                                <w:p>
                                  <w:pPr>
                                    <w:rPr>
                                      <w:rFonts w:hint="default" w:eastAsia="宋体"/>
                                      <w:sz w:val="21"/>
                                      <w:szCs w:val="21"/>
                                      <w:lang w:val="en-US" w:eastAsia="zh-CN"/>
                                    </w:rPr>
                                  </w:pPr>
                                  <w:r>
                                    <w:rPr>
                                      <w:rFonts w:hAnsi="宋体"/>
                                      <w:sz w:val="21"/>
                                      <w:szCs w:val="21"/>
                                    </w:rPr>
                                    <w:t>损耗</w:t>
                                  </w:r>
                                  <w:r>
                                    <w:rPr>
                                      <w:rFonts w:hint="eastAsia"/>
                                      <w:sz w:val="21"/>
                                      <w:szCs w:val="21"/>
                                      <w:lang w:val="en-US" w:eastAsia="zh-CN"/>
                                    </w:rPr>
                                    <w:t>500</w:t>
                                  </w:r>
                                </w:p>
                              </w:txbxContent>
                            </wps:txbx>
                            <wps:bodyPr upright="1"/>
                          </wps:wsp>
                        </a:graphicData>
                      </a:graphic>
                    </wp:anchor>
                  </w:drawing>
                </mc:Choice>
                <mc:Fallback>
                  <w:pict>
                    <v:rect id="_x0000_s1026" o:spid="_x0000_s1026" o:spt="1" style="position:absolute;left:0pt;margin-left:158.25pt;margin-top:8.45pt;height:23.55pt;width:65.6pt;z-index:251710464;mso-width-relative:page;mso-height-relative:page;" fillcolor="#FFFFFF" filled="t" stroked="f" coordsize="21600,21600" o:gfxdata="UEsDBAoAAAAAAIdO4kAAAAAAAAAAAAAAAAAEAAAAZHJzL1BLAwQUAAAACACHTuJA173L69kAAAAJ&#10;AQAADwAAAGRycy9kb3ducmV2LnhtbE2PMU/DMBCFdyT+g3VIbNQJDSlN43SgzcDAQArq6sbXJGp8&#10;jmK3Df+eY6Lj6X1677t8PdleXHD0nSMF8SwCgVQ701Gj4GtXPr2C8EGT0b0jVPCDHtbF/V2uM+Ou&#10;9ImXKjSCS8hnWkEbwpBJ6esWrfYzNyBxdnSj1YHPsZFm1Fcut718jqJUWt0RL7R6wLcW61N1tgqq&#10;8tt8LPdhvndT2WzfN5vjdtgp9fgQRysQAafwD8OfPqtDwU4HdybjRa9gHqcvjHKQLkEwkCSLBYiD&#10;gjSJQBa5vP2g+AVQSwMEFAAAAAgAh07iQKcgJHPDAQAAiAMAAA4AAABkcnMvZTJvRG9jLnhtbK1T&#10;S27bMBDdF+gdCO5ryQ4aOILlLGq4m6INkPYANEVJBPjDDG3JpynQXQ/R4xS9RoeU4rTJJotoQc0M&#10;h2/mvSE3t6M17KQAtXc1Xy5KzpSTvtGuq/m3r/t3a84wCtcI452q+Vkhv92+fbMZQqVWvvemUcAI&#10;xGE1hJr3MYaqKFD2ygpc+KAcbbYerIjkQlc0IAZCt6ZYleV1MXhoAnipECm6mzb5jAgvAfRtq6Xa&#10;eXm0ysUJFZQRkShhrwPybe62bZWMX9oWVWSm5sQ05pWKkH1Ia7HdiKoDEXot5xbES1p4wskK7ajo&#10;BWonomBH0M+grJbg0bdxIb0tJiJZEWKxLJ9oc9+LoDIXkhrDRXR8PVj5+XQHTDc1v6a5O2Fp4n++&#10;//z96wejAKkzBKwo6T7cwewhmYnq2IJNfyLBxqzo+aKoGiOTFFxfXS1XpLWkrdXNTbl+nzCLx8MB&#10;MH5U3rJk1BxoYFlHcfqEcUp9SEm10Bvd7LUx2YHu8MEAOwka7j5/01kTejFF84CpHE6pufR/GMYl&#10;JOcT5lQuRYrEeuKZrDgexpn8wTdnEuwYQHc9NbzMfFISDSjDz5cp3YB//Qz6+IC2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vcvr2QAAAAkBAAAPAAAAAAAAAAEAIAAAACIAAABkcnMvZG93bnJl&#10;di54bWxQSwECFAAUAAAACACHTuJApyAkc8MBAACIAwAADgAAAAAAAAABACAAAAAoAQAAZHJzL2Uy&#10;b0RvYy54bWxQSwUGAAAAAAYABgBZAQAAXQUAAAAA&#10;">
                      <v:fill on="t" opacity="0f" focussize="0,0"/>
                      <v:stroke on="f"/>
                      <v:imagedata o:title=""/>
                      <o:lock v:ext="edit" aspectratio="f"/>
                      <v:textbox>
                        <w:txbxContent>
                          <w:p>
                            <w:pPr>
                              <w:rPr>
                                <w:rFonts w:hint="default" w:eastAsia="宋体"/>
                                <w:sz w:val="21"/>
                                <w:szCs w:val="21"/>
                                <w:lang w:val="en-US" w:eastAsia="zh-CN"/>
                              </w:rPr>
                            </w:pPr>
                            <w:r>
                              <w:rPr>
                                <w:rFonts w:hAnsi="宋体"/>
                                <w:sz w:val="21"/>
                                <w:szCs w:val="21"/>
                              </w:rPr>
                              <w:t>损耗</w:t>
                            </w:r>
                            <w:r>
                              <w:rPr>
                                <w:rFonts w:hint="eastAsia"/>
                                <w:sz w:val="21"/>
                                <w:szCs w:val="21"/>
                                <w:lang w:val="en-US" w:eastAsia="zh-CN"/>
                              </w:rPr>
                              <w:t>500</w:t>
                            </w:r>
                          </w:p>
                        </w:txbxContent>
                      </v:textbox>
                    </v:rect>
                  </w:pict>
                </mc:Fallback>
              </mc:AlternateContent>
            </w:r>
          </w:p>
          <w:p>
            <w:pPr>
              <w:pStyle w:val="14"/>
            </w:pPr>
            <w:r>
              <w:rPr>
                <w:b/>
                <w:color w:val="auto"/>
                <w:szCs w:val="24"/>
              </w:rPr>
              <mc:AlternateContent>
                <mc:Choice Requires="wps">
                  <w:drawing>
                    <wp:anchor distT="0" distB="0" distL="114300" distR="114300" simplePos="0" relativeHeight="251709440" behindDoc="0" locked="0" layoutInCell="1" allowOverlap="1">
                      <wp:simplePos x="0" y="0"/>
                      <wp:positionH relativeFrom="column">
                        <wp:posOffset>796290</wp:posOffset>
                      </wp:positionH>
                      <wp:positionV relativeFrom="paragraph">
                        <wp:posOffset>198755</wp:posOffset>
                      </wp:positionV>
                      <wp:extent cx="437515" cy="299085"/>
                      <wp:effectExtent l="0" t="0" r="0" b="0"/>
                      <wp:wrapNone/>
                      <wp:docPr id="71" name="矩形 71"/>
                      <wp:cNvGraphicFramePr/>
                      <a:graphic xmlns:a="http://schemas.openxmlformats.org/drawingml/2006/main">
                        <a:graphicData uri="http://schemas.microsoft.com/office/word/2010/wordprocessingShape">
                          <wps:wsp>
                            <wps:cNvSpPr/>
                            <wps:spPr>
                              <a:xfrm>
                                <a:off x="0" y="0"/>
                                <a:ext cx="437515" cy="299085"/>
                              </a:xfrm>
                              <a:prstGeom prst="rect">
                                <a:avLst/>
                              </a:prstGeom>
                              <a:solidFill>
                                <a:srgbClr val="FFFFFF">
                                  <a:alpha val="0"/>
                                </a:srgbClr>
                              </a:solidFill>
                              <a:ln>
                                <a:noFill/>
                              </a:ln>
                            </wps:spPr>
                            <wps:txbx>
                              <w:txbxContent>
                                <w:p>
                                  <w:pPr>
                                    <w:rPr>
                                      <w:rFonts w:hint="default" w:eastAsiaTheme="minorEastAsia"/>
                                      <w:sz w:val="21"/>
                                      <w:szCs w:val="21"/>
                                      <w:lang w:val="en-US" w:eastAsia="zh-CN"/>
                                    </w:rPr>
                                  </w:pPr>
                                  <w:r>
                                    <w:rPr>
                                      <w:rFonts w:hint="eastAsia" w:eastAsiaTheme="minorEastAsia"/>
                                      <w:sz w:val="21"/>
                                      <w:szCs w:val="21"/>
                                      <w:lang w:val="en-US" w:eastAsia="zh-CN"/>
                                    </w:rPr>
                                    <w:t>500</w:t>
                                  </w:r>
                                </w:p>
                              </w:txbxContent>
                            </wps:txbx>
                            <wps:bodyPr upright="1"/>
                          </wps:wsp>
                        </a:graphicData>
                      </a:graphic>
                    </wp:anchor>
                  </w:drawing>
                </mc:Choice>
                <mc:Fallback>
                  <w:pict>
                    <v:rect id="_x0000_s1026" o:spid="_x0000_s1026" o:spt="1" style="position:absolute;left:0pt;margin-left:62.7pt;margin-top:15.65pt;height:23.55pt;width:34.45pt;z-index:251709440;mso-width-relative:page;mso-height-relative:page;" fillcolor="#FFFFFF" filled="t" stroked="f" coordsize="21600,21600" o:gfxdata="UEsDBAoAAAAAAIdO4kAAAAAAAAAAAAAAAAAEAAAAZHJzL1BLAwQUAAAACACHTuJAygWvSNgAAAAJ&#10;AQAADwAAAGRycy9kb3ducmV2LnhtbE2PsU7DMBCGdyTewTokNuqkCdCmcTrQZmBgIKXq6sbXJCI+&#10;R7HbhrfnOsF2v+7Tf9/l68n24oKj7xwpiGcRCKTamY4aBV+78mkBwgdNRveOUMEPelgX93e5zoy7&#10;0ideqtAILiGfaQVtCEMmpa9btNrP3IDEu5MbrQ4cx0aaUV+53PZyHkUv0uqO+EKrB3xrsf6uzlZB&#10;Ve7Nx/IQkoObymb7vtmctsNOqceHOFqBCDiFPxhu+qwOBTsd3ZmMFz3n+XPKqIIkTkDcgGXKw1HB&#10;6yIFWeTy/wfFL1BLAwQUAAAACACHTuJADnrzKsMBAACIAwAADgAAAGRycy9lMm9Eb2MueG1srVPN&#10;jtMwEL4j8Q6W7zRpoexu1HQPVOWCYKVdHsB1nMSS/zTjNunTIHHjIXgcxGswdkIXlsseyMGZGY+/&#10;me8be3M7WsNOClB7V/PlouRMOekb7bqaf37Yv7rmDKNwjTDeqZqfFfLb7csXmyFUauV7bxoFjEAc&#10;VkOoeR9jqIoCZa+swIUPytFm68GKSC50RQNiIHRrilVZvi0GD00ALxUiRXfTJp8R4TmAvm21VDsv&#10;j1a5OKGCMiISJex1QL7N3batkvFT26KKzNScmMa8UhGyD2ktthtRdSBCr+XcgnhOC084WaEdFb1A&#10;7UQU7Aj6HyirJXj0bVxIb4uJSFaEWCzLJ9rc9yKozIWkxnARHf8frPx4ugOmm5pfLTlzwtLEf375&#10;9uP7V0YBUmcIWFHSfbiD2UMyE9WxBZv+RIKNWdHzRVE1RiYp+Ob11Xq55kzS1urmprxeJ8zi8XAA&#10;jO+VtywZNQcaWNZRnD5gnFJ/p6Ra6I1u9tqY7EB3eGeAnQQNd5+/6awJvZiiecBUDqfUXPovDOMS&#10;kvMJcyqXIkViPfFMVhwP40z+4JszCXYMoLueGs4a5XQaUIafL1O6AX/6GfTxAW1/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oFr0jYAAAACQEAAA8AAAAAAAAAAQAgAAAAIgAAAGRycy9kb3ducmV2&#10;LnhtbFBLAQIUABQAAAAIAIdO4kAOevMqwwEAAIgDAAAOAAAAAAAAAAEAIAAAACcBAABkcnMvZTJv&#10;RG9jLnhtbFBLBQYAAAAABgAGAFkBAABcBQAAAAA=&#10;">
                      <v:fill on="t" opacity="0f" focussize="0,0"/>
                      <v:stroke on="f"/>
                      <v:imagedata o:title=""/>
                      <o:lock v:ext="edit" aspectratio="f"/>
                      <v:textbox>
                        <w:txbxContent>
                          <w:p>
                            <w:pPr>
                              <w:rPr>
                                <w:rFonts w:hint="default" w:eastAsiaTheme="minorEastAsia"/>
                                <w:sz w:val="21"/>
                                <w:szCs w:val="21"/>
                                <w:lang w:val="en-US" w:eastAsia="zh-CN"/>
                              </w:rPr>
                            </w:pPr>
                            <w:r>
                              <w:rPr>
                                <w:rFonts w:hint="eastAsia" w:eastAsiaTheme="minorEastAsia"/>
                                <w:sz w:val="21"/>
                                <w:szCs w:val="21"/>
                                <w:lang w:val="en-US" w:eastAsia="zh-CN"/>
                              </w:rPr>
                              <w:t>500</w:t>
                            </w:r>
                          </w:p>
                        </w:txbxContent>
                      </v:textbox>
                    </v:rect>
                  </w:pict>
                </mc:Fallback>
              </mc:AlternateContent>
            </w:r>
            <w:r>
              <w:rPr>
                <w:color w:val="auto"/>
                <w:szCs w:val="24"/>
              </w:rPr>
              <mc:AlternateContent>
                <mc:Choice Requires="wps">
                  <w:drawing>
                    <wp:anchor distT="0" distB="0" distL="114300" distR="114300" simplePos="0" relativeHeight="251711488" behindDoc="0" locked="0" layoutInCell="1" allowOverlap="1">
                      <wp:simplePos x="0" y="0"/>
                      <wp:positionH relativeFrom="column">
                        <wp:posOffset>1798955</wp:posOffset>
                      </wp:positionH>
                      <wp:positionV relativeFrom="paragraph">
                        <wp:posOffset>51435</wp:posOffset>
                      </wp:positionV>
                      <wp:extent cx="267970" cy="238760"/>
                      <wp:effectExtent l="3810" t="0" r="7620" b="2540"/>
                      <wp:wrapNone/>
                      <wp:docPr id="69" name="任意多边形 69"/>
                      <wp:cNvGraphicFramePr/>
                      <a:graphic xmlns:a="http://schemas.openxmlformats.org/drawingml/2006/main">
                        <a:graphicData uri="http://schemas.microsoft.com/office/word/2010/wordprocessingShape">
                          <wps:wsp>
                            <wps:cNvSpPr/>
                            <wps:spPr>
                              <a:xfrm>
                                <a:off x="0" y="0"/>
                                <a:ext cx="267970" cy="238760"/>
                              </a:xfrm>
                              <a:custGeom>
                                <a:avLst/>
                                <a:gdLst/>
                                <a:ahLst/>
                                <a:cxnLst/>
                                <a:pathLst>
                                  <a:path w="753" h="680">
                                    <a:moveTo>
                                      <a:pt x="0" y="680"/>
                                    </a:moveTo>
                                    <a:lnTo>
                                      <a:pt x="422" y="104"/>
                                    </a:lnTo>
                                    <a:lnTo>
                                      <a:pt x="422" y="449"/>
                                    </a:lnTo>
                                    <a:lnTo>
                                      <a:pt x="753" y="0"/>
                                    </a:lnTo>
                                  </a:path>
                                </a:pathLst>
                              </a:custGeom>
                              <a:noFill/>
                              <a:ln w="9525" cap="flat" cmpd="sng">
                                <a:solidFill>
                                  <a:srgbClr val="000000"/>
                                </a:solidFill>
                                <a:prstDash val="dash"/>
                                <a:headEnd type="none" w="med" len="med"/>
                                <a:tailEnd type="triangle" w="sm" len="lg"/>
                              </a:ln>
                            </wps:spPr>
                            <wps:bodyPr upright="1"/>
                          </wps:wsp>
                        </a:graphicData>
                      </a:graphic>
                    </wp:anchor>
                  </w:drawing>
                </mc:Choice>
                <mc:Fallback>
                  <w:pict>
                    <v:shape id="_x0000_s1026" o:spid="_x0000_s1026" o:spt="100" style="position:absolute;left:0pt;margin-left:141.65pt;margin-top:4.05pt;height:18.8pt;width:21.1pt;z-index:251711488;mso-width-relative:page;mso-height-relative:page;" filled="f" stroked="t" coordsize="753,680" o:gfxdata="UEsDBAoAAAAAAIdO4kAAAAAAAAAAAAAAAAAEAAAAZHJzL1BLAwQUAAAACACHTuJAblkQtdgAAAAI&#10;AQAADwAAAGRycy9kb3ducmV2LnhtbE2PT0+DQBTE7yZ+h80z8WLa5U+xBHn0YNLUmxG15wVegci+&#10;JewW2m/verLHyUxmfpPvLnoQM022N4wQrgMQxLVpem4Rvj73qxSEdYobNRgmhCtZ2BX3d7nKGrPw&#10;B82la4UvYZsphM65MZPS1h1pZddmJPbeyUxaOS+nVjaTWny5HmQUBM9Sq579QqdGeu2o/inPGuHp&#10;Wh7j7eGwbGb5Ru3pfU/fVYj4+BAGLyAcXdx/GP7wPToUnqkyZ26sGBCiNI59FCENQXg/jpIERIWw&#10;SbYgi1zeHih+AVBLAwQUAAAACACHTuJAS0+tcF0CAADhBAAADgAAAGRycy9lMm9Eb2MueG1srVTL&#10;jtMwFN0j8Q+W9zRpptOXms6CMmwQjDTDB7i2k1jyS7b72rNnzxLxE2g0fA2D+AyunaQtw2YWZJFc&#10;+54c33N87cXVXkm05c4Lo0s8HOQYcU0NE7ou8ce761dTjHwgmhFpNC/xgXt8tXz5YrGzc16YxkjG&#10;HQIS7ec7W+ImBDvPMk8brogfGMs1JCvjFAkwdHXGHNkBu5JZkefjbGccs85Q7j3Mrtok7hjdcwhN&#10;VQnKV4ZuFNehZXVckgCSfCOsx8tUbVVxGj5UlecByRKD0pDesAjE6/jOlgsyrx2xjaBdCeQ5JTzR&#10;pIjQsOiRakUCQRsn/qFSgjrjTRUG1KisFZIcARXD/Ik3tw2xPGkBq709mu7/Hy19v71xSLASj2cY&#10;aaJgx3/e3//69Pnx25ffP74/PnxFkAGbdtbPAX1rb1w38hBGzfvKqfgFNWifrD0creX7gChMFuPJ&#10;bAKmU0gVF9PJOFmfnX6mGx/ecpOIyPadD+3OsD4iTR/Rve5DS0KcjovHEO1KPLm8wKgBOdM8bYgy&#10;W35nEiKcqotZWADWP+WlPseNigIjKHaYjzpkn++/NvH1uNEouQSMfb7/trhUV+/LEQVBLDxVchQD&#10;k+duaHMtpEx2SB0lzi6LS3CSwOGroOkhVBY20Os6KfZGChZ/iaK9q9evpUNbEg9Aejo5f8Gs82FF&#10;fNPiGEQRReYNJ+yNZigcLDSGhgsBxwoUZxhJDvdHjBIyECFPyOAE0bVs0V51YFkfrQTFsaHaForR&#10;2rADdOLGOlE3cEyHCRoz0PnJn+6UxqN1Pk5Mp5tp+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u&#10;WRC12AAAAAgBAAAPAAAAAAAAAAEAIAAAACIAAABkcnMvZG93bnJldi54bWxQSwECFAAUAAAACACH&#10;TuJAS0+tcF0CAADhBAAADgAAAAAAAAABACAAAAAnAQAAZHJzL2Uyb0RvYy54bWxQSwUGAAAAAAYA&#10;BgBZAQAA9gUAAAAA&#10;" path="m0,680l422,104,422,449,753,0e">
                      <v:fill on="f" focussize="0,0"/>
                      <v:stroke color="#000000" joinstyle="round" dashstyle="dash" endarrow="block" endarrowwidth="narrow" endarrowlength="long"/>
                      <v:imagedata o:title=""/>
                      <o:lock v:ext="edit" aspectratio="f"/>
                    </v:shape>
                  </w:pict>
                </mc:Fallback>
              </mc:AlternateContent>
            </w:r>
          </w:p>
          <w:p>
            <w:pPr>
              <w:pStyle w:val="14"/>
            </w:pPr>
            <w:r>
              <w:rPr>
                <w:b/>
                <w:color w:val="auto"/>
                <w:szCs w:val="24"/>
              </w:rPr>
              <mc:AlternateContent>
                <mc:Choice Requires="wps">
                  <w:drawing>
                    <wp:anchor distT="0" distB="0" distL="114300" distR="114300" simplePos="0" relativeHeight="251708416" behindDoc="0" locked="0" layoutInCell="1" allowOverlap="1">
                      <wp:simplePos x="0" y="0"/>
                      <wp:positionH relativeFrom="column">
                        <wp:posOffset>669290</wp:posOffset>
                      </wp:positionH>
                      <wp:positionV relativeFrom="paragraph">
                        <wp:posOffset>178435</wp:posOffset>
                      </wp:positionV>
                      <wp:extent cx="624205" cy="635"/>
                      <wp:effectExtent l="0" t="24765" r="10795" b="25400"/>
                      <wp:wrapNone/>
                      <wp:docPr id="73" name="直接连接符 73"/>
                      <wp:cNvGraphicFramePr/>
                      <a:graphic xmlns:a="http://schemas.openxmlformats.org/drawingml/2006/main">
                        <a:graphicData uri="http://schemas.microsoft.com/office/word/2010/wordprocessingShape">
                          <wps:wsp>
                            <wps:cNvCnPr/>
                            <wps:spPr>
                              <a:xfrm>
                                <a:off x="0" y="0"/>
                                <a:ext cx="624205"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_x0000_s1026" o:spid="_x0000_s1026" o:spt="20" style="position:absolute;left:0pt;margin-left:52.7pt;margin-top:14.05pt;height:0.05pt;width:49.15pt;z-index:251708416;mso-width-relative:page;mso-height-relative:page;" filled="f" stroked="t" coordsize="21600,21600" o:gfxdata="UEsDBAoAAAAAAIdO4kAAAAAAAAAAAAAAAAAEAAAAZHJzL1BLAwQUAAAACACHTuJAhu7OxdkAAAAJ&#10;AQAADwAAAGRycy9kb3ducmV2LnhtbE2PTU/DMAyG70j8h8hI3FjSUMZUmk4IgdA4TGLssGPWeG21&#10;xqma7AN+Pd4Jjq/96PXjcn72vTjiGLtABrKJAoFUB9dRY2D99XY3AxGTJWf7QGjgGyPMq+ur0hYu&#10;nOgTj6vUCC6hWFgDbUpDIWWsW/Q2TsKAxLtdGL1NHMdGutGeuNz3Uis1ld52xBdaO+BLi/V+dfAG&#10;FpvF/kdNX+OQ6+f1TofN8uM9N+b2JlNPIBKe0x8MF31Wh4qdtuFALoqes3rIGTWgZxkIBrS6fwSx&#10;vQw0yKqU/z+ofgFQSwMEFAAAAAgAh07iQO9Mw0oAAgAA6QMAAA4AAABkcnMvZTJvRG9jLnhtbK1T&#10;zY7TMBC+I/EOlu80bZcWiJruYctyQbAS8ABTx0ks+U8et2lfghdA4gYnjtz3bVgeg7ETWlgueyAH&#10;Z+z5/Hm+z+PV5cFotpcBlbMVn02mnEkrXK1sW/EP76+fPOcMI9gatLOy4keJ/HL9+NGq96Wcu87p&#10;WgZGJBbL3le8i9GXRYGikwZw4ry0lGxcMBBpGtqiDtATu9HFfDpdFr0LtQ9OSERa3QxJPjKGhxC6&#10;plFCbpzYGWnjwBqkhkiSsFMe+TpX2zRSxLdNgzIyXXFSGvNIh1C8TWOxXkHZBvCdEmMJ8JAS7mky&#10;oCwdeqLaQAS2C+ofKqNEcOiaOBHOFIOQ7AipmE3vefOuAy+zFrIa/cl0/H+04s3+JjBVV/zZBWcW&#10;DN343afvPz5++Xn7mca7b18ZZcim3mNJ6Ct7E8YZ+puQNB+aYNKf1LBDtvZ4slYeIhO0uJw/nU8X&#10;nAlKLS8WibA47/QB4yvpDEtBxbWySTaUsH+NcYD+hqRlbVlf8ReLeSIE6sGG7p5C40kH2jbvRadV&#10;fa20TjswtNsrHdgeUh/kbyzhL1g6ZAPYDbicSjAoOwn1S1uzePRkkKWHwVMJRtacaUnvKEUZGUHp&#10;MzIGBbbVAxrNCNbteLi2ZEMydrAyRVtXH+lGdj6otiMvZhmaMtQB2bSxW1OL/TnPTOcXuv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u7OxdkAAAAJAQAADwAAAAAAAAABACAAAAAiAAAAZHJzL2Rv&#10;d25yZXYueG1sUEsBAhQAFAAAAAgAh07iQO9Mw0oAAgAA6QMAAA4AAAAAAAAAAQAgAAAAKAEAAGRy&#10;cy9lMm9Eb2MueG1sUEsFBgAAAAAGAAYAWQEAAJoFAAAAAA==&#10;">
                      <v:fill on="f" focussize="0,0"/>
                      <v:stroke color="#000000" joinstyle="round" endarrow="block" endarrowwidth="narrow" endarrowlength="long"/>
                      <v:imagedata o:title=""/>
                      <o:lock v:ext="edit" aspectratio="f"/>
                    </v:line>
                  </w:pict>
                </mc:Fallback>
              </mc:AlternateContent>
            </w:r>
            <w:r>
              <w:rPr>
                <w:b/>
                <w:color w:val="auto"/>
                <w:u w:val="single"/>
              </w:rPr>
              <mc:AlternateContent>
                <mc:Choice Requires="wps">
                  <w:drawing>
                    <wp:anchor distT="0" distB="0" distL="114300" distR="114300" simplePos="0" relativeHeight="251707392" behindDoc="0" locked="0" layoutInCell="1" allowOverlap="1">
                      <wp:simplePos x="0" y="0"/>
                      <wp:positionH relativeFrom="column">
                        <wp:posOffset>1283970</wp:posOffset>
                      </wp:positionH>
                      <wp:positionV relativeFrom="paragraph">
                        <wp:posOffset>14605</wp:posOffset>
                      </wp:positionV>
                      <wp:extent cx="1420495" cy="313055"/>
                      <wp:effectExtent l="4445" t="5080" r="10160" b="12065"/>
                      <wp:wrapNone/>
                      <wp:docPr id="72" name="矩形 72"/>
                      <wp:cNvGraphicFramePr/>
                      <a:graphic xmlns:a="http://schemas.openxmlformats.org/drawingml/2006/main">
                        <a:graphicData uri="http://schemas.microsoft.com/office/word/2010/wordprocessingShape">
                          <wps:wsp>
                            <wps:cNvSpPr/>
                            <wps:spPr>
                              <a:xfrm>
                                <a:off x="0" y="0"/>
                                <a:ext cx="1420495" cy="313055"/>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中频炉用水</w:t>
                                  </w:r>
                                </w:p>
                              </w:txbxContent>
                            </wps:txbx>
                            <wps:bodyPr upright="1"/>
                          </wps:wsp>
                        </a:graphicData>
                      </a:graphic>
                    </wp:anchor>
                  </w:drawing>
                </mc:Choice>
                <mc:Fallback>
                  <w:pict>
                    <v:rect id="_x0000_s1026" o:spid="_x0000_s1026" o:spt="1" style="position:absolute;left:0pt;margin-left:101.1pt;margin-top:1.15pt;height:24.65pt;width:111.85pt;z-index:251707392;mso-width-relative:page;mso-height-relative:page;" fillcolor="#FFFFFF" filled="t" stroked="t" coordsize="21600,21600" o:gfxdata="UEsDBAoAAAAAAIdO4kAAAAAAAAAAAAAAAAAEAAAAZHJzL1BLAwQUAAAACACHTuJATWArf9gAAAAI&#10;AQAADwAAAGRycy9kb3ducmV2LnhtbE2PwU7DMBBE70j8g7VI3Kgd01Q0xKkEEgcEqND2wNGNlyQQ&#10;r6PYbcPfs5zgNqsZzbwtV5PvxRHH2AUykM0UCKQ6uI4aA7vtw9UNiJgsOdsHQgPfGGFVnZ+VtnDh&#10;RG943KRGcAnFwhpoUxoKKWPdordxFgYk9j7C6G3ic2ykG+2Jy30vtVIL6W1HvNDaAe9brL82B2/g&#10;82Wd3z3qZx2do6dJLufKvr4bc3mRqVsQCaf0F4ZffEaHipn24UAuit6AVlpzlMU1CPbnOl+C2BvI&#10;swXIqpT/H6h+AFBLAwQUAAAACACHTuJALcLq3wYCAAApBAAADgAAAGRycy9lMm9Eb2MueG1srVPN&#10;jtMwEL4j8Q6W7zRpdgts1HQPlHJBsNLCA7i2k1jynzxukz4NEjcegsdBvAZjJ3R/2MMeyMGZscff&#10;zPfNeH09Gk2OMoBytqHLRUmJtNwJZbuGfv2ye/WWEojMCqadlQ09SaDXm5cv1oOvZeV6p4UMBEEs&#10;1INvaB+jr4sCeC8Ng4Xz0uJh64JhEd3QFSKwAdGNLqqyfF0MLggfHJcAuLudDumMGJ4D6NpWcbl1&#10;/GCkjRNqkJpFpAS98kA3udq2lTx+bluQkeiGItOYV0yC9j6txWbN6i4w3ys+l8CeU8IjToYpi0nP&#10;UFsWGTkE9Q+UUTw4cG1ccGeKiUhWBFksy0fa3PbMy8wFpQZ/Fh3+Hyz/dLwJRImGvqkoscxgx39/&#10;+/Hr53eCG6jO4KHGoFt/E2YP0ExUxzaY9EcSZMyKns6KyjESjpvLy6q8vFpRwvHsYnlRrlYJtLi7&#10;7QPED9IZkoyGBuxYFpIdP0KcQv+GpGTgtBI7pXV2Qrd/pwM5MuzuLn8z+oMwbcnQ0KtVlepgOLIt&#10;jgqaxiNtsF3O9+AG3Acu8/cUcCpsy6CfCsgIKYzVRkUZstVLJt5bQeLJo7IWXxRNxRgpKNESH2Cy&#10;cmRkSj8RCWYO1N1cgrYoYGrL1IhkxXE/Ikgy906csKMHH1TXo6DLfCud4ARl5edpTyN638+gdy98&#10;8w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NYCt/2AAAAAgBAAAPAAAAAAAAAAEAIAAAACIAAABk&#10;cnMvZG93bnJldi54bWxQSwECFAAUAAAACACHTuJALcLq3wYCAAApBAAADgAAAAAAAAABACAAAAAn&#10;AQAAZHJzL2Uyb0RvYy54bWxQSwUGAAAAAAYABgBZAQAAnwU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中频炉用水</w:t>
                            </w:r>
                          </w:p>
                        </w:txbxContent>
                      </v:textbox>
                    </v:rect>
                  </w:pict>
                </mc:Fallback>
              </mc:AlternateContent>
            </w:r>
          </w:p>
          <w:p>
            <w:pPr>
              <w:spacing w:line="360" w:lineRule="auto"/>
            </w:pPr>
            <w:r>
              <w:rPr>
                <w:b/>
                <w:color w:val="FF0000"/>
                <w:szCs w:val="24"/>
              </w:rPr>
              <mc:AlternateContent>
                <mc:Choice Requires="wps">
                  <w:drawing>
                    <wp:anchor distT="0" distB="0" distL="114300" distR="114300" simplePos="0" relativeHeight="251730944" behindDoc="0" locked="0" layoutInCell="1" allowOverlap="1">
                      <wp:simplePos x="0" y="0"/>
                      <wp:positionH relativeFrom="column">
                        <wp:posOffset>905510</wp:posOffset>
                      </wp:positionH>
                      <wp:positionV relativeFrom="paragraph">
                        <wp:posOffset>291465</wp:posOffset>
                      </wp:positionV>
                      <wp:extent cx="410210" cy="299085"/>
                      <wp:effectExtent l="0" t="0" r="0" b="0"/>
                      <wp:wrapNone/>
                      <wp:docPr id="108" name="矩形 88"/>
                      <wp:cNvGraphicFramePr/>
                      <a:graphic xmlns:a="http://schemas.openxmlformats.org/drawingml/2006/main">
                        <a:graphicData uri="http://schemas.microsoft.com/office/word/2010/wordprocessingShape">
                          <wps:wsp>
                            <wps:cNvSpPr/>
                            <wps:spPr>
                              <a:xfrm>
                                <a:off x="0" y="0"/>
                                <a:ext cx="410210" cy="299085"/>
                              </a:xfrm>
                              <a:prstGeom prst="rect">
                                <a:avLst/>
                              </a:prstGeom>
                              <a:solidFill>
                                <a:srgbClr val="FFFFFF">
                                  <a:alpha val="0"/>
                                </a:srgbClr>
                              </a:solidFill>
                              <a:ln>
                                <a:noFill/>
                              </a:ln>
                            </wps:spPr>
                            <wps:txbx>
                              <w:txbxContent>
                                <w:p>
                                  <w:pPr>
                                    <w:rPr>
                                      <w:rFonts w:hint="default" w:eastAsiaTheme="minorEastAsia"/>
                                      <w:sz w:val="21"/>
                                      <w:szCs w:val="21"/>
                                      <w:lang w:val="en-US" w:eastAsia="zh-CN"/>
                                    </w:rPr>
                                  </w:pPr>
                                  <w:r>
                                    <w:rPr>
                                      <w:rFonts w:hint="eastAsia" w:eastAsiaTheme="minorEastAsia"/>
                                      <w:sz w:val="21"/>
                                      <w:szCs w:val="21"/>
                                      <w:lang w:val="en-US" w:eastAsia="zh-CN"/>
                                    </w:rPr>
                                    <w:t>0.2</w:t>
                                  </w:r>
                                </w:p>
                              </w:txbxContent>
                            </wps:txbx>
                            <wps:bodyPr upright="1"/>
                          </wps:wsp>
                        </a:graphicData>
                      </a:graphic>
                    </wp:anchor>
                  </w:drawing>
                </mc:Choice>
                <mc:Fallback>
                  <w:pict>
                    <v:rect id="矩形 88" o:spid="_x0000_s1026" o:spt="1" style="position:absolute;left:0pt;margin-left:71.3pt;margin-top:22.95pt;height:23.55pt;width:32.3pt;z-index:251730944;mso-width-relative:page;mso-height-relative:page;" fillcolor="#FFFFFF" filled="t" stroked="f" coordsize="21600,21600" o:gfxdata="UEsDBAoAAAAAAIdO4kAAAAAAAAAAAAAAAAAEAAAAZHJzL1BLAwQUAAAACACHTuJAR/X9D9gAAAAJ&#10;AQAADwAAAGRycy9kb3ducmV2LnhtbE2PMU/DMBCFdyT+g3VIbNRuWgoJcTrQZmBgIAV1deNrEhGf&#10;o9htw7/nmOj4dJ/e+y5fT64XZxxD50nDfKZAINXedtRo+NyVD88gQjRkTe8JNfxggHVxe5ObzPoL&#10;feC5io3gEgqZ0dDGOGRShrpFZ8LMD0h8O/rRmchxbKQdzYXLXS8TpVbSmY54oTUDvrZYf1cnp6Eq&#10;v+x7uo+LvZ/KZvu22Ry3w07r+7u5egERcYr/MPzpszoU7HTwJ7JB9JyXyYpRDcvHFAQDiXpKQBw0&#10;pAsFssjl9QfFL1BLAwQUAAAACACHTuJASe4ZK8IBAACJAwAADgAAAGRycy9lMm9Eb2MueG1srVPN&#10;jtMwEL4j8Q6W7zRJBagbNd0DVbkgWGnhAVzHSSz5TzNukz4NEjcegsdBvAZjJ9uF5bIHcnBmxuNv&#10;5vvG3t5O1rCzAtTeNbxalZwpJ32rXd/wL58PrzacYRSuFcY71fCLQn67e/liO4Zarf3gTauAEYjD&#10;egwNH2IMdVGgHJQVuPJBOdrsPFgRyYW+aEGMhG5NsS7Lt8XooQ3gpUKk6H7e5AsiPAfQd52Wau/l&#10;ySoXZ1RQRkSihIMOyHe5265TMn7qOlSRmYYT05hXKkL2Ma3FbivqHkQYtFxaEM9p4QknK7Sjoleo&#10;vYiCnUD/A2W1BI++iyvpbTETyYoQi6p8os39IILKXEhqDFfR8f/Byo/nO2C6pZtQ0uCdsDTyX1+/&#10;//zxjW02SZ4xYE1Z9+EOFg/JTFynDmz6Ews2ZUkvV0nVFJmk4OuqXFcktqSt9c1NuXmTMIvHwwEw&#10;vlfesmQ0HGhiWUhx/oBxTn1ISbXQG90etDHZgf74zgA7C5ruIX/zWRMGMUfzhKkczqm59F8YxiUk&#10;5xPmXC5FisR65pmsOB2nhfzRtxdS7BRA9wM1XGU+KYkmlOGX25SuwJ9+Bn18Qb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R/X9D9gAAAAJAQAADwAAAAAAAAABACAAAAAiAAAAZHJzL2Rvd25yZXYu&#10;eG1sUEsBAhQAFAAAAAgAh07iQEnuGSvCAQAAiQMAAA4AAAAAAAAAAQAgAAAAJwEAAGRycy9lMm9E&#10;b2MueG1sUEsFBgAAAAAGAAYAWQEAAFsFAAAAAA==&#10;">
                      <v:fill on="t" opacity="0f" focussize="0,0"/>
                      <v:stroke on="f"/>
                      <v:imagedata o:title=""/>
                      <o:lock v:ext="edit" aspectratio="f"/>
                      <v:textbox>
                        <w:txbxContent>
                          <w:p>
                            <w:pPr>
                              <w:rPr>
                                <w:rFonts w:hint="default" w:eastAsiaTheme="minorEastAsia"/>
                                <w:sz w:val="21"/>
                                <w:szCs w:val="21"/>
                                <w:lang w:val="en-US" w:eastAsia="zh-CN"/>
                              </w:rPr>
                            </w:pPr>
                            <w:r>
                              <w:rPr>
                                <w:rFonts w:hint="eastAsia" w:eastAsiaTheme="minorEastAsia"/>
                                <w:sz w:val="21"/>
                                <w:szCs w:val="21"/>
                                <w:lang w:val="en-US" w:eastAsia="zh-CN"/>
                              </w:rPr>
                              <w:t>0.2</w:t>
                            </w:r>
                          </w:p>
                        </w:txbxContent>
                      </v:textbox>
                    </v:rect>
                  </w:pict>
                </mc:Fallback>
              </mc:AlternateContent>
            </w:r>
          </w:p>
          <w:p>
            <w:r>
              <w:rPr>
                <w:b/>
                <w:color w:val="FF0000"/>
                <w:szCs w:val="24"/>
              </w:rPr>
              <mc:AlternateContent>
                <mc:Choice Requires="wps">
                  <w:drawing>
                    <wp:anchor distT="0" distB="0" distL="114300" distR="114300" simplePos="0" relativeHeight="251735040" behindDoc="0" locked="0" layoutInCell="1" allowOverlap="1">
                      <wp:simplePos x="0" y="0"/>
                      <wp:positionH relativeFrom="column">
                        <wp:posOffset>3571240</wp:posOffset>
                      </wp:positionH>
                      <wp:positionV relativeFrom="paragraph">
                        <wp:posOffset>27940</wp:posOffset>
                      </wp:positionV>
                      <wp:extent cx="827405" cy="467995"/>
                      <wp:effectExtent l="0" t="0" r="0" b="0"/>
                      <wp:wrapNone/>
                      <wp:docPr id="257" name="矩形 110"/>
                      <wp:cNvGraphicFramePr/>
                      <a:graphic xmlns:a="http://schemas.openxmlformats.org/drawingml/2006/main">
                        <a:graphicData uri="http://schemas.microsoft.com/office/word/2010/wordprocessingShape">
                          <wps:wsp>
                            <wps:cNvSpPr/>
                            <wps:spPr>
                              <a:xfrm>
                                <a:off x="0" y="0"/>
                                <a:ext cx="827405" cy="467995"/>
                              </a:xfrm>
                              <a:prstGeom prst="rect">
                                <a:avLst/>
                              </a:prstGeom>
                              <a:solidFill>
                                <a:srgbClr val="FFFFFF">
                                  <a:alpha val="0"/>
                                </a:srgbClr>
                              </a:solidFill>
                              <a:ln>
                                <a:noFill/>
                              </a:ln>
                            </wps:spPr>
                            <wps:txbx>
                              <w:txbxContent>
                                <w:p>
                                  <w:pPr>
                                    <w:rPr>
                                      <w:rFonts w:hint="eastAsia" w:eastAsiaTheme="minorEastAsia"/>
                                      <w:sz w:val="21"/>
                                      <w:szCs w:val="21"/>
                                      <w:lang w:val="en-US" w:eastAsia="zh-CN"/>
                                    </w:rPr>
                                  </w:pPr>
                                  <w:r>
                                    <w:rPr>
                                      <w:rFonts w:hint="eastAsia" w:eastAsiaTheme="minorEastAsia"/>
                                      <w:sz w:val="21"/>
                                      <w:szCs w:val="21"/>
                                      <w:lang w:val="en-US" w:eastAsia="zh-CN"/>
                                    </w:rPr>
                                    <w:t>委托危废</w:t>
                                  </w:r>
                                </w:p>
                                <w:p>
                                  <w:pPr>
                                    <w:rPr>
                                      <w:rFonts w:hint="default" w:eastAsiaTheme="minorEastAsia"/>
                                      <w:sz w:val="21"/>
                                      <w:szCs w:val="21"/>
                                      <w:lang w:val="en-US" w:eastAsia="zh-CN"/>
                                    </w:rPr>
                                  </w:pPr>
                                  <w:r>
                                    <w:rPr>
                                      <w:rFonts w:hint="eastAsia" w:eastAsiaTheme="minorEastAsia"/>
                                      <w:sz w:val="21"/>
                                      <w:szCs w:val="21"/>
                                      <w:lang w:val="en-US" w:eastAsia="zh-CN"/>
                                    </w:rPr>
                                    <w:t>公司处置</w:t>
                                  </w:r>
                                </w:p>
                              </w:txbxContent>
                            </wps:txbx>
                            <wps:bodyPr upright="1"/>
                          </wps:wsp>
                        </a:graphicData>
                      </a:graphic>
                    </wp:anchor>
                  </w:drawing>
                </mc:Choice>
                <mc:Fallback>
                  <w:pict>
                    <v:rect id="矩形 110" o:spid="_x0000_s1026" o:spt="1" style="position:absolute;left:0pt;margin-left:281.2pt;margin-top:2.2pt;height:36.85pt;width:65.15pt;z-index:251735040;mso-width-relative:page;mso-height-relative:page;" fillcolor="#FFFFFF" filled="t" stroked="f" coordsize="21600,21600" o:gfxdata="UEsDBAoAAAAAAIdO4kAAAAAAAAAAAAAAAAAEAAAAZHJzL1BLAwQUAAAACACHTuJABAW8l9kAAAAI&#10;AQAADwAAAGRycy9kb3ducmV2LnhtbE2PMU/DMBCFdyT+g3VIbNRJKGmb5tKBNgMDAymoqxtfk6ix&#10;HcVuG/49xwTT0+k9vfddvplML640+s5ZhHgWgSBbO93ZBuFzXz4tQfigrFa9s4TwTR42xf1drjLt&#10;bvaDrlVoBJdYnymENoQhk9LXLRnlZ24gy97JjUYFPsdG6lHduNz0MomiVBrVWV5o1UCvLdXn6mIQ&#10;qvJLv68O4fngprLZvW23p92wR3x8iKM1iEBT+AvDLz6jQ8FMR3ex2ose4SVN5hxFmLOwn66SBYgj&#10;wmIZgyxy+f+B4gdQSwMEFAAAAAgAh07iQAprna3FAQAAigMAAA4AAABkcnMvZTJvRG9jLnhtbK1T&#10;zY7TMBC+I/EOlu80abXd7kZN90BVLghWWngA13ESS/7TjNukT4PEjYfgcRCvwdgpLSyXPZCDMzMe&#10;fzPfN/b6YbSGHRWg9q7m81nJmXLSN9p1Nf/8affmjjOMwjXCeKdqflLIHzavX62HUKmF771pFDAC&#10;cVgNoeZ9jKEqCpS9sgJnPihHm60HKyK50BUNiIHQrSkWZXlbDB6aAF4qRIpup01+RoSXAPq21VJt&#10;vTxY5eKECsqISJSw1wH5JnfbtkrGj22LKjJTc2Ia80pFyN6ntdisRdWBCL2W5xbES1p4xskK7ajo&#10;BWoromAH0P9AWS3Bo2/jTHpbTESyIsRiXj7T5qkXQWUuJDWGi+j4/2Dlh+MjMN3UfLFcceaEpZH/&#10;/PLtx/evbD7P+gwBK0p7Co9AaiUPyUxkxxZs+hMNNmZNTxdN1RiZpODdYnVTLjmTtHVzu7q/XybN&#10;i+vhABjfKW9ZMmoONLKspDi+xzil/k5JtdAb3ey0MdmBbv/WADsKGu8uf9NZE3oxRTMFKodTai79&#10;F4ZxCcn5hDmVS5HiyjNZcdyPZ/J735xIskMA3fXU8DzzSUk0ogx/vk7pDvzpZ9DrE9r8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QFvJfZAAAACAEAAA8AAAAAAAAAAQAgAAAAIgAAAGRycy9kb3du&#10;cmV2LnhtbFBLAQIUABQAAAAIAIdO4kAKa52txQEAAIoDAAAOAAAAAAAAAAEAIAAAACgBAABkcnMv&#10;ZTJvRG9jLnhtbFBLBQYAAAAABgAGAFkBAABfBQAAAAA=&#10;">
                      <v:fill on="t" opacity="0f" focussize="0,0"/>
                      <v:stroke on="f"/>
                      <v:imagedata o:title=""/>
                      <o:lock v:ext="edit" aspectratio="f"/>
                      <v:textbox>
                        <w:txbxContent>
                          <w:p>
                            <w:pPr>
                              <w:rPr>
                                <w:rFonts w:hint="eastAsia" w:eastAsiaTheme="minorEastAsia"/>
                                <w:sz w:val="21"/>
                                <w:szCs w:val="21"/>
                                <w:lang w:val="en-US" w:eastAsia="zh-CN"/>
                              </w:rPr>
                            </w:pPr>
                            <w:r>
                              <w:rPr>
                                <w:rFonts w:hint="eastAsia" w:eastAsiaTheme="minorEastAsia"/>
                                <w:sz w:val="21"/>
                                <w:szCs w:val="21"/>
                                <w:lang w:val="en-US" w:eastAsia="zh-CN"/>
                              </w:rPr>
                              <w:t>委托危废</w:t>
                            </w:r>
                          </w:p>
                          <w:p>
                            <w:pPr>
                              <w:rPr>
                                <w:rFonts w:hint="default" w:eastAsiaTheme="minorEastAsia"/>
                                <w:sz w:val="21"/>
                                <w:szCs w:val="21"/>
                                <w:lang w:val="en-US" w:eastAsia="zh-CN"/>
                              </w:rPr>
                            </w:pPr>
                            <w:r>
                              <w:rPr>
                                <w:rFonts w:hint="eastAsia" w:eastAsiaTheme="minorEastAsia"/>
                                <w:sz w:val="21"/>
                                <w:szCs w:val="21"/>
                                <w:lang w:val="en-US" w:eastAsia="zh-CN"/>
                              </w:rPr>
                              <w:t>公司处置</w:t>
                            </w:r>
                          </w:p>
                        </w:txbxContent>
                      </v:textbox>
                    </v:rect>
                  </w:pict>
                </mc:Fallback>
              </mc:AlternateContent>
            </w:r>
            <w:r>
              <w:rPr>
                <w:b/>
                <w:color w:val="FF0000"/>
                <w:szCs w:val="24"/>
              </w:rPr>
              <mc:AlternateContent>
                <mc:Choice Requires="wps">
                  <w:drawing>
                    <wp:anchor distT="0" distB="0" distL="114300" distR="114300" simplePos="0" relativeHeight="251734016" behindDoc="0" locked="0" layoutInCell="1" allowOverlap="1">
                      <wp:simplePos x="0" y="0"/>
                      <wp:positionH relativeFrom="column">
                        <wp:posOffset>2954020</wp:posOffset>
                      </wp:positionH>
                      <wp:positionV relativeFrom="paragraph">
                        <wp:posOffset>15240</wp:posOffset>
                      </wp:positionV>
                      <wp:extent cx="416560" cy="299085"/>
                      <wp:effectExtent l="0" t="0" r="0" b="0"/>
                      <wp:wrapNone/>
                      <wp:docPr id="193" name="矩形 110"/>
                      <wp:cNvGraphicFramePr/>
                      <a:graphic xmlns:a="http://schemas.openxmlformats.org/drawingml/2006/main">
                        <a:graphicData uri="http://schemas.microsoft.com/office/word/2010/wordprocessingShape">
                          <wps:wsp>
                            <wps:cNvSpPr/>
                            <wps:spPr>
                              <a:xfrm>
                                <a:off x="0" y="0"/>
                                <a:ext cx="416560" cy="299085"/>
                              </a:xfrm>
                              <a:prstGeom prst="rect">
                                <a:avLst/>
                              </a:prstGeom>
                              <a:solidFill>
                                <a:srgbClr val="FFFFFF">
                                  <a:alpha val="0"/>
                                </a:srgbClr>
                              </a:solidFill>
                              <a:ln>
                                <a:noFill/>
                              </a:ln>
                            </wps:spPr>
                            <wps:txbx>
                              <w:txbxContent>
                                <w:p>
                                  <w:pPr>
                                    <w:rPr>
                                      <w:rFonts w:hint="default" w:eastAsiaTheme="minorEastAsia"/>
                                      <w:sz w:val="21"/>
                                      <w:szCs w:val="21"/>
                                      <w:lang w:val="en-US" w:eastAsia="zh-CN"/>
                                    </w:rPr>
                                  </w:pPr>
                                  <w:r>
                                    <w:rPr>
                                      <w:rFonts w:hint="eastAsia" w:eastAsiaTheme="minorEastAsia"/>
                                      <w:sz w:val="21"/>
                                      <w:szCs w:val="21"/>
                                      <w:lang w:val="en-US" w:eastAsia="zh-CN"/>
                                    </w:rPr>
                                    <w:t>0.2</w:t>
                                  </w:r>
                                </w:p>
                              </w:txbxContent>
                            </wps:txbx>
                            <wps:bodyPr upright="1"/>
                          </wps:wsp>
                        </a:graphicData>
                      </a:graphic>
                    </wp:anchor>
                  </w:drawing>
                </mc:Choice>
                <mc:Fallback>
                  <w:pict>
                    <v:rect id="矩形 110" o:spid="_x0000_s1026" o:spt="1" style="position:absolute;left:0pt;margin-left:232.6pt;margin-top:1.2pt;height:23.55pt;width:32.8pt;z-index:251734016;mso-width-relative:page;mso-height-relative:page;" fillcolor="#FFFFFF" filled="t" stroked="f" coordsize="21600,21600" o:gfxdata="UEsDBAoAAAAAAIdO4kAAAAAAAAAAAAAAAAAEAAAAZHJzL1BLAwQUAAAACACHTuJAofUpC9cAAAAI&#10;AQAADwAAAGRycy9kb3ducmV2LnhtbE2PMU/DMBCFdyT+g3VIbNRu2lQ0xOlAm4GBgRTU1Y2vSUR8&#10;jmK3Df+eY6Lj6Xt69718M7leXHAMnScN85kCgVR721Gj4XNfPj2DCNGQNb0n1PCDATbF/V1uMuuv&#10;9IGXKjaCSyhkRkMb45BJGeoWnQkzPyAxO/nRmcjn2Eg7miuXu14mSq2kMx3xh9YM+Npi/V2dnYaq&#10;/LLv60NcHPxUNru37fa0G/ZaPz7M1QuIiFP8D8OfPqtDwU5HfyYbRK9huUoTjmpIliCYpwvFU44M&#10;1inIIpe3A4pfUEsDBBQAAAAIAIdO4kCuoKxcxAEAAIoDAAAOAAAAZHJzL2Uyb0RvYy54bWytU82O&#10;0zAQviPxDpbvNElhq23UdA9U5YJgpYUHcB0nseQ/zbht+jRI3HgIHgfxGoyd0sLuZQ+bgzMzHn8z&#10;3zf26m60hh0UoPau4dWs5Ew56Vvt+oZ//bJ9c8sZRuFaYbxTDT8p5Hfr169Wx1CruR+8aRUwAnFY&#10;H0PDhxhDXRQoB2UFznxQjjY7D1ZEcqEvWhBHQremmJflojh6aAN4qRApupk2+RkRngPou05LtfFy&#10;b5WLEyooIyJRwkEH5OvcbdcpGT93HarITMOJacwrFSF7l9ZivRJ1DyIMWp5bEM9p4REnK7Sjoheo&#10;jYiC7UE/gbJagkffxZn0tpiIZEWIRVU+0uZhEEFlLiQ1hovo+HKw8tPhHphu6SYs33LmhKWR//72&#10;49fP76yqsj7HgDWlPYR7ILWSh2QmsmMHNv2JBhuzpqeLpmqMTFLwXbW4WZDakrbmy2V5e5M0L66H&#10;A2D8oLxlyWg40MiykuLwEeOU+jcl1UJvdLvVxmQH+t17A+wgaLzb/E1nTRjEFM0UqBxOqbn0fxjG&#10;JSTnE+ZULkWKK89kxXE3nsnvfHsiyfYBdD9Qw1Xmk5JoRBn+fJ3SHfjXz6DXJ7T+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KH1KQvXAAAACAEAAA8AAAAAAAAAAQAgAAAAIgAAAGRycy9kb3ducmV2&#10;LnhtbFBLAQIUABQAAAAIAIdO4kCuoKxcxAEAAIoDAAAOAAAAAAAAAAEAIAAAACYBAABkcnMvZTJv&#10;RG9jLnhtbFBLBQYAAAAABgAGAFkBAABcBQAAAAA=&#10;">
                      <v:fill on="t" opacity="0f" focussize="0,0"/>
                      <v:stroke on="f"/>
                      <v:imagedata o:title=""/>
                      <o:lock v:ext="edit" aspectratio="f"/>
                      <v:textbox>
                        <w:txbxContent>
                          <w:p>
                            <w:pPr>
                              <w:rPr>
                                <w:rFonts w:hint="default" w:eastAsiaTheme="minorEastAsia"/>
                                <w:sz w:val="21"/>
                                <w:szCs w:val="21"/>
                                <w:lang w:val="en-US" w:eastAsia="zh-CN"/>
                              </w:rPr>
                            </w:pPr>
                            <w:r>
                              <w:rPr>
                                <w:rFonts w:hint="eastAsia" w:eastAsiaTheme="minorEastAsia"/>
                                <w:sz w:val="21"/>
                                <w:szCs w:val="21"/>
                                <w:lang w:val="en-US" w:eastAsia="zh-CN"/>
                              </w:rPr>
                              <w:t>0.2</w:t>
                            </w:r>
                          </w:p>
                        </w:txbxContent>
                      </v:textbox>
                    </v:rect>
                  </w:pict>
                </mc:Fallback>
              </mc:AlternateContent>
            </w:r>
            <w:r>
              <w:rPr>
                <w:b/>
                <w:color w:val="FF0000"/>
                <w:u w:val="single"/>
              </w:rPr>
              <mc:AlternateContent>
                <mc:Choice Requires="wps">
                  <w:drawing>
                    <wp:anchor distT="0" distB="0" distL="114300" distR="114300" simplePos="0" relativeHeight="251731968" behindDoc="0" locked="0" layoutInCell="1" allowOverlap="1">
                      <wp:simplePos x="0" y="0"/>
                      <wp:positionH relativeFrom="column">
                        <wp:posOffset>1427480</wp:posOffset>
                      </wp:positionH>
                      <wp:positionV relativeFrom="paragraph">
                        <wp:posOffset>114300</wp:posOffset>
                      </wp:positionV>
                      <wp:extent cx="1357630" cy="313055"/>
                      <wp:effectExtent l="4445" t="5080" r="9525" b="12065"/>
                      <wp:wrapNone/>
                      <wp:docPr id="179" name="矩形 91"/>
                      <wp:cNvGraphicFramePr/>
                      <a:graphic xmlns:a="http://schemas.openxmlformats.org/drawingml/2006/main">
                        <a:graphicData uri="http://schemas.microsoft.com/office/word/2010/wordprocessingShape">
                          <wps:wsp>
                            <wps:cNvSpPr/>
                            <wps:spPr>
                              <a:xfrm>
                                <a:off x="0" y="0"/>
                                <a:ext cx="1357630" cy="313055"/>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喷枪清洗用水</w:t>
                                  </w:r>
                                </w:p>
                              </w:txbxContent>
                            </wps:txbx>
                            <wps:bodyPr upright="1"/>
                          </wps:wsp>
                        </a:graphicData>
                      </a:graphic>
                    </wp:anchor>
                  </w:drawing>
                </mc:Choice>
                <mc:Fallback>
                  <w:pict>
                    <v:rect id="矩形 91" o:spid="_x0000_s1026" o:spt="1" style="position:absolute;left:0pt;margin-left:112.4pt;margin-top:9pt;height:24.65pt;width:106.9pt;z-index:251731968;mso-width-relative:page;mso-height-relative:page;" fillcolor="#FFFFFF" filled="t" stroked="t" coordsize="21600,21600" o:gfxdata="UEsDBAoAAAAAAIdO4kAAAAAAAAAAAAAAAAAEAAAAZHJzL1BLAwQUAAAACACHTuJAQjt7LtgAAAAJ&#10;AQAADwAAAGRycy9kb3ducmV2LnhtbE2PwU7DMBBE70j8g7VI3KhdN4QQ4lQCiQMCBBQOHLexSQLx&#10;OordNvw9ywmOoxnNvKnWsx/E3k2xD2RguVAgHDXB9tQaeHu9PStAxIRkcQjkDHy7COv6+KjC0oYD&#10;vbj9JrWCSyiWaKBLaSyljE3nPMZFGB2x9xEmj4nl1Eo74YHL/SC1Urn02BMvdDi6m841X5udN/D5&#10;+HR+facfdLSW7md5mSl8fjfm9GSprkAkN6e/MPziMzrUzLQNO7JRDAa0zhg9sVHwJw5kqyIHsTWQ&#10;X6xA1pX8/6D+AVBLAwQUAAAACACHTuJAxtLebgcCAAAqBAAADgAAAGRycy9lMm9Eb2MueG1srVPL&#10;jtMwFN0j8Q+W9zRpq87QqOksKGWDYKSBD3BtJ7Hkl3zdJv0aJHZ8BJ+D+A2undB5MItZkIVzbR8f&#10;33Pu9eZmMJqcZADlbE3ns5ISabkTyrY1/fpl/+YtJRCZFUw7K2t6lkBvtq9fbXpfyYXrnBYyECSx&#10;UPW+pl2MvioK4J00DGbOS4ubjQuGRZyGthCB9chudLEoy6uid0H44LgEwNXduEknxvASQtc0isud&#10;40cjbRxZg9QsoiTolAe6zdk2jeTxc9OAjETXFJXGPOIlGB/SWGw3rGoD853iUwrsJSk80WSYsnjp&#10;hWrHIiPHoP6hMooHB66JM+5MMQrJjqCKefnEm7uOeZm1oNXgL6bD/6Pln063gSiBnXC9psQygyX/&#10;/e3Hr5/fyXqe7Ok9VIi687dhmgGGSevQBJP+qIIM2dLzxVI5RMJxcb5cXV8t0W2Oe8v5slytEmlx&#10;f9oHiB+kMyQFNQ1YsuwkO32EOEL/QtJl4LQSe6V1noT28E4HcmJY3n3+JvZHMG1JX9P1arHCPBj2&#10;bIO9gqHxqBtsm+97dAIeEpf5e444JbZj0I0JZIYEY5VRUYYcdZKJ91aQePborMUnRVMyRgpKtMQX&#10;mKKMjEzpZ5BgJqBupxS0RQNTWcZCpCgOhwFJUnhw4owlPfqg2g4NzUXMcGyh7PzU7qlHH84z6f0T&#10;3/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jt7LtgAAAAJAQAADwAAAAAAAAABACAAAAAiAAAA&#10;ZHJzL2Rvd25yZXYueG1sUEsBAhQAFAAAAAgAh07iQMbS3m4HAgAAKgQAAA4AAAAAAAAAAQAgAAAA&#10;JwEAAGRycy9lMm9Eb2MueG1sUEsFBgAAAAAGAAYAWQEAAKAFA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喷枪清洗用水</w:t>
                            </w:r>
                          </w:p>
                        </w:txbxContent>
                      </v:textbox>
                    </v:rect>
                  </w:pict>
                </mc:Fallback>
              </mc:AlternateContent>
            </w:r>
          </w:p>
          <w:p>
            <w:pPr>
              <w:pStyle w:val="14"/>
              <w:keepNext w:val="0"/>
              <w:keepLines w:val="0"/>
              <w:pageBreakBefore w:val="0"/>
              <w:widowControl/>
              <w:kinsoku/>
              <w:wordWrap/>
              <w:overflowPunct/>
              <w:topLinePunct w:val="0"/>
              <w:autoSpaceDE/>
              <w:autoSpaceDN/>
              <w:bidi w:val="0"/>
              <w:adjustRightInd/>
              <w:snapToGrid w:val="0"/>
              <w:spacing w:line="360" w:lineRule="auto"/>
              <w:ind w:right="113"/>
              <w:textAlignment w:val="auto"/>
            </w:pPr>
            <w:r>
              <w:rPr>
                <w:b/>
                <w:color w:val="FF0000"/>
                <w:szCs w:val="24"/>
              </w:rPr>
              <mc:AlternateContent>
                <mc:Choice Requires="wps">
                  <w:drawing>
                    <wp:anchor distT="0" distB="0" distL="114300" distR="114300" simplePos="0" relativeHeight="251732992" behindDoc="0" locked="0" layoutInCell="1" allowOverlap="1">
                      <wp:simplePos x="0" y="0"/>
                      <wp:positionH relativeFrom="column">
                        <wp:posOffset>2797810</wp:posOffset>
                      </wp:positionH>
                      <wp:positionV relativeFrom="paragraph">
                        <wp:posOffset>85090</wp:posOffset>
                      </wp:positionV>
                      <wp:extent cx="744220" cy="635"/>
                      <wp:effectExtent l="0" t="24765" r="5080" b="25400"/>
                      <wp:wrapNone/>
                      <wp:docPr id="284" name="直线 112"/>
                      <wp:cNvGraphicFramePr/>
                      <a:graphic xmlns:a="http://schemas.openxmlformats.org/drawingml/2006/main">
                        <a:graphicData uri="http://schemas.microsoft.com/office/word/2010/wordprocessingShape">
                          <wps:wsp>
                            <wps:cNvCnPr/>
                            <wps:spPr>
                              <a:xfrm>
                                <a:off x="0" y="0"/>
                                <a:ext cx="744220" cy="635"/>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直线 112" o:spid="_x0000_s1026" o:spt="20" style="position:absolute;left:0pt;margin-left:220.3pt;margin-top:6.7pt;height:0.05pt;width:58.6pt;z-index:251732992;mso-width-relative:page;mso-height-relative:page;" filled="f" stroked="t" coordsize="21600,21600" o:gfxdata="UEsDBAoAAAAAAIdO4kAAAAAAAAAAAAAAAAAEAAAAZHJzL1BLAwQUAAAACACHTuJAXq/uENkAAAAJ&#10;AQAADwAAAGRycy9kb3ducmV2LnhtbE2PzU7DMBCE70i8g7VI3KjdkIQqjVMhBELlUInSQ49uvE2i&#10;xusodn/g6dme4Lgzn2ZnysXF9eKEY+g8aZhOFAik2tuOGg2br7eHGYgQDVnTe0IN3xhgUd3elKaw&#10;/kyfeFrHRnAIhcJoaGMcCilD3aIzYeIHJPb2fnQm8jk20o7mzOGul4lSuXSmI/7QmgFfWqwP66PT&#10;sNwuDz8qfw1Dmjxv9onfrj7eU63v76ZqDiLiJf7BcK3P1aHiTjt/JBtEryFNVc4oG48pCAay7Im3&#10;7K5CBrIq5f8F1S9QSwMEFAAAAAgAh07iQMP1FFP1AQAA4gMAAA4AAABkcnMvZTJvRG9jLnhtbK1T&#10;S5LTMBDdU8UdVNoTJyYZBlecWUwYNhSkCjhAR5ZtVelXaiVOzsI1WLHhOHMNWrJJYNjMAi/klvrp&#10;db8naX13MpodZUDlbM0Xszln0grXKNvV/OuXh1e3nGEE24B2Vtb8LJHfbV6+WA++kqXrnW5kYERi&#10;sRp8zfsYfVUUKHppAGfOS0vJ1gUDkaahK5oAA7EbXZTz+U0xuND44IREpNXtmOQTY3gOoWtbJeTW&#10;iYORNo6sQWqIJAl75ZFvcrdtK0X81LYoI9M1J6Uxj1SE4n0ai80aqi6A75WYWoDntPBEkwFlqeiF&#10;agsR2CGof6iMEsGha+NMOFOMQrIjpGIxf+LN5x68zFrIavQX0/H/0YqPx11gqql5ebvkzIKhI3/8&#10;9v3xx0+2WJTJn8FjRbB7uwvTDP0uJLGnNpj0JxnslD09XzyVp8gELb5ZLsuS3BaUunm9SoTFdacP&#10;GN9LZ1gKaq6VTXqhguMHjCP0NyQta8uGmr9dlSsiBLp8LR06hcaTALRd3otOq+ZBaZ12YOj29zqw&#10;I6QLkL+phb9gqcgWsB9xOZVgUPUSmne2YfHsyRhLL4KnFoxsONOSHlCKMjKC0ldkDApsp0c0mgms&#10;u6m4tmRDMna0MkV715zpKA4+qK4nLxYZmjJ09Nm06Zqmu/XnPDNdn+bm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6v7hDZAAAACQEAAA8AAAAAAAAAAQAgAAAAIgAAAGRycy9kb3ducmV2LnhtbFBL&#10;AQIUABQAAAAIAIdO4kDD9RRT9QEAAOIDAAAOAAAAAAAAAAEAIAAAACgBAABkcnMvZTJvRG9jLnht&#10;bFBLBQYAAAAABgAGAFkBAACPBQAAAAA=&#10;">
                      <v:fill on="f" focussize="0,0"/>
                      <v:stroke color="#000000" joinstyle="round" endarrow="block" endarrowwidth="narrow" endarrowlength="long"/>
                      <v:imagedata o:title=""/>
                      <o:lock v:ext="edit" aspectratio="f"/>
                    </v:line>
                  </w:pict>
                </mc:Fallback>
              </mc:AlternateContent>
            </w:r>
            <w:r>
              <w:rPr>
                <w:b/>
                <w:color w:val="FF0000"/>
                <w:szCs w:val="24"/>
              </w:rPr>
              <mc:AlternateContent>
                <mc:Choice Requires="wps">
                  <w:drawing>
                    <wp:anchor distT="0" distB="0" distL="114300" distR="114300" simplePos="0" relativeHeight="251729920" behindDoc="0" locked="0" layoutInCell="1" allowOverlap="1">
                      <wp:simplePos x="0" y="0"/>
                      <wp:positionH relativeFrom="column">
                        <wp:posOffset>673735</wp:posOffset>
                      </wp:positionH>
                      <wp:positionV relativeFrom="paragraph">
                        <wp:posOffset>65405</wp:posOffset>
                      </wp:positionV>
                      <wp:extent cx="760095" cy="0"/>
                      <wp:effectExtent l="0" t="25400" r="1905" b="25400"/>
                      <wp:wrapNone/>
                      <wp:docPr id="192" name="直线 90"/>
                      <wp:cNvGraphicFramePr/>
                      <a:graphic xmlns:a="http://schemas.openxmlformats.org/drawingml/2006/main">
                        <a:graphicData uri="http://schemas.microsoft.com/office/word/2010/wordprocessingShape">
                          <wps:wsp>
                            <wps:cNvCnPr/>
                            <wps:spPr>
                              <a:xfrm>
                                <a:off x="0" y="0"/>
                                <a:ext cx="760095" cy="0"/>
                              </a:xfrm>
                              <a:prstGeom prst="line">
                                <a:avLst/>
                              </a:prstGeom>
                              <a:ln w="9525" cap="flat" cmpd="sng">
                                <a:solidFill>
                                  <a:srgbClr val="000000"/>
                                </a:solidFill>
                                <a:prstDash val="solid"/>
                                <a:headEnd type="none" w="med" len="med"/>
                                <a:tailEnd type="triangle" w="sm" len="lg"/>
                              </a:ln>
                            </wps:spPr>
                            <wps:bodyPr upright="1"/>
                          </wps:wsp>
                        </a:graphicData>
                      </a:graphic>
                    </wp:anchor>
                  </w:drawing>
                </mc:Choice>
                <mc:Fallback>
                  <w:pict>
                    <v:line id="直线 90" o:spid="_x0000_s1026" o:spt="20" style="position:absolute;left:0pt;margin-left:53.05pt;margin-top:5.15pt;height:0pt;width:59.85pt;z-index:251729920;mso-width-relative:page;mso-height-relative:page;" filled="f" stroked="t" coordsize="21600,21600" o:gfxdata="UEsDBAoAAAAAAIdO4kAAAAAAAAAAAAAAAAAEAAAAZHJzL1BLAwQUAAAACACHTuJAiLOQ+tgAAAAJ&#10;AQAADwAAAGRycy9kb3ducmV2LnhtbE2PzU7DMBCE70i8g7WVuFE7pkQojVMhBELlgETpoUc33iZR&#10;43UUuz/w9GzFAW47u6PZb8rF2ffiiGPsAhnIpgoEUh1cR42B9efL7QOImCw52wdCA18YYVFdX5W2&#10;cOFEH3hcpUZwCMXCGmhTGgopY92it3EaBiS+7cLobWI5NtKN9sThvpdaqVx62xF/aO2ATy3W+9XB&#10;G1hulvtvlT/HYaYf1zsdNu9vrzNjbiaZmoNIeE5/ZrjgMzpUzLQNB3JR9KxVnrH1MtyBYIPW99xl&#10;+7uQVSn/N6h+AFBLAwQUAAAACACHTuJAx58ujfIBAADfAwAADgAAAGRycy9lMm9Eb2MueG1srVPN&#10;jtMwEL4j8Q6W7zRppV1o1HQPW5YLgkrAA0xtJ7HkP3ncpn0WXoMTFx5nX4Ox021hueyBHJyx5/M3&#10;M9+MV3dHa9hBRdTetXw+qzlTTnipXd/yb18f3rzjDBM4CcY71fKTQn63fv1qNYZGLfzgjVSREYnD&#10;ZgwtH1IKTVWhGJQFnPmgHDk7Hy0k2sa+khFGYremWtT1bTX6KEP0QiHS6WZy8jNjfAmh7zot1MaL&#10;vVUuTaxRGUhUEg46IF+XbLtOifS561AlZlpOlaayUhCyd3mt1ito+ghh0OKcArwkhWc1WdCOgl6o&#10;NpCA7aP+h8pqET36Ls2Et9VUSFGEqpjXz7T5MkBQpRaSGsNFdPx/tOLTYRuZljQJywVnDiy1/PH7&#10;j8efv9iyyDMGbAh177aRxMo7DNuYaz120eY/VcGORdLTRVJ1TEzQ4dvbul7ecCaeXNX1XoiYPihv&#10;WTZabrTLxUIDh4+YKBZBnyD52Dg2tnx5s8h0QJPXUcfJtIGyR9eXu+iNlg/amHwDY7+7N5EdIHe/&#10;fLnhxPsXLAfZAA4TrrimuRgUyPdOsnQKpIqj58BzClZJzoyi15OtMkEJtLkiU9TgejOh0Z7Bpj8H&#10;N45yuAqZrZ2XJ+rDPkTdD6TFvECzh/peMj7PaB6sP/eF6fou17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iLOQ+tgAAAAJAQAADwAAAAAAAAABACAAAAAiAAAAZHJzL2Rvd25yZXYueG1sUEsBAhQA&#10;FAAAAAgAh07iQMefLo3yAQAA3wMAAA4AAAAAAAAAAQAgAAAAJwEAAGRycy9lMm9Eb2MueG1sUEsF&#10;BgAAAAAGAAYAWQEAAIsFAAAAAA==&#10;">
                      <v:fill on="f" focussize="0,0"/>
                      <v:stroke color="#000000" joinstyle="round" endarrow="block" endarrowwidth="narrow" endarrowlength="long"/>
                      <v:imagedata o:title=""/>
                      <o:lock v:ext="edit" aspectratio="f"/>
                    </v:line>
                  </w:pict>
                </mc:Fallback>
              </mc:AlternateContent>
            </w:r>
          </w:p>
          <w:p>
            <w:pPr>
              <w:spacing w:line="240" w:lineRule="auto"/>
              <w:jc w:val="center"/>
              <w:rPr>
                <w:rFonts w:hint="default" w:ascii="Times New Roman" w:hAnsi="Times New Roman" w:cs="Times New Roman"/>
                <w:b/>
                <w:bCs/>
                <w:color w:val="auto"/>
                <w:szCs w:val="24"/>
                <w:u w:val="single"/>
              </w:rPr>
            </w:pPr>
            <w:r>
              <w:rPr>
                <w:b/>
                <w:bCs/>
                <w:color w:val="auto"/>
                <w:szCs w:val="24"/>
                <w:u w:val="single"/>
              </w:rPr>
              <w:t>图2-</w:t>
            </w:r>
            <w:r>
              <w:rPr>
                <w:rFonts w:hint="eastAsia"/>
                <w:b/>
                <w:bCs/>
                <w:color w:val="auto"/>
                <w:szCs w:val="24"/>
                <w:u w:val="single"/>
                <w:lang w:val="en-US" w:eastAsia="zh-CN"/>
              </w:rPr>
              <w:t>3</w:t>
            </w:r>
            <w:r>
              <w:rPr>
                <w:b/>
                <w:bCs/>
                <w:color w:val="auto"/>
                <w:szCs w:val="24"/>
                <w:u w:val="single"/>
              </w:rPr>
              <w:t xml:space="preserve">  本项目水平衡图t/a</w:t>
            </w:r>
          </w:p>
          <w:p>
            <w:pPr>
              <w:spacing w:line="240" w:lineRule="auto"/>
              <w:jc w:val="both"/>
              <w:rPr>
                <w:rFonts w:hint="default" w:ascii="Times New Roman" w:hAnsi="Times New Roman" w:cs="Times New Roman"/>
                <w:b/>
                <w:bCs/>
                <w:color w:val="FF0000"/>
                <w:szCs w:val="24"/>
                <w:u w:val="single"/>
              </w:rPr>
            </w:pPr>
          </w:p>
          <w:p>
            <w:pPr>
              <w:spacing w:line="360" w:lineRule="auto"/>
              <w:ind w:firstLine="480" w:firstLineChars="200"/>
              <w:rPr>
                <w:color w:val="auto"/>
                <w:szCs w:val="24"/>
              </w:rPr>
            </w:pPr>
            <w:r>
              <w:rPr>
                <w:color w:val="auto"/>
                <w:szCs w:val="24"/>
              </w:rPr>
              <w:t>项目</w:t>
            </w:r>
            <w:r>
              <w:rPr>
                <w:rFonts w:hint="eastAsia"/>
                <w:color w:val="auto"/>
                <w:szCs w:val="24"/>
                <w:lang w:val="en-US" w:eastAsia="zh-CN"/>
              </w:rPr>
              <w:t>VOCs</w:t>
            </w:r>
            <w:r>
              <w:rPr>
                <w:color w:val="auto"/>
                <w:szCs w:val="24"/>
              </w:rPr>
              <w:t>平衡</w:t>
            </w:r>
            <w:r>
              <w:rPr>
                <w:rFonts w:hint="eastAsia"/>
                <w:color w:val="auto"/>
                <w:szCs w:val="24"/>
                <w:lang w:val="en-US" w:eastAsia="zh-CN"/>
              </w:rPr>
              <w:t>见表</w:t>
            </w:r>
            <w:r>
              <w:rPr>
                <w:color w:val="auto"/>
                <w:szCs w:val="24"/>
              </w:rPr>
              <w:t>2-</w:t>
            </w:r>
            <w:r>
              <w:rPr>
                <w:rFonts w:hint="eastAsia"/>
                <w:color w:val="auto"/>
                <w:szCs w:val="24"/>
                <w:lang w:val="en-US" w:eastAsia="zh-CN"/>
              </w:rPr>
              <w:t>11</w:t>
            </w:r>
            <w:r>
              <w:rPr>
                <w:color w:val="auto"/>
                <w:szCs w:val="24"/>
              </w:rPr>
              <w:t>。</w:t>
            </w:r>
          </w:p>
          <w:p>
            <w:pPr>
              <w:pStyle w:val="166"/>
              <w:rPr>
                <w:rFonts w:hint="eastAsia" w:eastAsia="宋体"/>
                <w:color w:val="auto"/>
                <w:sz w:val="24"/>
                <w:szCs w:val="24"/>
                <w:lang w:val="en-US" w:eastAsia="zh-CN"/>
              </w:rPr>
            </w:pPr>
            <w:r>
              <w:rPr>
                <w:rFonts w:hint="eastAsia" w:eastAsia="宋体"/>
                <w:color w:val="auto"/>
                <w:sz w:val="24"/>
                <w:szCs w:val="24"/>
                <w:lang w:val="en-US" w:eastAsia="zh-CN"/>
              </w:rPr>
              <w:t>表2-11  VOCs平衡表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5"/>
              <w:gridCol w:w="1800"/>
              <w:gridCol w:w="2093"/>
              <w:gridCol w:w="16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585" w:type="dxa"/>
                  <w:gridSpan w:val="2"/>
                  <w:vAlign w:val="center"/>
                </w:tcPr>
                <w:p>
                  <w:pPr>
                    <w:spacing w:line="270" w:lineRule="exact"/>
                    <w:jc w:val="center"/>
                    <w:rPr>
                      <w:rFonts w:ascii="Times New Roman" w:hAnsi="Times New Roman" w:cs="Times New Roman"/>
                      <w:b/>
                      <w:bCs/>
                      <w:color w:val="auto"/>
                      <w:sz w:val="21"/>
                      <w:szCs w:val="21"/>
                    </w:rPr>
                  </w:pPr>
                  <w:r>
                    <w:rPr>
                      <w:rFonts w:hint="eastAsia" w:ascii="Times New Roman" w:hAnsi="Times New Roman" w:cs="Times New Roman"/>
                      <w:b/>
                      <w:bCs/>
                      <w:color w:val="auto"/>
                      <w:sz w:val="21"/>
                      <w:szCs w:val="21"/>
                      <w:lang w:val="en-US" w:eastAsia="zh-CN"/>
                    </w:rPr>
                    <w:t>VOCs产生</w:t>
                  </w:r>
                  <w:r>
                    <w:rPr>
                      <w:rFonts w:hint="eastAsia" w:ascii="Times New Roman" w:hAnsi="Times New Roman" w:cs="Times New Roman"/>
                      <w:b/>
                      <w:bCs/>
                      <w:color w:val="auto"/>
                      <w:sz w:val="21"/>
                      <w:szCs w:val="21"/>
                    </w:rPr>
                    <w:t>情况</w:t>
                  </w:r>
                </w:p>
              </w:tc>
              <w:tc>
                <w:tcPr>
                  <w:tcW w:w="3785" w:type="dxa"/>
                  <w:gridSpan w:val="2"/>
                  <w:vAlign w:val="center"/>
                </w:tcPr>
                <w:p>
                  <w:pPr>
                    <w:spacing w:line="270" w:lineRule="exact"/>
                    <w:jc w:val="center"/>
                    <w:rPr>
                      <w:rFonts w:ascii="Times New Roman" w:hAnsi="Times New Roman" w:cs="Times New Roman"/>
                      <w:b/>
                      <w:bCs/>
                      <w:color w:val="auto"/>
                      <w:sz w:val="21"/>
                      <w:szCs w:val="21"/>
                    </w:rPr>
                  </w:pPr>
                  <w:r>
                    <w:rPr>
                      <w:rFonts w:hint="eastAsia" w:ascii="Times New Roman" w:hAnsi="Times New Roman" w:cs="Times New Roman"/>
                      <w:b/>
                      <w:bCs/>
                      <w:color w:val="auto"/>
                      <w:sz w:val="21"/>
                      <w:szCs w:val="21"/>
                      <w:lang w:val="en-US" w:eastAsia="zh-CN"/>
                    </w:rPr>
                    <w:t>VOCs</w:t>
                  </w:r>
                  <w:r>
                    <w:rPr>
                      <w:rFonts w:hint="eastAsia" w:ascii="Times New Roman" w:hAnsi="Times New Roman" w:cs="Times New Roman"/>
                      <w:b/>
                      <w:bCs/>
                      <w:color w:val="auto"/>
                      <w:sz w:val="21"/>
                      <w:szCs w:val="21"/>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Align w:val="center"/>
                </w:tcPr>
                <w:p>
                  <w:pPr>
                    <w:spacing w:line="27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投入源</w:t>
                  </w:r>
                </w:p>
              </w:tc>
              <w:tc>
                <w:tcPr>
                  <w:tcW w:w="1800" w:type="dxa"/>
                  <w:vAlign w:val="center"/>
                </w:tcPr>
                <w:p>
                  <w:pPr>
                    <w:spacing w:line="27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产生</w:t>
                  </w:r>
                  <w:r>
                    <w:rPr>
                      <w:rFonts w:hint="eastAsia" w:ascii="Times New Roman" w:hAnsi="Times New Roman" w:cs="Times New Roman"/>
                      <w:color w:val="auto"/>
                      <w:sz w:val="21"/>
                      <w:szCs w:val="21"/>
                    </w:rPr>
                    <w:t>量（t/a）</w:t>
                  </w:r>
                </w:p>
              </w:tc>
              <w:tc>
                <w:tcPr>
                  <w:tcW w:w="2093" w:type="dxa"/>
                  <w:vAlign w:val="center"/>
                </w:tcPr>
                <w:p>
                  <w:pPr>
                    <w:spacing w:line="27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消耗去向</w:t>
                  </w:r>
                </w:p>
              </w:tc>
              <w:tc>
                <w:tcPr>
                  <w:tcW w:w="1692" w:type="dxa"/>
                  <w:vAlign w:val="center"/>
                </w:tcPr>
                <w:p>
                  <w:pPr>
                    <w:spacing w:line="27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消耗量（t/a）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Merge w:val="restart"/>
                  <w:vAlign w:val="center"/>
                </w:tcPr>
                <w:p>
                  <w:pPr>
                    <w:spacing w:line="27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涂料</w:t>
                  </w:r>
                </w:p>
              </w:tc>
              <w:tc>
                <w:tcPr>
                  <w:tcW w:w="1800" w:type="dxa"/>
                  <w:vMerge w:val="restart"/>
                  <w:vAlign w:val="center"/>
                </w:tcPr>
                <w:p>
                  <w:pPr>
                    <w:spacing w:line="270" w:lineRule="exact"/>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w:t>
                  </w:r>
                </w:p>
              </w:tc>
              <w:tc>
                <w:tcPr>
                  <w:tcW w:w="2093" w:type="dxa"/>
                  <w:vAlign w:val="center"/>
                </w:tcPr>
                <w:p>
                  <w:pPr>
                    <w:spacing w:line="270" w:lineRule="exact"/>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有组织排放</w:t>
                  </w:r>
                </w:p>
              </w:tc>
              <w:tc>
                <w:tcPr>
                  <w:tcW w:w="1692" w:type="dxa"/>
                  <w:vAlign w:val="center"/>
                </w:tcPr>
                <w:p>
                  <w:pPr>
                    <w:spacing w:line="270" w:lineRule="exact"/>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0.414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Merge w:val="continue"/>
                  <w:vAlign w:val="center"/>
                </w:tcPr>
                <w:p>
                  <w:pPr>
                    <w:spacing w:line="270" w:lineRule="exact"/>
                    <w:jc w:val="center"/>
                    <w:rPr>
                      <w:rFonts w:ascii="Times New Roman" w:hAnsi="Times New Roman" w:cs="Times New Roman"/>
                      <w:color w:val="auto"/>
                      <w:sz w:val="21"/>
                      <w:szCs w:val="21"/>
                    </w:rPr>
                  </w:pPr>
                </w:p>
              </w:tc>
              <w:tc>
                <w:tcPr>
                  <w:tcW w:w="1800" w:type="dxa"/>
                  <w:vMerge w:val="continue"/>
                  <w:vAlign w:val="center"/>
                </w:tcPr>
                <w:p>
                  <w:pPr>
                    <w:spacing w:line="270" w:lineRule="exact"/>
                    <w:jc w:val="center"/>
                    <w:rPr>
                      <w:rFonts w:ascii="Times New Roman" w:hAnsi="Times New Roman" w:cs="Times New Roman"/>
                      <w:color w:val="auto"/>
                      <w:sz w:val="21"/>
                      <w:szCs w:val="21"/>
                    </w:rPr>
                  </w:pPr>
                </w:p>
              </w:tc>
              <w:tc>
                <w:tcPr>
                  <w:tcW w:w="2093" w:type="dxa"/>
                  <w:vAlign w:val="center"/>
                </w:tcPr>
                <w:p>
                  <w:pPr>
                    <w:spacing w:line="270" w:lineRule="exact"/>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无组织排放</w:t>
                  </w:r>
                </w:p>
              </w:tc>
              <w:tc>
                <w:tcPr>
                  <w:tcW w:w="1692" w:type="dxa"/>
                  <w:vAlign w:val="center"/>
                </w:tcPr>
                <w:p>
                  <w:pPr>
                    <w:spacing w:line="270" w:lineRule="exact"/>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Merge w:val="continue"/>
                  <w:vAlign w:val="center"/>
                </w:tcPr>
                <w:p>
                  <w:pPr>
                    <w:spacing w:line="270" w:lineRule="exact"/>
                    <w:jc w:val="center"/>
                    <w:rPr>
                      <w:rFonts w:ascii="Times New Roman" w:hAnsi="Times New Roman" w:cs="Times New Roman"/>
                      <w:color w:val="auto"/>
                      <w:sz w:val="21"/>
                      <w:szCs w:val="21"/>
                    </w:rPr>
                  </w:pPr>
                </w:p>
              </w:tc>
              <w:tc>
                <w:tcPr>
                  <w:tcW w:w="1800" w:type="dxa"/>
                  <w:vMerge w:val="continue"/>
                  <w:vAlign w:val="center"/>
                </w:tcPr>
                <w:p>
                  <w:pPr>
                    <w:spacing w:line="270" w:lineRule="exact"/>
                    <w:jc w:val="center"/>
                    <w:rPr>
                      <w:rFonts w:ascii="Times New Roman" w:hAnsi="Times New Roman" w:cs="Times New Roman"/>
                      <w:color w:val="auto"/>
                      <w:sz w:val="21"/>
                      <w:szCs w:val="21"/>
                    </w:rPr>
                  </w:pPr>
                </w:p>
              </w:tc>
              <w:tc>
                <w:tcPr>
                  <w:tcW w:w="2093" w:type="dxa"/>
                  <w:vAlign w:val="center"/>
                </w:tcPr>
                <w:p>
                  <w:pPr>
                    <w:spacing w:line="270" w:lineRule="exact"/>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活性炭吸附</w:t>
                  </w:r>
                </w:p>
              </w:tc>
              <w:tc>
                <w:tcPr>
                  <w:tcW w:w="1692" w:type="dxa"/>
                  <w:vAlign w:val="center"/>
                </w:tcPr>
                <w:p>
                  <w:pPr>
                    <w:spacing w:line="270" w:lineRule="exact"/>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1.386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Merge w:val="restart"/>
                  <w:vAlign w:val="center"/>
                </w:tcPr>
                <w:p>
                  <w:pPr>
                    <w:spacing w:line="270" w:lineRule="exact"/>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塑粉</w:t>
                  </w:r>
                </w:p>
              </w:tc>
              <w:tc>
                <w:tcPr>
                  <w:tcW w:w="1800" w:type="dxa"/>
                  <w:vMerge w:val="restart"/>
                  <w:vAlign w:val="center"/>
                </w:tcPr>
                <w:p>
                  <w:pPr>
                    <w:spacing w:line="27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0.252</w:t>
                  </w:r>
                </w:p>
              </w:tc>
              <w:tc>
                <w:tcPr>
                  <w:tcW w:w="2093" w:type="dxa"/>
                  <w:vAlign w:val="center"/>
                </w:tcPr>
                <w:p>
                  <w:pPr>
                    <w:spacing w:line="270" w:lineRule="exact"/>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有组织排放</w:t>
                  </w:r>
                </w:p>
              </w:tc>
              <w:tc>
                <w:tcPr>
                  <w:tcW w:w="1692" w:type="dxa"/>
                  <w:vAlign w:val="center"/>
                </w:tcPr>
                <w:p>
                  <w:pPr>
                    <w:spacing w:line="270" w:lineRule="exact"/>
                    <w:jc w:val="center"/>
                    <w:rPr>
                      <w:rFonts w:hint="default"/>
                      <w:color w:val="auto"/>
                      <w:sz w:val="21"/>
                      <w:szCs w:val="21"/>
                      <w:lang w:val="en-US" w:eastAsia="zh-CN"/>
                    </w:rPr>
                  </w:pPr>
                  <w:r>
                    <w:rPr>
                      <w:rFonts w:hint="eastAsia"/>
                      <w:color w:val="auto"/>
                      <w:sz w:val="21"/>
                      <w:szCs w:val="21"/>
                      <w:lang w:val="en-US" w:eastAsia="zh-CN"/>
                    </w:rPr>
                    <w:t>0.084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Merge w:val="continue"/>
                  <w:vAlign w:val="center"/>
                </w:tcPr>
                <w:p>
                  <w:pPr>
                    <w:spacing w:line="270" w:lineRule="exact"/>
                    <w:jc w:val="center"/>
                    <w:rPr>
                      <w:rFonts w:hint="eastAsia" w:cs="Times New Roman"/>
                      <w:color w:val="auto"/>
                      <w:sz w:val="21"/>
                      <w:szCs w:val="21"/>
                      <w:lang w:val="en-US" w:eastAsia="zh-CN"/>
                    </w:rPr>
                  </w:pPr>
                </w:p>
              </w:tc>
              <w:tc>
                <w:tcPr>
                  <w:tcW w:w="1800" w:type="dxa"/>
                  <w:vMerge w:val="continue"/>
                  <w:vAlign w:val="center"/>
                </w:tcPr>
                <w:p>
                  <w:pPr>
                    <w:spacing w:line="270" w:lineRule="exact"/>
                    <w:jc w:val="center"/>
                    <w:rPr>
                      <w:rFonts w:ascii="Times New Roman" w:hAnsi="Times New Roman" w:cs="Times New Roman"/>
                      <w:color w:val="auto"/>
                      <w:sz w:val="21"/>
                      <w:szCs w:val="21"/>
                    </w:rPr>
                  </w:pPr>
                </w:p>
              </w:tc>
              <w:tc>
                <w:tcPr>
                  <w:tcW w:w="2093" w:type="dxa"/>
                  <w:vAlign w:val="center"/>
                </w:tcPr>
                <w:p>
                  <w:pPr>
                    <w:spacing w:line="270" w:lineRule="exact"/>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无组织排放</w:t>
                  </w:r>
                </w:p>
              </w:tc>
              <w:tc>
                <w:tcPr>
                  <w:tcW w:w="1692" w:type="dxa"/>
                  <w:vAlign w:val="center"/>
                </w:tcPr>
                <w:p>
                  <w:pPr>
                    <w:spacing w:line="270" w:lineRule="exact"/>
                    <w:jc w:val="center"/>
                    <w:rPr>
                      <w:rFonts w:hint="default"/>
                      <w:color w:val="auto"/>
                      <w:sz w:val="21"/>
                      <w:szCs w:val="21"/>
                      <w:lang w:val="en-US" w:eastAsia="zh-CN"/>
                    </w:rPr>
                  </w:pPr>
                  <w:r>
                    <w:rPr>
                      <w:rFonts w:hint="eastAsia"/>
                      <w:color w:val="auto"/>
                      <w:sz w:val="21"/>
                      <w:szCs w:val="21"/>
                      <w:lang w:val="en-US" w:eastAsia="zh-CN"/>
                    </w:rPr>
                    <w:t>0.012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Merge w:val="continue"/>
                  <w:vAlign w:val="center"/>
                </w:tcPr>
                <w:p>
                  <w:pPr>
                    <w:spacing w:line="270" w:lineRule="exact"/>
                    <w:jc w:val="center"/>
                    <w:rPr>
                      <w:rFonts w:hint="eastAsia" w:cs="Times New Roman"/>
                      <w:color w:val="auto"/>
                      <w:sz w:val="21"/>
                      <w:szCs w:val="21"/>
                      <w:lang w:val="en-US" w:eastAsia="zh-CN"/>
                    </w:rPr>
                  </w:pPr>
                </w:p>
              </w:tc>
              <w:tc>
                <w:tcPr>
                  <w:tcW w:w="1800" w:type="dxa"/>
                  <w:vMerge w:val="continue"/>
                  <w:vAlign w:val="center"/>
                </w:tcPr>
                <w:p>
                  <w:pPr>
                    <w:spacing w:line="270" w:lineRule="exact"/>
                    <w:jc w:val="center"/>
                    <w:rPr>
                      <w:rFonts w:ascii="Times New Roman" w:hAnsi="Times New Roman" w:cs="Times New Roman"/>
                      <w:color w:val="auto"/>
                      <w:sz w:val="21"/>
                      <w:szCs w:val="21"/>
                    </w:rPr>
                  </w:pPr>
                </w:p>
              </w:tc>
              <w:tc>
                <w:tcPr>
                  <w:tcW w:w="2093" w:type="dxa"/>
                  <w:vAlign w:val="center"/>
                </w:tcPr>
                <w:p>
                  <w:pPr>
                    <w:spacing w:line="270" w:lineRule="exact"/>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活性炭吸附</w:t>
                  </w:r>
                </w:p>
              </w:tc>
              <w:tc>
                <w:tcPr>
                  <w:tcW w:w="1692" w:type="dxa"/>
                  <w:vAlign w:val="center"/>
                </w:tcPr>
                <w:p>
                  <w:pPr>
                    <w:spacing w:line="270" w:lineRule="exact"/>
                    <w:jc w:val="center"/>
                    <w:rPr>
                      <w:rFonts w:hint="default"/>
                      <w:color w:val="auto"/>
                      <w:sz w:val="21"/>
                      <w:szCs w:val="21"/>
                      <w:lang w:val="en-US" w:eastAsia="zh-CN"/>
                    </w:rPr>
                  </w:pPr>
                  <w:r>
                    <w:rPr>
                      <w:rFonts w:hint="eastAsia"/>
                      <w:color w:val="auto"/>
                      <w:sz w:val="21"/>
                      <w:szCs w:val="21"/>
                      <w:lang w:val="en-US" w:eastAsia="zh-CN"/>
                    </w:rPr>
                    <w:t>0.156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785" w:type="dxa"/>
                  <w:vAlign w:val="center"/>
                </w:tcPr>
                <w:p>
                  <w:pPr>
                    <w:spacing w:line="27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合计</w:t>
                  </w:r>
                </w:p>
              </w:tc>
              <w:tc>
                <w:tcPr>
                  <w:tcW w:w="1800" w:type="dxa"/>
                  <w:vAlign w:val="center"/>
                </w:tcPr>
                <w:p>
                  <w:pPr>
                    <w:spacing w:line="27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2.252</w:t>
                  </w:r>
                </w:p>
              </w:tc>
              <w:tc>
                <w:tcPr>
                  <w:tcW w:w="2093" w:type="dxa"/>
                  <w:vAlign w:val="center"/>
                </w:tcPr>
                <w:p>
                  <w:pPr>
                    <w:spacing w:line="270" w:lineRule="exact"/>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合计</w:t>
                  </w:r>
                </w:p>
              </w:tc>
              <w:tc>
                <w:tcPr>
                  <w:tcW w:w="1692" w:type="dxa"/>
                  <w:vAlign w:val="center"/>
                </w:tcPr>
                <w:p>
                  <w:pPr>
                    <w:spacing w:line="27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2.252</w:t>
                  </w:r>
                </w:p>
              </w:tc>
            </w:tr>
          </w:tbl>
          <w:p>
            <w:pPr>
              <w:pStyle w:val="14"/>
              <w:keepNext w:val="0"/>
              <w:keepLines w:val="0"/>
              <w:pageBreakBefore w:val="0"/>
              <w:widowControl/>
              <w:kinsoku/>
              <w:wordWrap/>
              <w:overflowPunct/>
              <w:topLinePunct w:val="0"/>
              <w:autoSpaceDE/>
              <w:autoSpaceDN/>
              <w:bidi w:val="0"/>
              <w:adjustRightInd/>
              <w:snapToGrid w:val="0"/>
              <w:spacing w:line="40" w:lineRule="exact"/>
              <w:ind w:right="113"/>
              <w:textAlignment w:val="auto"/>
              <w:rPr>
                <w:rFonts w:hint="default" w:ascii="Times New Roman" w:hAnsi="Times New Roman" w:cs="Times New Roman"/>
                <w:b/>
                <w:bCs/>
                <w:color w:val="FF0000"/>
                <w:szCs w:val="24"/>
                <w:u w:val="single"/>
              </w:rPr>
            </w:pPr>
          </w:p>
          <w:p>
            <w:pPr>
              <w:keepNext w:val="0"/>
              <w:keepLines w:val="0"/>
              <w:pageBreakBefore w:val="0"/>
              <w:widowControl w:val="0"/>
              <w:kinsoku/>
              <w:wordWrap/>
              <w:overflowPunct/>
              <w:topLinePunct w:val="0"/>
              <w:autoSpaceDE/>
              <w:autoSpaceDN/>
              <w:bidi w:val="0"/>
              <w:adjustRightInd/>
              <w:snapToGrid/>
              <w:spacing w:line="160" w:lineRule="exact"/>
              <w:textAlignment w:val="auto"/>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09"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工艺流程和排污环节</w:t>
            </w:r>
          </w:p>
        </w:tc>
        <w:tc>
          <w:tcPr>
            <w:tcW w:w="7656" w:type="dxa"/>
            <w:vAlign w:val="center"/>
          </w:tcPr>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w:t>
            </w:r>
            <w:r>
              <w:rPr>
                <w:rFonts w:hint="eastAsia" w:cs="Times New Roman"/>
                <w:b/>
                <w:color w:val="auto"/>
                <w:szCs w:val="24"/>
                <w:lang w:val="en-US" w:eastAsia="zh-CN"/>
              </w:rPr>
              <w:t>10</w:t>
            </w:r>
            <w:r>
              <w:rPr>
                <w:rFonts w:hint="default" w:ascii="Times New Roman" w:hAnsi="Times New Roman" w:cs="Times New Roman"/>
                <w:b/>
                <w:color w:val="auto"/>
                <w:szCs w:val="24"/>
              </w:rPr>
              <w:t>生产工艺流程</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本项目生产工艺流程见下图：</w: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u w:val="single"/>
              </w:rPr>
              <mc:AlternateContent>
                <mc:Choice Requires="wps">
                  <w:drawing>
                    <wp:anchor distT="0" distB="0" distL="114300" distR="114300" simplePos="0" relativeHeight="251670528" behindDoc="0" locked="0" layoutInCell="1" allowOverlap="1">
                      <wp:simplePos x="0" y="0"/>
                      <wp:positionH relativeFrom="column">
                        <wp:posOffset>1784985</wp:posOffset>
                      </wp:positionH>
                      <wp:positionV relativeFrom="paragraph">
                        <wp:posOffset>48260</wp:posOffset>
                      </wp:positionV>
                      <wp:extent cx="949325" cy="502920"/>
                      <wp:effectExtent l="0" t="0" r="3175" b="5080"/>
                      <wp:wrapNone/>
                      <wp:docPr id="7" name="矩形 140"/>
                      <wp:cNvGraphicFramePr/>
                      <a:graphic xmlns:a="http://schemas.openxmlformats.org/drawingml/2006/main">
                        <a:graphicData uri="http://schemas.microsoft.com/office/word/2010/wordprocessingShape">
                          <wps:wsp>
                            <wps:cNvSpPr/>
                            <wps:spPr>
                              <a:xfrm>
                                <a:off x="0" y="0"/>
                                <a:ext cx="949325" cy="502920"/>
                              </a:xfrm>
                              <a:prstGeom prst="rect">
                                <a:avLst/>
                              </a:prstGeom>
                              <a:solidFill>
                                <a:srgbClr val="FFFFFF"/>
                              </a:solidFill>
                              <a:ln w="9525" cap="flat" cmpd="sng">
                                <a:noFill/>
                                <a:prstDash val="solid"/>
                                <a:miter/>
                                <a:headEnd type="none" w="med" len="med"/>
                                <a:tailEnd type="none" w="sm" len="lg"/>
                              </a:ln>
                            </wps:spPr>
                            <wps:txbx>
                              <w:txbxContent>
                                <w:p>
                                  <w:pPr>
                                    <w:jc w:val="center"/>
                                    <w:rPr>
                                      <w:rFonts w:hint="default" w:eastAsia="宋体"/>
                                      <w:b/>
                                      <w:bCs/>
                                      <w:sz w:val="21"/>
                                      <w:szCs w:val="21"/>
                                      <w:lang w:val="en-US" w:eastAsia="zh-CN"/>
                                    </w:rPr>
                                  </w:pPr>
                                  <w:r>
                                    <w:rPr>
                                      <w:rFonts w:hint="eastAsia"/>
                                      <w:b/>
                                      <w:bCs/>
                                      <w:sz w:val="21"/>
                                      <w:szCs w:val="21"/>
                                      <w:lang w:val="en-US" w:eastAsia="zh-CN"/>
                                    </w:rPr>
                                    <w:t>自产的螺旋埋弧焊管</w:t>
                                  </w:r>
                                </w:p>
                              </w:txbxContent>
                            </wps:txbx>
                            <wps:bodyPr upright="1"/>
                          </wps:wsp>
                        </a:graphicData>
                      </a:graphic>
                    </wp:anchor>
                  </w:drawing>
                </mc:Choice>
                <mc:Fallback>
                  <w:pict>
                    <v:rect id="矩形 140" o:spid="_x0000_s1026" o:spt="1" style="position:absolute;left:0pt;margin-left:140.55pt;margin-top:3.8pt;height:39.6pt;width:74.75pt;z-index:251670528;mso-width-relative:page;mso-height-relative:page;" fillcolor="#FFFFFF" filled="t" stroked="f" coordsize="21600,21600" o:gfxdata="UEsDBAoAAAAAAIdO4kAAAAAAAAAAAAAAAAAEAAAAZHJzL1BLAwQUAAAACACHTuJAH1GYI9kAAAAI&#10;AQAADwAAAGRycy9kb3ducmV2LnhtbE2PwU7DMBBE70j8g7VI3KidUoUQsqkECAEXpLYc6M2NlzgQ&#10;r6PYaQtfjznBbVYzmnlbLY+uF3saQ+cZIZspEMSNNx23CK+bh4sCRIiaje49E8IXBVjWpyeVLo0/&#10;8Ir269iKVMKh1Ag2xqGUMjSWnA4zPxAn792PTsd0jq00oz6kctfLuVK5dLrjtGD1QHeWms/15BBo&#10;enu63Txunyf/sr1WdvExru6/Ec/PMnUDItIx/oXhFz+hQ52Ydn5iE0SPMC+yLEURrnIQyV9cqiR2&#10;CEVegKwr+f+B+gdQSwMEFAAAAAgAh07iQKCGcn0BAgAA/wMAAA4AAABkcnMvZTJvRG9jLnhtbK1T&#10;S44TMRDdI3EHy3vSSZgAaaUzC0LYIBhp4AAV291tyT+5nHTnNEjsOATHQVyDshMSGFjMgl64q+zy&#10;q3qvyqvb0Rp2UBG1dw2fTaacKSe81K5r+KeP22evOMMEToLxTjX8qJDfrp8+WQ2hVnPfeyNVZATi&#10;sB5Cw/uUQl1VKHplASc+KEeHrY8WErmxq2SEgdCtqebT6Ytq8FGG6IVCpN3N6ZCfEeNjAH3baqE2&#10;XuytcumEGpWBRJSw1wH5ulTbtkqkD22LKjHTcGKaykpJyN7ltVqvoO4ihF6LcwnwmBIecLKgHSW9&#10;QG0gAdtH/ReU1SJ69G2aCG+rE5GiCLGYTR9oc99DUIULSY3hIjr+P1jx/nAXmZYNf8mZA0sN//H5&#10;6/dvX9jspqgzBKwp6D7cRdIqe0hmpjq20eY/kWBjUfR4UVSNiQnaXN4sn88XnAk6Wkzny3nBrK6X&#10;Q8T0VnnLstHwSA0rOsLhHSZKSKG/QnIu9EbLrTamOLHbvTaRHYCauy1f7idd+SPMODZQJYtSB9DE&#10;tjQpVJINxBpdV/I5n1HLNOR8G8D+hFugTmNidVJZBKh7BfKNkywdAwnm6J3wnMMqyZlR9KyyVSIT&#10;aPOPSLTnQNOdSzaOKr/Km6007kYCyebOyyP1aR+i7nrSaVZu5ROai0L5PMN58H73C+j13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9RmCPZAAAACAEAAA8AAAAAAAAAAQAgAAAAIgAAAGRycy9k&#10;b3ducmV2LnhtbFBLAQIUABQAAAAIAIdO4kCghnJ9AQIAAP8DAAAOAAAAAAAAAAEAIAAAACgBAABk&#10;cnMvZTJvRG9jLnhtbFBLBQYAAAAABgAGAFkBAACbBQAAAAA=&#10;">
                      <v:fill on="t" focussize="0,0"/>
                      <v:stroke on="f" joinstyle="miter" endarrowwidth="narrow" endarrowlength="long"/>
                      <v:imagedata o:title=""/>
                      <o:lock v:ext="edit" aspectratio="f"/>
                      <v:textbox>
                        <w:txbxContent>
                          <w:p>
                            <w:pPr>
                              <w:jc w:val="center"/>
                              <w:rPr>
                                <w:rFonts w:hint="default" w:eastAsia="宋体"/>
                                <w:b/>
                                <w:bCs/>
                                <w:sz w:val="21"/>
                                <w:szCs w:val="21"/>
                                <w:lang w:val="en-US" w:eastAsia="zh-CN"/>
                              </w:rPr>
                            </w:pPr>
                            <w:r>
                              <w:rPr>
                                <w:rFonts w:hint="eastAsia"/>
                                <w:b/>
                                <w:bCs/>
                                <w:sz w:val="21"/>
                                <w:szCs w:val="21"/>
                                <w:lang w:val="en-US" w:eastAsia="zh-CN"/>
                              </w:rPr>
                              <w:t>自产的螺旋埋弧焊管</w:t>
                            </w:r>
                          </w:p>
                        </w:txbxContent>
                      </v:textbox>
                    </v:rect>
                  </w:pict>
                </mc:Fallback>
              </mc:AlternateContent>
            </w:r>
          </w:p>
          <w:p>
            <w:pPr>
              <w:spacing w:line="360" w:lineRule="auto"/>
              <w:ind w:firstLine="480" w:firstLineChars="200"/>
              <w:rPr>
                <w:rFonts w:hint="default" w:ascii="Times New Roman" w:hAnsi="Times New Roman" w:cs="Times New Roman"/>
                <w:color w:val="auto"/>
                <w:szCs w:val="24"/>
              </w:rPr>
            </w:pP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u w:val="single"/>
              </w:rPr>
              <mc:AlternateContent>
                <mc:Choice Requires="wps">
                  <w:drawing>
                    <wp:anchor distT="0" distB="0" distL="114300" distR="114300" simplePos="0" relativeHeight="251672576" behindDoc="0" locked="0" layoutInCell="1" allowOverlap="1">
                      <wp:simplePos x="0" y="0"/>
                      <wp:positionH relativeFrom="column">
                        <wp:posOffset>2954655</wp:posOffset>
                      </wp:positionH>
                      <wp:positionV relativeFrom="paragraph">
                        <wp:posOffset>233045</wp:posOffset>
                      </wp:positionV>
                      <wp:extent cx="765175" cy="318770"/>
                      <wp:effectExtent l="0" t="0" r="0" b="0"/>
                      <wp:wrapNone/>
                      <wp:docPr id="11" name="矩形 148"/>
                      <wp:cNvGraphicFramePr/>
                      <a:graphic xmlns:a="http://schemas.openxmlformats.org/drawingml/2006/main">
                        <a:graphicData uri="http://schemas.microsoft.com/office/word/2010/wordprocessingShape">
                          <wps:wsp>
                            <wps:cNvSpPr/>
                            <wps:spPr>
                              <a:xfrm>
                                <a:off x="0" y="0"/>
                                <a:ext cx="765175" cy="318770"/>
                              </a:xfrm>
                              <a:prstGeom prst="rect">
                                <a:avLst/>
                              </a:prstGeom>
                              <a:noFill/>
                              <a:ln>
                                <a:noFill/>
                              </a:ln>
                            </wps:spPr>
                            <wps:txbx>
                              <w:txbxContent>
                                <w:p>
                                  <w:pPr>
                                    <w:pStyle w:val="14"/>
                                    <w:keepNext w:val="0"/>
                                    <w:keepLines w:val="0"/>
                                    <w:pageBreakBefore w:val="0"/>
                                    <w:kinsoku/>
                                    <w:wordWrap/>
                                    <w:overflowPunct/>
                                    <w:topLinePunct w:val="0"/>
                                    <w:autoSpaceDE/>
                                    <w:autoSpaceDN/>
                                    <w:bidi w:val="0"/>
                                    <w:adjustRightInd/>
                                    <w:spacing w:line="240" w:lineRule="exact"/>
                                    <w:jc w:val="center"/>
                                    <w:textAlignment w:val="auto"/>
                                    <w:rPr>
                                      <w:rFonts w:hint="default" w:eastAsia="宋体"/>
                                      <w:lang w:val="en-US" w:eastAsia="zh-CN"/>
                                    </w:rPr>
                                  </w:pPr>
                                  <w:r>
                                    <w:rPr>
                                      <w:rFonts w:hint="eastAsia" w:hAnsi="宋体"/>
                                      <w:sz w:val="21"/>
                                      <w:szCs w:val="21"/>
                                      <w:lang w:val="en-US" w:eastAsia="zh-CN"/>
                                    </w:rPr>
                                    <w:t>颗粒物</w:t>
                                  </w:r>
                                </w:p>
                              </w:txbxContent>
                            </wps:txbx>
                            <wps:bodyPr upright="1"/>
                          </wps:wsp>
                        </a:graphicData>
                      </a:graphic>
                    </wp:anchor>
                  </w:drawing>
                </mc:Choice>
                <mc:Fallback>
                  <w:pict>
                    <v:rect id="矩形 148" o:spid="_x0000_s1026" o:spt="1" style="position:absolute;left:0pt;margin-left:232.65pt;margin-top:18.35pt;height:25.1pt;width:60.25pt;z-index:251672576;mso-width-relative:page;mso-height-relative:page;" filled="f" stroked="f" coordsize="21600,21600" o:gfxdata="UEsDBAoAAAAAAIdO4kAAAAAAAAAAAAAAAAAEAAAAZHJzL1BLAwQUAAAACACHTuJA6O5X1tsAAAAJ&#10;AQAADwAAAGRycy9kb3ducmV2LnhtbE2PQUvDQBCF74L/YRnBi9hNrYkxZtJDQSxSKKba8za7JsHs&#10;bJrdJvXfO570OMzHe9/Ll2fbidEMvnWEMJ9FIAxVTrdUI7zvnm9TED4o0qpzZBC+jYdlcXmRq0y7&#10;id7MWIZacAj5TCE0IfSZlL5qjFV+5npD/Pt0g1WBz6GWelATh9tO3kVRIq1qiRsa1ZtVY6qv8mQR&#10;pmo77nebF7m92a8dHdfHVfnxinh9NY+eQARzDn8w/OqzOhTsdHAn0l50CPdJvGAUYZE8gGAgTmPe&#10;ckBIk0eQRS7/Lyh+AFBLAwQUAAAACACHTuJAw31staMBAABDAwAADgAAAGRycy9lMm9Eb2MueG1s&#10;rVJLbtswEN0XyB0I7mtaaRMbguVsjGRTtAHSHoCmKIsAf5ihLfk0BbrrIXqcotfokFacTzdZdEPN&#10;T2/mvZnVzegsO2hAE3zDq9mcM+1VaI3fNfzb19v3S84wSd9KG7xu+FEjv1lfvFsNsdaXoQ+21cAI&#10;xGM9xIb3KcVaCFS9dhJnIWpPyS6Ak4lc2IkW5EDozorL+fxaDAHaCEFpRIpuTkk+IcJbAEPXGaU3&#10;Qe2d9umECtrKRJSwNxH5ukzbdVqlL12HOjHbcGKayktNyN7mV6xXst6BjL1R0wjyLSO84uSk8dT0&#10;DLWRSbI9mH+gnFEQMHRppoITJyJFEWJRzV9p89DLqAsXkhrjWXT8f7Dq8+EemGnpEirOvHS08T/f&#10;f/7+9YNVH5dZniFiTVUP8R4mD8nMXMcOXP4SCzYWSY9nSfWYmKLg4vqqWlxxpij1oVouFkVy8fRz&#10;BEx3OjiWjYYDbawIKQ+fMFFDKn0syb18uDXWlq1Z/yJAhTki8rynCbOVxu04jb0N7ZG47iOYXU+t&#10;qsyulJO2pdF0B3l5z/1S9XT767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Do7lfW2wAAAAkBAAAP&#10;AAAAAAAAAAEAIAAAACIAAABkcnMvZG93bnJldi54bWxQSwECFAAUAAAACACHTuJAw31staMBAABD&#10;AwAADgAAAAAAAAABACAAAAAqAQAAZHJzL2Uyb0RvYy54bWxQSwUGAAAAAAYABgBZAQAAPwUAAAAA&#10;">
                      <v:fill on="f" focussize="0,0"/>
                      <v:stroke on="f"/>
                      <v:imagedata o:title=""/>
                      <o:lock v:ext="edit" aspectratio="f"/>
                      <v:textbox>
                        <w:txbxContent>
                          <w:p>
                            <w:pPr>
                              <w:pStyle w:val="14"/>
                              <w:keepNext w:val="0"/>
                              <w:keepLines w:val="0"/>
                              <w:pageBreakBefore w:val="0"/>
                              <w:kinsoku/>
                              <w:wordWrap/>
                              <w:overflowPunct/>
                              <w:topLinePunct w:val="0"/>
                              <w:autoSpaceDE/>
                              <w:autoSpaceDN/>
                              <w:bidi w:val="0"/>
                              <w:adjustRightInd/>
                              <w:spacing w:line="240" w:lineRule="exact"/>
                              <w:jc w:val="center"/>
                              <w:textAlignment w:val="auto"/>
                              <w:rPr>
                                <w:rFonts w:hint="default" w:eastAsia="宋体"/>
                                <w:lang w:val="en-US" w:eastAsia="zh-CN"/>
                              </w:rPr>
                            </w:pPr>
                            <w:r>
                              <w:rPr>
                                <w:rFonts w:hint="eastAsia" w:hAnsi="宋体"/>
                                <w:sz w:val="21"/>
                                <w:szCs w:val="21"/>
                                <w:lang w:val="en-US" w:eastAsia="zh-CN"/>
                              </w:rPr>
                              <w:t>颗粒物</w:t>
                            </w:r>
                          </w:p>
                        </w:txbxContent>
                      </v:textbox>
                    </v:rect>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671552" behindDoc="0" locked="0" layoutInCell="1" allowOverlap="1">
                      <wp:simplePos x="0" y="0"/>
                      <wp:positionH relativeFrom="column">
                        <wp:posOffset>2653665</wp:posOffset>
                      </wp:positionH>
                      <wp:positionV relativeFrom="paragraph">
                        <wp:posOffset>405765</wp:posOffset>
                      </wp:positionV>
                      <wp:extent cx="378460" cy="4445"/>
                      <wp:effectExtent l="0" t="22225" r="2540" b="24130"/>
                      <wp:wrapNone/>
                      <wp:docPr id="25" name="自选图形 147"/>
                      <wp:cNvGraphicFramePr/>
                      <a:graphic xmlns:a="http://schemas.openxmlformats.org/drawingml/2006/main">
                        <a:graphicData uri="http://schemas.microsoft.com/office/word/2010/wordprocessingShape">
                          <wps:wsp>
                            <wps:cNvCnPr>
                              <a:stCxn id="66" idx="3"/>
                            </wps:cNvCnPr>
                            <wps:spPr>
                              <a:xfrm>
                                <a:off x="0" y="0"/>
                                <a:ext cx="378460" cy="4445"/>
                              </a:xfrm>
                              <a:prstGeom prst="straightConnector1">
                                <a:avLst/>
                              </a:prstGeom>
                              <a:ln w="9525" cap="flat" cmpd="sng">
                                <a:solidFill>
                                  <a:srgbClr val="000000"/>
                                </a:solidFill>
                                <a:prstDash val="dash"/>
                                <a:headEnd type="none" w="med" len="med"/>
                                <a:tailEnd type="triangle" w="sm" len="lg"/>
                              </a:ln>
                            </wps:spPr>
                            <wps:bodyPr/>
                          </wps:wsp>
                        </a:graphicData>
                      </a:graphic>
                    </wp:anchor>
                  </w:drawing>
                </mc:Choice>
                <mc:Fallback>
                  <w:pict>
                    <v:shape id="自选图形 147" o:spid="_x0000_s1026" o:spt="32" type="#_x0000_t32" style="position:absolute;left:0pt;margin-left:208.95pt;margin-top:31.95pt;height:0.35pt;width:29.8pt;z-index:251671552;mso-width-relative:page;mso-height-relative:page;" filled="f" stroked="t" coordsize="21600,21600" o:gfxdata="UEsDBAoAAAAAAIdO4kAAAAAAAAAAAAAAAAAEAAAAZHJzL1BLAwQUAAAACACHTuJAsHua3NgAAAAJ&#10;AQAADwAAAGRycy9kb3ducmV2LnhtbE2PTU/DMAyG70j8h8hIXBBLCqXdStMdQHDgMli3e9a4H1qT&#10;VEm6jX+POcHJsv3o9eNyfTEjO6EPg7MSkoUAhrZxerCdhF39dr8EFqKyWo3OooRvDLCurq9KVWh3&#10;tl942saOUYgNhZLQxzgVnIemR6PCwk1oadc6b1Sk1ndce3WmcDPyByEybtRg6UKvJnzpsTluZyNh&#10;WW/az/q4Enct7t9f549cj95LeXuTiGdgES/xD4ZffVKHipwObrY6sFFCmuQrQiVkj1QJSPP8CdiB&#10;BmkGvCr5/w+qH1BLAwQUAAAACACHTuJAnpCA4BQCAAAQBAAADgAAAGRycy9lMm9Eb2MueG1srVPN&#10;jtMwEL4j8Q6W7zRtabtL1HQPLcsFQSXgAaa2k1jyn2xv0964IZ6BG0fegX2bleAtGDtpl10ueyCH&#10;ZBx/8818n8fLq4NWZC98kNZUdDIaUyIMs1yapqKfPl6/uKQkRDAclDWiokcR6NXq+bNl50oxta1V&#10;XHiCJCaUnatoG6MriyKwVmgII+uEwc3aeg0Rl74puIcO2bUqpuPxouis585bJkLAv5t+kw6M/imE&#10;tq4lExvLbrQwsWf1QkFESaGVLtBV7rauBYvv6zqISFRFUWnMbyyC8S69i9USysaDayUbWoCntPBI&#10;kwZpsOiZagMRyI2X/1BpybwNto4jZnXRC8mOoIrJ+JE3H1pwImtBq4M7mx7+Hy17t996InlFp3NK&#10;DGg88V9ffvz+/PXu2+3dz+9kMrtIJnUulIhdm61PMkNcH0xOWywofg8VfZlgxQNcWgTXZxxqr1Mm&#10;SiaIRv+PZ//FIRKWKC4uZwvcYbg1m83mmRHKU6rzIb4RVpMUVDRED7Jp49oag+ds/SSfAOzfhpha&#10;gfKUkOoqQ7qKvponmQxwbmucFwy1Q+3BNDk3WCX5tVQqa/TNbq082UOanfwMDT2ApSIbCG2P4xgl&#10;FJStAP7acBKPDj01eJdo6kALTokSePVSlJERpLpHRi/BNKpHBz2AVTPUVmZwuTc2Wbyz/Lj1J/dx&#10;ULL4YajTJP69ztn3F3n1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B7mtzYAAAACQEAAA8AAAAA&#10;AAAAAQAgAAAAIgAAAGRycy9kb3ducmV2LnhtbFBLAQIUABQAAAAIAIdO4kCekIDgFAIAABAEAAAO&#10;AAAAAAAAAAEAIAAAACcBAABkcnMvZTJvRG9jLnhtbFBLBQYAAAAABgAGAFkBAACtBQAAAAA=&#10;">
                      <v:fill on="f" focussize="0,0"/>
                      <v:stroke color="#000000" joinstyle="round" dashstyle="dash" endarrow="block" endarrowwidth="narrow" endarrowlength="long"/>
                      <v:imagedata o:title=""/>
                      <o:lock v:ext="edit" aspectratio="f"/>
                    </v:shape>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669504" behindDoc="0" locked="0" layoutInCell="1" allowOverlap="1">
                      <wp:simplePos x="0" y="0"/>
                      <wp:positionH relativeFrom="column">
                        <wp:posOffset>1865630</wp:posOffset>
                      </wp:positionH>
                      <wp:positionV relativeFrom="paragraph">
                        <wp:posOffset>255270</wp:posOffset>
                      </wp:positionV>
                      <wp:extent cx="788035" cy="300990"/>
                      <wp:effectExtent l="5080" t="5080" r="6985" b="11430"/>
                      <wp:wrapNone/>
                      <wp:docPr id="66" name="矩形 140"/>
                      <wp:cNvGraphicFramePr/>
                      <a:graphic xmlns:a="http://schemas.openxmlformats.org/drawingml/2006/main">
                        <a:graphicData uri="http://schemas.microsoft.com/office/word/2010/wordprocessingShape">
                          <wps:wsp>
                            <wps:cNvSpPr/>
                            <wps:spPr>
                              <a:xfrm>
                                <a:off x="0" y="0"/>
                                <a:ext cx="788035"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抛  丸</w:t>
                                  </w:r>
                                </w:p>
                              </w:txbxContent>
                            </wps:txbx>
                            <wps:bodyPr upright="1"/>
                          </wps:wsp>
                        </a:graphicData>
                      </a:graphic>
                    </wp:anchor>
                  </w:drawing>
                </mc:Choice>
                <mc:Fallback>
                  <w:pict>
                    <v:rect id="矩形 140" o:spid="_x0000_s1026" o:spt="1" style="position:absolute;left:0pt;margin-left:146.9pt;margin-top:20.1pt;height:23.7pt;width:62.05pt;z-index:251669504;mso-width-relative:page;mso-height-relative:page;" fillcolor="#FFFFFF" filled="t" stroked="t" coordsize="21600,21600" o:gfxdata="UEsDBAoAAAAAAIdO4kAAAAAAAAAAAAAAAAAEAAAAZHJzL1BLAwQUAAAACACHTuJAwig689kAAAAJ&#10;AQAADwAAAGRycy9kb3ducmV2LnhtbE2PwU7DMBBE70j8g7VI3KidENomZFMJJA4IKmjLgeM2Nkkg&#10;Xkex24a/x5zgOJrRzJtyNdleHM3oO8cIyUyBMFw73XGD8LZ7uFqC8IFYU+/YIHwbD6vq/KykQrsT&#10;b8xxGxoRS9gXhNCGMBRS+ro1lvzMDYaj9+FGSyHKsZF6pFMst71MlZpLSx3HhZYGc9+a+mt7sAif&#10;65ebu8f0OfVa89Mk80zR6zvi5UWibkEEM4W/MPziR3SoItPeHVh70SOk+XVEDwiZSkHEQJYschB7&#10;hOViDrIq5f8H1Q9QSwMEFAAAAAgAh07iQOThfRkJAgAAKQQAAA4AAABkcnMvZTJvRG9jLnhtbK1T&#10;zY7TMBC+I/EOlu80aZctbdR0D5RyQbDSLg/g2k5iyX/yuE36NEjceAgeB/EajN3Q7i572AM5OGN7&#10;5pv5vhmvbgajyUEGUM7WdDopKZGWO6FsW9Ov99s3C0ogMiuYdlbW9CiB3qxfv1r1vpIz1zktZCAI&#10;YqHqfU27GH1VFMA7aRhMnJcWLxsXDIu4DW0hAusR3ehiVpbzondB+OC4BMDTzemSjojhJYCuaRSX&#10;G8f3Rtp4Qg1Ss4iUoFMe6DpX2zSSxy9NAzISXVNkGvOKSdDepbVYr1jVBuY7xccS2EtKeMLJMGUx&#10;6RlqwyIj+6D+gTKKBweuiRPuTHEikhVBFtPyiTZ3HfMyc0GpwZ9Fh/8Hyz8fbgNRoqbzOSWWGez4&#10;728/fv38TqZvszy9hwq97vxtQLHSDtBMXIcmmPRHFmTIkh7PksohEo6H7xaL8uqaEo5XV2W5XGbM&#10;4hLsA8SP0hmSjJoG7FgWkh0+QcSE6PrXJeUCp5XYKq3zJrS79zqQA8PubvOXGoohj9y0JX1Nl9ez&#10;VAfDkW1wVNA0HmmDbXO+RxHwELjM33PAqbANg+5UQEY4DZRRUSa1WNVJJj5YQeLRo7IWXxRNxRgp&#10;KNESH2CysmdkSj/jCWZ01O1YgrZI8dKHZMVhNyBIMndOHLGjex9U26Gg0xyVbnCCsjbjtKcRfbjP&#10;oJcXvv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ig689kAAAAJAQAADwAAAAAAAAABACAAAAAi&#10;AAAAZHJzL2Rvd25yZXYueG1sUEsBAhQAFAAAAAgAh07iQOThfRkJAgAAKQQAAA4AAAAAAAAAAQAg&#10;AAAAKAEAAGRycy9lMm9Eb2MueG1sUEsFBgAAAAAGAAYAWQEAAKMFA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抛  丸</w:t>
                            </w:r>
                          </w:p>
                        </w:txbxContent>
                      </v:textbox>
                    </v:rect>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673600" behindDoc="0" locked="0" layoutInCell="1" allowOverlap="1">
                      <wp:simplePos x="0" y="0"/>
                      <wp:positionH relativeFrom="column">
                        <wp:posOffset>2259965</wp:posOffset>
                      </wp:positionH>
                      <wp:positionV relativeFrom="paragraph">
                        <wp:posOffset>-43180</wp:posOffset>
                      </wp:positionV>
                      <wp:extent cx="0" cy="298450"/>
                      <wp:effectExtent l="25400" t="0" r="25400" b="6350"/>
                      <wp:wrapNone/>
                      <wp:docPr id="22" name="自选图形 147"/>
                      <wp:cNvGraphicFramePr/>
                      <a:graphic xmlns:a="http://schemas.openxmlformats.org/drawingml/2006/main">
                        <a:graphicData uri="http://schemas.microsoft.com/office/word/2010/wordprocessingShape">
                          <wps:wsp>
                            <wps:cNvCnPr>
                              <a:stCxn id="66" idx="0"/>
                              <a:endCxn id="7" idx="2"/>
                            </wps:cNvCnPr>
                            <wps:spPr>
                              <a:xfrm flipV="1">
                                <a:off x="0" y="0"/>
                                <a:ext cx="0" cy="298450"/>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177.95pt;margin-top:-3.4pt;height:23.5pt;width:0pt;z-index:251673600;mso-width-relative:page;mso-height-relative:page;" filled="f" stroked="t" coordsize="21600,21600" o:gfxdata="UEsDBAoAAAAAAIdO4kAAAAAAAAAAAAAAAAAEAAAAZHJzL1BLAwQUAAAACACHTuJAsg8WS9gAAAAJ&#10;AQAADwAAAGRycy9kb3ducmV2LnhtbE2PTU/DMAyG70j8h8hIXNCWtNCpK00nhNhuHBgcOKaNaas1&#10;TtVkH+zX44kDHG0/ev285erkBnHAKfSeNCRzBQKp8banVsPH+3qWgwjRkDWDJ9TwjQFW1fVVaQrr&#10;j/SGh21sBYdQKIyGLsaxkDI0HToT5n5E4tuXn5yJPE6ttJM5crgbZKrUQjrTE3/ozIjPHTa77d5p&#10;OGc7Sp/yOl/nU33e3C1fXz6TqPXtTaIeQUQ8xT8YLvqsDhU71X5PNohBw32WLRnVMFtwBQZ+F7WG&#10;B5WCrEr5v0H1A1BLAwQUAAAACACHTuJArClgnxsCAAAwBAAADgAAAGRycy9lMm9Eb2MueG1srVM7&#10;bhsxEO0D5A4E+2ilhSXbC61cSHGaIBGQT09xyV0C/IFDa6UuXZAzpEuZO8S3MZDcIkOuLDlOChfZ&#10;gktyZh7nPT7Or3ZGk60IoJyt6WQ0pkRY7hpl25p+eH/94oISiMw2TDsraroXQK8Wz5/Ne1+J0nVO&#10;NyIQBLFQ9b6mXYy+KgrgnTAMRs4Li0HpgmERl6EtmsB6RDe6KMfjWdG70PjguADA3dUQpAfE8BRA&#10;J6XiYuX4jRE2DqhBaBaREnTKA13kbqUUPL6VEkQkuqbINOYRD8H5Jo3FYs6qNjDfKX5ogT2lhUec&#10;DFMWDz1CrVhk5Caov6CM4sGBk3HEnSkGIlkRZDEZP9LmXce8yFxQavBH0eH/wfI323UgqqlpWVJi&#10;mcEb//n5+69PX+6+3t79+EYmZ+dJpN5DhblLuw6JJsTlzuay2Yzif3fUUtjmPnR+iJQJoPgDIS3A&#10;D1g7GQyRWvmPaMcsIspCMiLZn3B3kfBhk+NueXlxNs3XV7AqIaSufID4SjhD0qSmEANTbReXzlo0&#10;ggsDOtu+hpg6OhWkYm1JX9PLaTmlhDM0tkRD4dR4FAdsmzsDp1VzrbTOIoR2s9SBbFkyV/4yU5Tn&#10;YVpqZsWgG/JyaLBdJ1jz0jYk7j2qHoNittWCpjbAUKIFvk/dDrmRKX3Ktfgy/5WHlLQ9aD3Im4Te&#10;uGa/Dvd3gEbK3A+mT059uM7Vp4e++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yDxZL2AAAAAkB&#10;AAAPAAAAAAAAAAEAIAAAACIAAABkcnMvZG93bnJldi54bWxQSwECFAAUAAAACACHTuJArClgnxsC&#10;AAAwBAAADgAAAAAAAAABACAAAAAnAQAAZHJzL2Uyb0RvYy54bWxQSwUGAAAAAAYABgBZAQAAtAUA&#10;AAAA&#10;">
                      <v:fill on="f" focussize="0,0"/>
                      <v:stroke color="#000000" joinstyle="round" startarrow="block" startarrowwidth="narrow" startarrowlength="long" endarrowwidth="narrow" endarrowlength="long"/>
                      <v:imagedata o:title=""/>
                      <o:lock v:ext="edit" aspectratio="f"/>
                    </v:shape>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szCs w:val="24"/>
              </w:rPr>
              <mc:AlternateContent>
                <mc:Choice Requires="wps">
                  <w:drawing>
                    <wp:anchor distT="0" distB="0" distL="114300" distR="114300" simplePos="0" relativeHeight="251706368" behindDoc="0" locked="0" layoutInCell="1" allowOverlap="1">
                      <wp:simplePos x="0" y="0"/>
                      <wp:positionH relativeFrom="column">
                        <wp:posOffset>1940560</wp:posOffset>
                      </wp:positionH>
                      <wp:positionV relativeFrom="paragraph">
                        <wp:posOffset>260985</wp:posOffset>
                      </wp:positionV>
                      <wp:extent cx="0" cy="484505"/>
                      <wp:effectExtent l="25400" t="0" r="25400" b="10795"/>
                      <wp:wrapNone/>
                      <wp:docPr id="61" name="自选图形 147"/>
                      <wp:cNvGraphicFramePr/>
                      <a:graphic xmlns:a="http://schemas.openxmlformats.org/drawingml/2006/main">
                        <a:graphicData uri="http://schemas.microsoft.com/office/word/2010/wordprocessingShape">
                          <wps:wsp>
                            <wps:cNvCnPr/>
                            <wps:spPr>
                              <a:xfrm flipV="1">
                                <a:off x="0" y="0"/>
                                <a:ext cx="0" cy="484505"/>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152.8pt;margin-top:20.55pt;height:38.15pt;width:0pt;z-index:251706368;mso-width-relative:page;mso-height-relative:page;" filled="f" stroked="t" coordsize="21600,21600" o:gfxdata="UEsDBAoAAAAAAIdO4kAAAAAAAAAAAAAAAAAEAAAAZHJzL1BLAwQUAAAACACHTuJAFftvFtgAAAAK&#10;AQAADwAAAGRycy9kb3ducmV2LnhtbE2PTU/DMAyG70j8h8hIXBBLMrZRStMJIcaNA4MDx7QxbbXG&#10;qZrsg/36Ge0AR9uPXj9vsTz4XuxwjF0gA3qiQCDVwXXUGPj8WN1mIGKy5GwfCA38YIRleXlR2NyF&#10;Pb3jbp0awSEUc2ugTWnIpYx1i97GSRiQ+PYdRm8Tj2Mj3Wj3HO57OVVqIb3tiD+0dsDnFuvNeusN&#10;HOcbmj5lVbbKxur4evPw9vKlkzHXV1o9gkh4SH8w/OqzOpTsVIUtuSh6A3dqvmDUwExrEAycFxWT&#10;+n4Gsizk/wrlCVBLAwQUAAAACACHTuJASiqOLQMCAADvAwAADgAAAGRycy9lMm9Eb2MueG1srVO9&#10;jhMxEO6ReAfLPdkkSo67VTZXJBwNgkj89BOvd9eS/+TxZZOODvEMdJS8A/c2J8Fb3NgbcnBQXMEW&#10;1nj8zef5vh0vLvdGs50MqJyt+GQ05kxa4Wpl24q/f3f17JwzjGBr0M7Kih8k8svl0yeL3pdy6jqn&#10;axkYkVgse1/xLkZfFgWKThrAkfPS0mHjgoFI29AWdYCe2I0upuPxWdG7UPvghESk7Ho45EfG8BhC&#10;1zRKyLUT10baOLAGqSGSJOyUR77M3TaNFPFN06CMTFeclMa80iUUb9NaLBdQtgF8p8SxBXhMCw80&#10;GVCWLj1RrSECuw7qLyqjRHDomjgSzhSDkOwIqZiMH3jztgMvsxayGv3JdPx/tOL1bhOYqit+NuHM&#10;gqE//uPTt58fP99+ubn9/pVNZs+TSb3HkrAruwnHHfpNSIr3TTCs0cp/oGnKHpAqts8WH04Wy31k&#10;YkgKys7OZ/PxPBEXA0Ni8gHjS+kMS0HFMQZQbRdXzlr6jy4M7LB7hXEo/FWQirVlfcUv5tM5ZwJo&#10;LhuaBwqNJ21o29wZOq3qK6V1qsDQblc6sB2k2cjfsaE/YOmSNWA34PJRgkHZSahf2JrFgyfTYlBg&#10;Wy15agMNZ1rS89LtgI2g9D3W0sP6F4680JYsSWYP9qZo6+pDdj3naQ6yaceZTYP2+z5X37/T5R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V+28W2AAAAAoBAAAPAAAAAAAAAAEAIAAAACIAAABkcnMv&#10;ZG93bnJldi54bWxQSwECFAAUAAAACACHTuJASiqOLQMCAADvAwAADgAAAAAAAAABACAAAAAnAQAA&#10;ZHJzL2Uyb0RvYy54bWxQSwUGAAAAAAYABgBZAQAAnAUAAAAA&#10;">
                      <v:fill on="f" focussize="0,0"/>
                      <v:stroke color="#000000" joinstyle="round" startarrow="block" startarrowwidth="narrow" startarrowlength="long" endarrowwidth="narrow" endarrowlength="long"/>
                      <v:imagedata o:title=""/>
                      <o:lock v:ext="edit" aspectratio="f"/>
                    </v:shape>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717632" behindDoc="0" locked="0" layoutInCell="1" allowOverlap="1">
                      <wp:simplePos x="0" y="0"/>
                      <wp:positionH relativeFrom="column">
                        <wp:posOffset>2940685</wp:posOffset>
                      </wp:positionH>
                      <wp:positionV relativeFrom="paragraph">
                        <wp:posOffset>844550</wp:posOffset>
                      </wp:positionV>
                      <wp:extent cx="0" cy="284480"/>
                      <wp:effectExtent l="25400" t="0" r="25400" b="7620"/>
                      <wp:wrapNone/>
                      <wp:docPr id="83" name="自选图形 147"/>
                      <wp:cNvGraphicFramePr/>
                      <a:graphic xmlns:a="http://schemas.openxmlformats.org/drawingml/2006/main">
                        <a:graphicData uri="http://schemas.microsoft.com/office/word/2010/wordprocessingShape">
                          <wps:wsp>
                            <wps:cNvCnPr>
                              <a:stCxn id="38" idx="0"/>
                              <a:endCxn id="21" idx="2"/>
                            </wps:cNvCnPr>
                            <wps:spPr>
                              <a:xfrm flipV="1">
                                <a:off x="0" y="0"/>
                                <a:ext cx="0" cy="284480"/>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231.55pt;margin-top:66.5pt;height:22.4pt;width:0pt;z-index:251717632;mso-width-relative:page;mso-height-relative:page;" filled="f" stroked="t" coordsize="21600,21600" o:gfxdata="UEsDBAoAAAAAAIdO4kAAAAAAAAAAAAAAAAAEAAAAZHJzL1BLAwQUAAAACACHTuJAy00PM9gAAAAL&#10;AQAADwAAAGRycy9kb3ducmV2LnhtbE2PzU7DMBCE70i8g7VIXBB10kBrQpwKIcqNA4UDRydekqjx&#10;OrLdH/r0LOIAx535NDtTrY5uFHsMcfCkIZ9lIJBabwfqNLy/ra8ViJgMWTN6Qg1fGGFVn59VprT+&#10;QK+436ROcAjF0mjoU5pKKWPbozNx5ick9j59cCbxGTppgzlwuBvlPMsW0pmB+ENvJnzssd1udk7D&#10;6XZL8wfVqLUKzen56u7l6SNPWl9e5Nk9iITH9AfDT32uDjV3avyObBSjhptFkTPKRlHwKCZ+lYaV&#10;5VKBrCv5f0P9DVBLAwQUAAAACACHTuJANFJxEhsCAAAxBAAADgAAAGRycy9lMm9Eb2MueG1srVO7&#10;jhMxFO2R+AfLPZlkNgthlMkWCUuDIBIsvWN7Ziz5JV9vJunoEN9AR8k/wN+sBH+x155ssiwUWzDF&#10;yPa9Pj7n+Hh+sTOabGUA5WxNJ6MxJdJyJ5Rta3r14fLZjBKIzAqmnZU13UugF4unT+a9r2TpOqeF&#10;DARBLFS9r2kXo6+KAngnDYOR89JisXHBsIjT0BYisB7RjS7K8fh50bsgfHBcAuDqaijSA2J4DKBr&#10;GsXlyvFrI20cUIPULKIk6JQHushsm0by+K5pQEaia4pKY/7jITjepH+xmLOqDcx3ih8osMdQeKDJ&#10;MGXx0CPUikVGroP6C8ooHhy4Jo64M8UgJDuCKibjB96875iXWQtaDf5oOvw/WP52uw5EiZrOziix&#10;zOCN//r8/fenLzdff978+EYm0xfJpN5Dhb1Luw5JJsTlzuZtZxgXJXZHL6UVd6VyciiVCaH4AyJN&#10;wA9guyYY0mjlP2Ies4voC8mQZH8C3kXCh0WOq+VsOp3l+ytYlRASLR8gvpbOkDSoKcTAVNvFpbMW&#10;k+DCgM62byAmRqcNabO2pK/py/PynBLOMNkNJgqHxqM7YNvMDJxW4lJpnV0I7WapA9mylK78ZaXo&#10;z/22RGbFoBv6cmnIXSeZeGUFiXuPtsegmG21pIkGGEq0xAeq26E3MqVPvRaf5r/6UJK2B68He5PR&#10;Gyf263B3B5ikrP2Q+hTV+/O8+/TSF7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LTQ8z2AAAAAsB&#10;AAAPAAAAAAAAAAEAIAAAACIAAABkcnMvZG93bnJldi54bWxQSwECFAAUAAAACACHTuJANFJxEhsC&#10;AAAxBAAADgAAAAAAAAABACAAAAAnAQAAZHJzL2Uyb0RvYy54bWxQSwUGAAAAAAYABgBZAQAAtAUA&#10;AAAA&#10;">
                      <v:fill on="f" focussize="0,0"/>
                      <v:stroke color="#000000" joinstyle="round" startarrow="block" startarrowwidth="narrow" startarrowlength="long" endarrowwidth="narrow" endarrowlength="long"/>
                      <v:imagedata o:title=""/>
                      <o:lock v:ext="edit" aspectratio="f"/>
                    </v:shape>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705344" behindDoc="0" locked="0" layoutInCell="1" allowOverlap="1">
                      <wp:simplePos x="0" y="0"/>
                      <wp:positionH relativeFrom="column">
                        <wp:posOffset>2609215</wp:posOffset>
                      </wp:positionH>
                      <wp:positionV relativeFrom="paragraph">
                        <wp:posOffset>255270</wp:posOffset>
                      </wp:positionV>
                      <wp:extent cx="0" cy="288925"/>
                      <wp:effectExtent l="25400" t="0" r="25400" b="3175"/>
                      <wp:wrapNone/>
                      <wp:docPr id="53" name="自选图形 147"/>
                      <wp:cNvGraphicFramePr/>
                      <a:graphic xmlns:a="http://schemas.openxmlformats.org/drawingml/2006/main">
                        <a:graphicData uri="http://schemas.microsoft.com/office/word/2010/wordprocessingShape">
                          <wps:wsp>
                            <wps:cNvCnPr/>
                            <wps:spPr>
                              <a:xfrm flipV="1">
                                <a:off x="0" y="0"/>
                                <a:ext cx="0" cy="288925"/>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205.45pt;margin-top:20.1pt;height:22.75pt;width:0pt;z-index:251705344;mso-width-relative:page;mso-height-relative:page;" filled="f" stroked="t" coordsize="21600,21600" o:gfxdata="UEsDBAoAAAAAAIdO4kAAAAAAAAAAAAAAAAAEAAAAZHJzL1BLAwQUAAAACACHTuJADtSOl9cAAAAJ&#10;AQAADwAAAGRycy9kb3ducmV2LnhtbE2PPU/DMBCGdyT+g3VILIjaiSh1Q5wKIcrGQOnA6MRHEjU+&#10;R7H7QX89hxhgu49H7z1Xrk5+EAecYh/IQDZTIJCa4HpqDWzf17caREyWnB0CoYEvjLCqLi9KW7hw&#10;pDc8bFIrOIRiYQ10KY2FlLHp0Ns4CyMS7z7D5G3idmqlm+yRw/0gc6Xupbc98YXOjvjUYbPb7L2B&#10;83xH+aOu9VpP9fnlZvn6/JElY66vMvUAIuEp/cHwo8/qULFTHfbkohgM3GVqySgXKgfBwO+gNqDn&#10;C5BVKf9/UH0DUEsDBBQAAAAIAIdO4kA983dYAgIAAO8DAAAOAAAAZHJzL2Uyb0RvYy54bWytU72O&#10;EzEQ7pF4B8s92SQQyK2yuSLhaBBEgrt+4vXuWvKfPL5s0tEhnoGOknc43uYkeAvG3pCDg+IKtrDG&#10;428+z/fteHG+N5rtZEDlbMUnozFn0gpXK9tW/PL9xZM5ZxjB1qCdlRU/SOTny8ePFr0v5dR1Ttcy&#10;MCKxWPa+4l2MviwKFJ00gCPnpaXDxgUDkbahLeoAPbEbXUzH4+dF70LtgxMSkbLr4ZAfGcNDCF3T&#10;KCHXTlwbaePAGqSGSJKwUx75MnfbNFLEt02DMjJdcVIa80qXULxNa7FcQNkG8J0SxxbgIS3c02RA&#10;Wbr0RLWGCOw6qL+ojBLBoWviSDhTDEKyI6RiMr7nzbsOvMxayGr0J9Px/9GKN7tNYKqu+OwpZxYM&#10;/fHvH7/++PDp9vO325svbPLsRTKp91gSdmU34bhDvwlJ8b4JhjVa+SuapuwBqWL7bPHhZLHcRyaG&#10;pKDsdD4/m84ScTEwJCYfML6SzrAUVBxjANV2ceWspf/owsAOu9cYh8JfBalYW9ZX/GxGrEwAzWVD&#10;80Ch8aQNbZs7Q6dVfaG0ThUY2u1KB7aDNBv5Ozb0ByxdsgbsBlw+SjAoOwn1S1uzePBkWgwKbKsl&#10;T22g4UxLel66HbARlL7DWnpY/8KRF9qSJcnswd4UbV19yK7nPM1BNu04s2nQft/n6rt3uv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DtSOl9cAAAAJAQAADwAAAAAAAAABACAAAAAiAAAAZHJzL2Rv&#10;d25yZXYueG1sUEsBAhQAFAAAAAgAh07iQD3zd1gCAgAA7wMAAA4AAAAAAAAAAQAgAAAAJgEAAGRy&#10;cy9lMm9Eb2MueG1sUEsFBgAAAAAGAAYAWQEAAJoFAAAAAA==&#10;">
                      <v:fill on="f" focussize="0,0"/>
                      <v:stroke color="#000000" joinstyle="round" startarrow="block" startarrowwidth="narrow" startarrowlength="long" endarrowwidth="narrow" endarrowlength="long"/>
                      <v:imagedata o:title=""/>
                      <o:lock v:ext="edit" aspectratio="f"/>
                    </v:shape>
                  </w:pict>
                </mc:Fallback>
              </mc:AlternateContent>
            </w:r>
          </w:p>
          <w:p>
            <w:pPr>
              <w:spacing w:line="360" w:lineRule="auto"/>
              <w:ind w:firstLine="480" w:firstLineChars="200"/>
              <w:rPr>
                <w:rFonts w:hint="default" w:ascii="Times New Roman" w:hAnsi="Times New Roman" w:cs="Times New Roman"/>
                <w:color w:val="auto"/>
                <w:szCs w:val="24"/>
              </w:rPr>
            </w:pPr>
            <w:r>
              <w:rPr>
                <w:sz w:val="24"/>
              </w:rPr>
              <mc:AlternateContent>
                <mc:Choice Requires="wps">
                  <w:drawing>
                    <wp:anchor distT="0" distB="0" distL="114300" distR="114300" simplePos="0" relativeHeight="251736064" behindDoc="0" locked="0" layoutInCell="1" allowOverlap="1">
                      <wp:simplePos x="0" y="0"/>
                      <wp:positionH relativeFrom="column">
                        <wp:posOffset>3463290</wp:posOffset>
                      </wp:positionH>
                      <wp:positionV relativeFrom="paragraph">
                        <wp:posOffset>271145</wp:posOffset>
                      </wp:positionV>
                      <wp:extent cx="467360" cy="252095"/>
                      <wp:effectExtent l="6350" t="36195" r="8890" b="16510"/>
                      <wp:wrapNone/>
                      <wp:docPr id="12" name="弧形 12"/>
                      <wp:cNvGraphicFramePr/>
                      <a:graphic xmlns:a="http://schemas.openxmlformats.org/drawingml/2006/main">
                        <a:graphicData uri="http://schemas.microsoft.com/office/word/2010/wordprocessingShape">
                          <wps:wsp>
                            <wps:cNvSpPr/>
                            <wps:spPr>
                              <a:xfrm>
                                <a:off x="0" y="0"/>
                                <a:ext cx="467360" cy="252095"/>
                              </a:xfrm>
                              <a:prstGeom prst="arc">
                                <a:avLst>
                                  <a:gd name="adj1" fmla="val 16200000"/>
                                  <a:gd name="adj2" fmla="val 11727835"/>
                                </a:avLst>
                              </a:prstGeom>
                              <a:ln w="12700">
                                <a:solidFill>
                                  <a:schemeClr val="tx1"/>
                                </a:solidFill>
                                <a:prstDash val="dash"/>
                                <a:headEnd type="arrow" w="sm" len="med"/>
                                <a:tailEnd type="none"/>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style="position:absolute;left:0pt;margin-left:272.7pt;margin-top:21.35pt;height:19.85pt;width:36.8pt;z-index:251736064;mso-width-relative:page;mso-height-relative:page;" filled="f" stroked="t" coordsize="467360,252095" o:gfxdata="UEsDBAoAAAAAAIdO4kAAAAAAAAAAAAAAAAAEAAAAZHJzL1BLAwQUAAAACACHTuJA9CaNutYAAAAJ&#10;AQAADwAAAGRycy9kb3ducmV2LnhtbE2PzU6EMBSF9ya+Q3NN3DkFwvyIlFkYfQAZN7Mr9Apk6C1p&#10;OzDy9F5Xury5X875Tnm82VHM6MPgSEG6SUAgtc4M1Cn4PL0/HUCEqMno0REq+MYAx+r+rtSFcQt9&#10;4FzHTnAIhUIr6GOcCilD26PVYeMmJP59OW915NN30ni9cLgdZZYkO2n1QNzQ6wlfe2wv9dVy79u5&#10;2c9D4urVT5e6WU7rGlelHh/S5AVExFv8g+FXn9WhYqfGXckEMSrY5tucUQV5tgfBwC595nGNgkOW&#10;g6xK+X9B9QNQSwMEFAAAAAgAh07iQLPyDuwVAgAALwQAAA4AAABkcnMvZTJvRG9jLnhtbK1TS3IT&#10;MRDdU8UdVNrjsR1iB5fHWWDChoJUBQ7QljQzovQrteKxr8OGS8Bxcg9amokdwiYLvBi3pNbr9163&#10;1tcHa9heRdTe1Xw2mXKmnPBSu7bm377evLniDBM4CcY7VfOjQn69ef1q3YeVmvvOG6kiIxCHqz7U&#10;vEsprKoKRacs4MQH5eiw8dFComVsKxmhJ3Rrqvl0uqh6H2WIXihE2t0Oh3xEjC8B9E2jhdp6cW+V&#10;SwNqVAYSScJOB+SbwrZplEhfmgZVYqbmpDSVLxWheJe/1WYNqzZC6LQYKcBLKDzTZEE7KnqC2kIC&#10;dh/1P1BWi+jRN2kivK0GIcURUjGbPvPmroOgihayGsPJdPx/sOLz/jYyLWkS5pw5sNTxh18/H37/&#10;YLRB7vQBV5R0F27juEIKs9RDE23+JxHsUBw9nhxVh8QEbb5dLC8W5LWgo/nlfPruMmNW58shYvqo&#10;vGU5qDlEUWyE/SdMxU85kgL5fcZZYw21Zw+GzRY0TPQbO/gkjXQ8SZst58uri8eyIy4ReCycizh/&#10;o40po2Ac67MXS0JmAmi+G5orCm0gj9C1nIFp6eGIFAtT9EbLfD0DYWx3701kRJCsOPGjcn+l5dpb&#10;wG7IkxQNKjoF8oOTLB0DtQFi9D3PdNByZhQVtUoOmQm0OWc6eqijr8aRvblnQ5dytPPyWJpX9mmO&#10;SgPGmc+D+nRdbp/f+eY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9CaNutYAAAAJAQAADwAAAAAA&#10;AAABACAAAAAiAAAAZHJzL2Rvd25yZXYueG1sUEsBAhQAFAAAAAgAh07iQLPyDuwVAgAALwQAAA4A&#10;AAAAAAAAAQAgAAAAJQEAAGRycy9lMm9Eb2MueG1sUEsFBgAAAAAGAAYAWQEAAKwFAAAAAA==&#10;" path="m233679,0nsc362737,0,467359,56433,467359,126047c467359,195661,362737,252094,233679,252094c104621,252094,-1,195661,-1,126047c-1,105312,9281,85747,25715,68504l233680,126047xem233679,0nfc362737,0,467359,56433,467359,126047c467359,195661,362737,252094,233679,252094c104621,252094,-1,195661,-1,126047c-1,105312,9281,85747,25715,68504e">
                      <v:path o:connectlocs="233679,0;233680,126047;25752,68524" o:connectangles="164,213,261"/>
                      <v:fill on="f" focussize="0,0"/>
                      <v:stroke weight="1pt" color="#000000 [3213]" joinstyle="round" dashstyle="dash" startarrow="open" startarrowwidth="narrow"/>
                      <v:imagedata o:title=""/>
                      <o:lock v:ext="edit" aspectratio="f"/>
                    </v:shape>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737088" behindDoc="0" locked="0" layoutInCell="1" allowOverlap="1">
                      <wp:simplePos x="0" y="0"/>
                      <wp:positionH relativeFrom="column">
                        <wp:posOffset>3847465</wp:posOffset>
                      </wp:positionH>
                      <wp:positionV relativeFrom="paragraph">
                        <wp:posOffset>239395</wp:posOffset>
                      </wp:positionV>
                      <wp:extent cx="765175" cy="318770"/>
                      <wp:effectExtent l="0" t="0" r="0" b="0"/>
                      <wp:wrapNone/>
                      <wp:docPr id="8" name="矩形 148"/>
                      <wp:cNvGraphicFramePr/>
                      <a:graphic xmlns:a="http://schemas.openxmlformats.org/drawingml/2006/main">
                        <a:graphicData uri="http://schemas.microsoft.com/office/word/2010/wordprocessingShape">
                          <wps:wsp>
                            <wps:cNvSpPr/>
                            <wps:spPr>
                              <a:xfrm>
                                <a:off x="0" y="0"/>
                                <a:ext cx="765175" cy="318770"/>
                              </a:xfrm>
                              <a:prstGeom prst="rect">
                                <a:avLst/>
                              </a:prstGeom>
                              <a:noFill/>
                              <a:ln>
                                <a:noFill/>
                              </a:ln>
                            </wps:spPr>
                            <wps:txbx>
                              <w:txbxContent>
                                <w:p>
                                  <w:pPr>
                                    <w:pStyle w:val="14"/>
                                    <w:keepNext w:val="0"/>
                                    <w:keepLines w:val="0"/>
                                    <w:pageBreakBefore w:val="0"/>
                                    <w:kinsoku/>
                                    <w:wordWrap/>
                                    <w:overflowPunct/>
                                    <w:topLinePunct w:val="0"/>
                                    <w:autoSpaceDE/>
                                    <w:autoSpaceDN/>
                                    <w:bidi w:val="0"/>
                                    <w:adjustRightInd/>
                                    <w:spacing w:line="240" w:lineRule="exact"/>
                                    <w:jc w:val="center"/>
                                    <w:textAlignment w:val="auto"/>
                                    <w:rPr>
                                      <w:rFonts w:hint="default" w:eastAsia="宋体"/>
                                      <w:lang w:val="en-US" w:eastAsia="zh-CN"/>
                                    </w:rPr>
                                  </w:pPr>
                                  <w:r>
                                    <w:rPr>
                                      <w:rFonts w:hint="eastAsia" w:hAnsi="宋体"/>
                                      <w:sz w:val="21"/>
                                      <w:szCs w:val="21"/>
                                      <w:lang w:val="en-US" w:eastAsia="zh-CN"/>
                                    </w:rPr>
                                    <w:t>冷却水</w:t>
                                  </w:r>
                                </w:p>
                              </w:txbxContent>
                            </wps:txbx>
                            <wps:bodyPr upright="1"/>
                          </wps:wsp>
                        </a:graphicData>
                      </a:graphic>
                    </wp:anchor>
                  </w:drawing>
                </mc:Choice>
                <mc:Fallback>
                  <w:pict>
                    <v:rect id="矩形 148" o:spid="_x0000_s1026" o:spt="1" style="position:absolute;left:0pt;margin-left:302.95pt;margin-top:18.85pt;height:25.1pt;width:60.25pt;z-index:251737088;mso-width-relative:page;mso-height-relative:page;" filled="f" stroked="f" coordsize="21600,21600" o:gfxdata="UEsDBAoAAAAAAIdO4kAAAAAAAAAAAAAAAAAEAAAAZHJzL1BLAwQUAAAACACHTuJA1zWZVdsAAAAJ&#10;AQAADwAAAGRycy9kb3ducmV2LnhtbE2PQU/CQBCF7yb+h82YeDGyC2oLtVMOJEZiTIhFOS/t2DZ2&#10;Z0t3aeHfu5z0OHlf3vsmXZ5MKwbqXWMZYTpRIIgLWzZcIXxuX+7nIJzXXOrWMiGcycEyu75KdVLa&#10;kT9oyH0lQgm7RCPU3neJlK6oyWg3sR1xyL5tb7QPZ1/JstdjKDetnCkVSaMbDgu17mhVU/GTHw3C&#10;WGyG3fb9VW7udmvLh/VhlX+9Id7eTNUzCE8n/wfDRT+oQxac9vbIpRMtQqSeFgFFeIhjEAGIZ9Ej&#10;iD3CPF6AzFL5/4PsF1BLAwQUAAAACACHTuJAKKT48qQBAABCAwAADgAAAGRycy9lMm9Eb2MueG1s&#10;rVJLbtswEN0XyB0I7mtaaRMbguVsjGRTtAHSHoCmKIsAf5ihLfk0BbrrIXqcotfokFacTzdZdEPN&#10;DJ/ezHvD1c3oLDtoQBN8w6vZnDPtVWiN3zX829fb90vOMEnfShu8bvhRI79ZX7xbDbHWl6EPttXA&#10;iMRjPcSG9ynFWghUvXYSZyFqT5ddACcTpbATLciB2J0Vl/P5tRgCtBGC0ohU3Zwu+cQIbyEMXWeU&#10;3gS1d9qnEytoKxNJwt5E5Osybddplb50HerEbMNJaSonNaF4m0+xXsl6BzL2Rk0jyLeM8EqTk8ZT&#10;0zPVRibJ9mD+oXJGQcDQpZkKTpyEFEdIRTV/5c1DL6MuWshqjGfT8f/Rqs+He2CmbTit3UtHC//z&#10;/efvXz9Y9XGZ3Rki1gR6iPcwZUhhljp24PKXRLCxOHo8O6rHxBQVF9dX1eKKM0VXH6rlYlEcF08/&#10;R8B0p4NjOWg40MKKj/LwCRM1JOgjJPfy4dZYW5Zm/YsCAXNF5HlPE+YojdtxGnsb2iNJ3Ucwu55a&#10;VVldgZO1pdH0DPLunucF9fT013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1zWZVdsAAAAJAQAA&#10;DwAAAAAAAAABACAAAAAiAAAAZHJzL2Rvd25yZXYueG1sUEsBAhQAFAAAAAgAh07iQCik+PKkAQAA&#10;QgMAAA4AAAAAAAAAAQAgAAAAKgEAAGRycy9lMm9Eb2MueG1sUEsFBgAAAAAGAAYAWQEAAEAFAAAA&#10;AA==&#10;">
                      <v:fill on="f" focussize="0,0"/>
                      <v:stroke on="f"/>
                      <v:imagedata o:title=""/>
                      <o:lock v:ext="edit" aspectratio="f"/>
                      <v:textbox>
                        <w:txbxContent>
                          <w:p>
                            <w:pPr>
                              <w:pStyle w:val="14"/>
                              <w:keepNext w:val="0"/>
                              <w:keepLines w:val="0"/>
                              <w:pageBreakBefore w:val="0"/>
                              <w:kinsoku/>
                              <w:wordWrap/>
                              <w:overflowPunct/>
                              <w:topLinePunct w:val="0"/>
                              <w:autoSpaceDE/>
                              <w:autoSpaceDN/>
                              <w:bidi w:val="0"/>
                              <w:adjustRightInd/>
                              <w:spacing w:line="240" w:lineRule="exact"/>
                              <w:jc w:val="center"/>
                              <w:textAlignment w:val="auto"/>
                              <w:rPr>
                                <w:rFonts w:hint="default" w:eastAsia="宋体"/>
                                <w:lang w:val="en-US" w:eastAsia="zh-CN"/>
                              </w:rPr>
                            </w:pPr>
                            <w:r>
                              <w:rPr>
                                <w:rFonts w:hint="eastAsia" w:hAnsi="宋体"/>
                                <w:sz w:val="21"/>
                                <w:szCs w:val="21"/>
                                <w:lang w:val="en-US" w:eastAsia="zh-CN"/>
                              </w:rPr>
                              <w:t>冷却水</w:t>
                            </w:r>
                          </w:p>
                        </w:txbxContent>
                      </v:textbox>
                    </v:rect>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u w:val="single"/>
              </w:rPr>
              <mc:AlternateContent>
                <mc:Choice Requires="wps">
                  <w:drawing>
                    <wp:anchor distT="0" distB="0" distL="114300" distR="114300" simplePos="0" relativeHeight="251721728" behindDoc="0" locked="0" layoutInCell="1" allowOverlap="1">
                      <wp:simplePos x="0" y="0"/>
                      <wp:positionH relativeFrom="column">
                        <wp:posOffset>13970</wp:posOffset>
                      </wp:positionH>
                      <wp:positionV relativeFrom="paragraph">
                        <wp:posOffset>40640</wp:posOffset>
                      </wp:positionV>
                      <wp:extent cx="799465" cy="488315"/>
                      <wp:effectExtent l="0" t="0" r="0" b="0"/>
                      <wp:wrapNone/>
                      <wp:docPr id="92" name="矩形 148"/>
                      <wp:cNvGraphicFramePr/>
                      <a:graphic xmlns:a="http://schemas.openxmlformats.org/drawingml/2006/main">
                        <a:graphicData uri="http://schemas.microsoft.com/office/word/2010/wordprocessingShape">
                          <wps:wsp>
                            <wps:cNvSpPr/>
                            <wps:spPr>
                              <a:xfrm>
                                <a:off x="0" y="0"/>
                                <a:ext cx="799465" cy="488315"/>
                              </a:xfrm>
                              <a:prstGeom prst="rect">
                                <a:avLst/>
                              </a:prstGeom>
                              <a:noFill/>
                              <a:ln>
                                <a:noFill/>
                              </a:ln>
                            </wps:spPr>
                            <wps:txbx>
                              <w:txbxContent>
                                <w:p>
                                  <w:pPr>
                                    <w:keepNext w:val="0"/>
                                    <w:keepLines w:val="0"/>
                                    <w:pageBreakBefore w:val="0"/>
                                    <w:kinsoku/>
                                    <w:wordWrap/>
                                    <w:overflowPunct/>
                                    <w:topLinePunct w:val="0"/>
                                    <w:bidi w:val="0"/>
                                    <w:adjustRightInd/>
                                    <w:spacing w:line="240" w:lineRule="auto"/>
                                    <w:jc w:val="center"/>
                                    <w:textAlignment w:val="auto"/>
                                    <w:rPr>
                                      <w:rFonts w:hint="eastAsia" w:hAnsi="宋体"/>
                                      <w:sz w:val="21"/>
                                      <w:szCs w:val="21"/>
                                      <w:lang w:val="en-US" w:eastAsia="zh-CN"/>
                                    </w:rPr>
                                  </w:pPr>
                                  <w:r>
                                    <w:rPr>
                                      <w:rFonts w:hint="eastAsia" w:hAnsi="宋体"/>
                                      <w:sz w:val="21"/>
                                      <w:szCs w:val="21"/>
                                      <w:lang w:val="en-US" w:eastAsia="zh-CN"/>
                                    </w:rPr>
                                    <w:t>颗粒物</w:t>
                                  </w:r>
                                </w:p>
                                <w:p>
                                  <w:pPr>
                                    <w:keepNext w:val="0"/>
                                    <w:keepLines w:val="0"/>
                                    <w:pageBreakBefore w:val="0"/>
                                    <w:kinsoku/>
                                    <w:wordWrap/>
                                    <w:overflowPunct/>
                                    <w:topLinePunct w:val="0"/>
                                    <w:bidi w:val="0"/>
                                    <w:adjustRightInd/>
                                    <w:spacing w:line="240" w:lineRule="auto"/>
                                    <w:jc w:val="center"/>
                                    <w:textAlignment w:val="auto"/>
                                    <w:rPr>
                                      <w:rFonts w:hint="default"/>
                                      <w:lang w:val="en-US" w:eastAsia="zh-CN"/>
                                    </w:rPr>
                                  </w:pPr>
                                  <w:r>
                                    <w:rPr>
                                      <w:rFonts w:hint="eastAsia" w:hAnsi="宋体"/>
                                      <w:sz w:val="21"/>
                                      <w:szCs w:val="21"/>
                                      <w:lang w:val="en-US" w:eastAsia="zh-CN"/>
                                    </w:rPr>
                                    <w:t>有机废气</w:t>
                                  </w:r>
                                </w:p>
                              </w:txbxContent>
                            </wps:txbx>
                            <wps:bodyPr upright="1"/>
                          </wps:wsp>
                        </a:graphicData>
                      </a:graphic>
                    </wp:anchor>
                  </w:drawing>
                </mc:Choice>
                <mc:Fallback>
                  <w:pict>
                    <v:rect id="矩形 148" o:spid="_x0000_s1026" o:spt="1" style="position:absolute;left:0pt;margin-left:1.1pt;margin-top:3.2pt;height:38.45pt;width:62.95pt;z-index:251721728;mso-width-relative:page;mso-height-relative:page;" filled="f" stroked="f" coordsize="21600,21600" o:gfxdata="UEsDBAoAAAAAAIdO4kAAAAAAAAAAAAAAAAAEAAAAZHJzL1BLAwQUAAAACACHTuJAzIfdeNYAAAAG&#10;AQAADwAAAGRycy9kb3ducmV2LnhtbE2OwUrDQBRF94L/MDzBjdhJUikhzUsXBbGIUEy162nmNQlm&#10;3qSZaVL/3umqLi/3cu7JVxfTiZEG11pGiGcRCOLK6pZrhK/d63MKwnnFWnWWCeGXHKyK+7tcZdpO&#10;/Elj6WsRIOwyhdB432dSuqoho9zM9sShO9rBKB/iUEs9qCnATSeTKFpIo1oOD43qad1Q9VOeDcJU&#10;bcf97uNNbp/2G8unzWldfr8jPj7E0RKEp4u/jeGqH9ShCE4He2btRIeQJGGIsHgBcW2TNAZxQEjn&#10;c5BFLv/rF39QSwMEFAAAAAgAh07iQBuRNOSkAQAAQwMAAA4AAABkcnMvZTJvRG9jLnhtbK1SS27b&#10;MBTcF+gdCO5rWo6T2oLlbIx0U7QB0hyApkiLAH/goy35NAW66yF6nKLX6COlOm26ySIb6v00b2bI&#10;ze1gDTnJCNq7hlazOSXSCd9qd2jo45e7dytKIHHXcuOdbOhZAr3dvn2z6UMtF77zppWRIIiDug8N&#10;7VIKNWMgOmk5zHyQDpvKR8sTpvHA2sh7RLeGLebzG9b72IbohQTA6m5s0gkxvgTQK6WF3HlxtNKl&#10;ETVKwxNKgk4HoNvCVikp0melQCZiGopKUzlxCcb7fLLthteHyEOnxUSBv4TCM02Wa4dLL1A7njg5&#10;Rv0flNUievAqzYS3bBRSHEEV1fyZNw8dD7JoQashXEyH14MVn073kei2oesFJY5bvPFfX7///PGN&#10;VMtVtqcPUOPUQ7iPUwYYZq2DijZ/UQUZiqXni6VySERg8f16vby5pkRga7laXVXXGZM9/RwipA/S&#10;W5KDhka8sWIkP32ENI7+Gcm7nL/TxmCd18b9U0DMXGGZ78gwR2nYDxPtvW/PqPUYoj50uKoqTPIQ&#10;els4Te8gX97feQF9evvb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MyH3XjWAAAABgEAAA8AAAAA&#10;AAAAAQAgAAAAIgAAAGRycy9kb3ducmV2LnhtbFBLAQIUABQAAAAIAIdO4kAbkTTkpAEAAEMDAAAO&#10;AAAAAAAAAAEAIAAAACUBAABkcnMvZTJvRG9jLnhtbFBLBQYAAAAABgAGAFkBAAA7BQAAAAA=&#10;">
                      <v:fill on="f" focussize="0,0"/>
                      <v:stroke on="f"/>
                      <v:imagedata o:title=""/>
                      <o:lock v:ext="edit" aspectratio="f"/>
                      <v:textbox>
                        <w:txbxContent>
                          <w:p>
                            <w:pPr>
                              <w:keepNext w:val="0"/>
                              <w:keepLines w:val="0"/>
                              <w:pageBreakBefore w:val="0"/>
                              <w:kinsoku/>
                              <w:wordWrap/>
                              <w:overflowPunct/>
                              <w:topLinePunct w:val="0"/>
                              <w:bidi w:val="0"/>
                              <w:adjustRightInd/>
                              <w:spacing w:line="240" w:lineRule="auto"/>
                              <w:jc w:val="center"/>
                              <w:textAlignment w:val="auto"/>
                              <w:rPr>
                                <w:rFonts w:hint="eastAsia" w:hAnsi="宋体"/>
                                <w:sz w:val="21"/>
                                <w:szCs w:val="21"/>
                                <w:lang w:val="en-US" w:eastAsia="zh-CN"/>
                              </w:rPr>
                            </w:pPr>
                            <w:r>
                              <w:rPr>
                                <w:rFonts w:hint="eastAsia" w:hAnsi="宋体"/>
                                <w:sz w:val="21"/>
                                <w:szCs w:val="21"/>
                                <w:lang w:val="en-US" w:eastAsia="zh-CN"/>
                              </w:rPr>
                              <w:t>颗粒物</w:t>
                            </w:r>
                          </w:p>
                          <w:p>
                            <w:pPr>
                              <w:keepNext w:val="0"/>
                              <w:keepLines w:val="0"/>
                              <w:pageBreakBefore w:val="0"/>
                              <w:kinsoku/>
                              <w:wordWrap/>
                              <w:overflowPunct/>
                              <w:topLinePunct w:val="0"/>
                              <w:bidi w:val="0"/>
                              <w:adjustRightInd/>
                              <w:spacing w:line="240" w:lineRule="auto"/>
                              <w:jc w:val="center"/>
                              <w:textAlignment w:val="auto"/>
                              <w:rPr>
                                <w:rFonts w:hint="default"/>
                                <w:lang w:val="en-US" w:eastAsia="zh-CN"/>
                              </w:rPr>
                            </w:pPr>
                            <w:r>
                              <w:rPr>
                                <w:rFonts w:hint="eastAsia" w:hAnsi="宋体"/>
                                <w:sz w:val="21"/>
                                <w:szCs w:val="21"/>
                                <w:lang w:val="en-US" w:eastAsia="zh-CN"/>
                              </w:rPr>
                              <w:t>有机废气</w:t>
                            </w:r>
                          </w:p>
                        </w:txbxContent>
                      </v:textbox>
                    </v:rect>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698176" behindDoc="0" locked="0" layoutInCell="1" allowOverlap="1">
                      <wp:simplePos x="0" y="0"/>
                      <wp:positionH relativeFrom="column">
                        <wp:posOffset>1083310</wp:posOffset>
                      </wp:positionH>
                      <wp:positionV relativeFrom="paragraph">
                        <wp:posOffset>144145</wp:posOffset>
                      </wp:positionV>
                      <wp:extent cx="923290" cy="300990"/>
                      <wp:effectExtent l="5080" t="5080" r="11430" b="11430"/>
                      <wp:wrapNone/>
                      <wp:docPr id="20" name="矩形 140"/>
                      <wp:cNvGraphicFramePr/>
                      <a:graphic xmlns:a="http://schemas.openxmlformats.org/drawingml/2006/main">
                        <a:graphicData uri="http://schemas.microsoft.com/office/word/2010/wordprocessingShape">
                          <wps:wsp>
                            <wps:cNvSpPr/>
                            <wps:spPr>
                              <a:xfrm>
                                <a:off x="0" y="0"/>
                                <a:ext cx="923290"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喷漆或刷漆</w:t>
                                  </w:r>
                                </w:p>
                              </w:txbxContent>
                            </wps:txbx>
                            <wps:bodyPr upright="1"/>
                          </wps:wsp>
                        </a:graphicData>
                      </a:graphic>
                    </wp:anchor>
                  </w:drawing>
                </mc:Choice>
                <mc:Fallback>
                  <w:pict>
                    <v:rect id="矩形 140" o:spid="_x0000_s1026" o:spt="1" style="position:absolute;left:0pt;margin-left:85.3pt;margin-top:11.35pt;height:23.7pt;width:72.7pt;z-index:251698176;mso-width-relative:page;mso-height-relative:page;" fillcolor="#FFFFFF" filled="t" stroked="t" coordsize="21600,21600" o:gfxdata="UEsDBAoAAAAAAIdO4kAAAAAAAAAAAAAAAAAEAAAAZHJzL1BLAwQUAAAACACHTuJAfw9HgdcAAAAJ&#10;AQAADwAAAGRycy9kb3ducmV2LnhtbE2PwU7DMBBE70j8g7VI3KgdA0kJcSqBxAEBAloOHLexSQLx&#10;OordNvw9ywmOo32afVOtZj+IvZtiH8hAtlAgHDXB9tQaeNvcnS1BxIRkcQjkDHy7CKv6+KjC0oYD&#10;vbr9OrWCSyiWaKBLaSyljE3nPMZFGB3x7SNMHhPHqZV2wgOX+0FqpXLpsSf+0OHobjvXfK133sDn&#10;0/Plzb1+1NFaepjl1YXCl3djTk8ydQ0iuTn9wfCrz+pQs9M27MhGMXAuVM6oAa0LEAycZzmP2xoo&#10;VAayruT/BfUPUEsDBBQAAAAIAIdO4kCXdIBQAwIAACkEAAAOAAAAZHJzL2Uyb0RvYy54bWytU02O&#10;0zAU3iNxB8t7mjTDIBo1nQWlbBCMNHAA13YSS/6Tn9ukp0FixyE4DuIaPDuhnRlmMQuycD7bz5/f&#10;973n9c1oNDnKAMrZhi4XJSXScieU7Rr69cvu1VtKIDIrmHZWNvQkgd5sXr5YD76WleudFjIQJLFQ&#10;D76hfYy+LgrgvTQMFs5Li5utC4ZFnIauEIENyG50UZXlm2JwQfjguATA1e20SWfG8BxC17aKy63j&#10;ByNtnFiD1CyiJOiVB7rJ2bat5PFz24KMRDcUlcY84iWI92ksNmtWd4H5XvE5BfacFB5pMkxZvPRM&#10;tWWRkUNQ/1AZxYMD18YFd6aYhGRHUMWyfOTNXc+8zFrQavBn0+H/0fJPx9tAlGhohZZYZrDiv7/9&#10;+PXzO1m+zvYMHmqMuvO3Ac1KM0CYtI5tMOmPKsiYLT2dLZVjJBwXV9VVtUJmjltXZblCjCzF5bAP&#10;ED9IZ0gCDQ1YsWwkO36EOIX+DUl3gdNK7JTWeRK6/TsdyJFhdXf5m9kfhGlLBszkurrGPBi2bIut&#10;gtB4lA22y/c9OAH3icv8PUWcEtsy6KcEMkMKY7VRUYaMesnEeytIPHl01uKLoikZIwUlWuIDTChH&#10;Rqb0E5Fg5kDdzSloiwZe6pBQHPcjkiS4d+KEFT34oLoeDV3mU2kHOyg7P3d7atH780x6eeGb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8PR4HXAAAACQEAAA8AAAAAAAAAAQAgAAAAIgAAAGRycy9k&#10;b3ducmV2LnhtbFBLAQIUABQAAAAIAIdO4kCXdIBQAwIAACkEAAAOAAAAAAAAAAEAIAAAACYBAABk&#10;cnMvZTJvRG9jLnhtbFBLBQYAAAAABgAGAFkBAACbBQ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喷漆或刷漆</w:t>
                            </w:r>
                          </w:p>
                        </w:txbxContent>
                      </v:textbox>
                    </v:rect>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699200" behindDoc="0" locked="0" layoutInCell="1" allowOverlap="1">
                      <wp:simplePos x="0" y="0"/>
                      <wp:positionH relativeFrom="column">
                        <wp:posOffset>2493645</wp:posOffset>
                      </wp:positionH>
                      <wp:positionV relativeFrom="paragraph">
                        <wp:posOffset>-50800</wp:posOffset>
                      </wp:positionV>
                      <wp:extent cx="894080" cy="300990"/>
                      <wp:effectExtent l="5080" t="5080" r="15240" b="11430"/>
                      <wp:wrapNone/>
                      <wp:docPr id="21" name="矩形 140"/>
                      <wp:cNvGraphicFramePr/>
                      <a:graphic xmlns:a="http://schemas.openxmlformats.org/drawingml/2006/main">
                        <a:graphicData uri="http://schemas.microsoft.com/office/word/2010/wordprocessingShape">
                          <wps:wsp>
                            <wps:cNvSpPr/>
                            <wps:spPr>
                              <a:xfrm>
                                <a:off x="0" y="0"/>
                                <a:ext cx="894080"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中频炉加热</w:t>
                                  </w:r>
                                </w:p>
                              </w:txbxContent>
                            </wps:txbx>
                            <wps:bodyPr upright="1"/>
                          </wps:wsp>
                        </a:graphicData>
                      </a:graphic>
                    </wp:anchor>
                  </w:drawing>
                </mc:Choice>
                <mc:Fallback>
                  <w:pict>
                    <v:rect id="矩形 140" o:spid="_x0000_s1026" o:spt="1" style="position:absolute;left:0pt;margin-left:196.35pt;margin-top:-4pt;height:23.7pt;width:70.4pt;z-index:251699200;mso-width-relative:page;mso-height-relative:page;" fillcolor="#FFFFFF" filled="t" stroked="t" coordsize="21600,21600" o:gfxdata="UEsDBAoAAAAAAIdO4kAAAAAAAAAAAAAAAAAEAAAAZHJzL1BLAwQUAAAACACHTuJAYE+Lq9kAAAAJ&#10;AQAADwAAAGRycy9kb3ducmV2LnhtbE2PwU7DMBBE70j8g7VI3Fq7SUPbEKcSSBwQVEDLgeM2XpJA&#10;vI5itw1/j3uC42qeZt8U69F24kiDbx1rmE0VCOLKmZZrDe+7h8kShA/IBjvHpOGHPKzLy4sCc+NO&#10;/EbHbahFLGGfo4YmhD6X0lcNWfRT1xPH7NMNFkM8h1qaAU+x3HYyUepGWmw5fmiwp/uGqu/twWr4&#10;2rxkd4/Jc+KN4adRruYKXz+0vr6aqVsQgcbwB8NZP6pDGZ327sDGi05DukoWEdUwWcZNEcjSNAOx&#10;PydzkGUh/y8ofwFQSwMEFAAAAAgAh07iQEmlF3YJAgAAKQQAAA4AAABkcnMvZTJvRG9jLnhtbK1T&#10;zY7TMBC+I/EOlu80SdlFbdR0D5RyQbDSLg/g2k5iyX/yuE36NEjceAgeB/EajN3Q7i572AM5OGN7&#10;5pv5vhmvbkajyUEGUM42tJqVlEjLnVC2a+jX++2bBSUQmRVMOysbepRAb9avX60GX8u5650WMhAE&#10;sVAPvqF9jL4uCuC9NAxmzkuLl60LhkXchq4QgQ2IbnQxL8t3xeCC8MFxCYCnm9MlnRDDSwBd2you&#10;N47vjbTxhBqkZhEpQa880HWutm0lj1/aFmQkuqHINOYVk6C9S2uxXrG6C8z3ik8lsJeU8ISTYcpi&#10;0jPUhkVG9kH9A2UUDw5cG2fcmeJEJCuCLKryiTZ3PfMyc0GpwZ9Fh/8Hyz8fbgNRoqHzihLLDHb8&#10;97cfv35+J9VVlmfwUKPXnb8NKFbaAZqJ69gGk/7IgoxZ0uNZUjlGwvFwsbwqFyg2x6u3ZblcZszi&#10;EuwDxI/SGZKMhgbsWBaSHT5BxITo+tcl5QKnldgqrfMmdLv3OpADw+5u85caiiGP3LQlQ0OX1/Nr&#10;rIPhyLY4Kmgaj7TBdjnfowh4CFzm7zngVNiGQX8qICOcBsqoKJNarO4lEx+sIPHoUVmLL4qmYowU&#10;lGiJDzBZ2TMypZ/xBDM56m4qQVukeOlDsuK4GxEkmTsnjtjRvQ+q61HQKkelG5ygrM007WlEH+4z&#10;6OWF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E+Lq9kAAAAJAQAADwAAAAAAAAABACAAAAAi&#10;AAAAZHJzL2Rvd25yZXYueG1sUEsBAhQAFAAAAAgAh07iQEmlF3YJAgAAKQQAAA4AAAAAAAAAAQAg&#10;AAAAKAEAAGRycy9lMm9Eb2MueG1sUEsFBgAAAAAGAAYAWQEAAKMFA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中频炉加热</w:t>
                            </w:r>
                          </w:p>
                        </w:txbxContent>
                      </v:textbox>
                    </v:rect>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u w:val="single"/>
              </w:rPr>
              <mc:AlternateContent>
                <mc:Choice Requires="wps">
                  <w:drawing>
                    <wp:anchor distT="0" distB="0" distL="114300" distR="114300" simplePos="0" relativeHeight="251726848" behindDoc="0" locked="0" layoutInCell="1" allowOverlap="1">
                      <wp:simplePos x="0" y="0"/>
                      <wp:positionH relativeFrom="column">
                        <wp:posOffset>3716655</wp:posOffset>
                      </wp:positionH>
                      <wp:positionV relativeFrom="paragraph">
                        <wp:posOffset>131445</wp:posOffset>
                      </wp:positionV>
                      <wp:extent cx="799465" cy="603885"/>
                      <wp:effectExtent l="0" t="0" r="0" b="0"/>
                      <wp:wrapNone/>
                      <wp:docPr id="93" name="矩形 148"/>
                      <wp:cNvGraphicFramePr/>
                      <a:graphic xmlns:a="http://schemas.openxmlformats.org/drawingml/2006/main">
                        <a:graphicData uri="http://schemas.microsoft.com/office/word/2010/wordprocessingShape">
                          <wps:wsp>
                            <wps:cNvSpPr/>
                            <wps:spPr>
                              <a:xfrm>
                                <a:off x="0" y="0"/>
                                <a:ext cx="799465" cy="603885"/>
                              </a:xfrm>
                              <a:prstGeom prst="rect">
                                <a:avLst/>
                              </a:prstGeom>
                              <a:noFill/>
                              <a:ln>
                                <a:noFill/>
                              </a:ln>
                            </wps:spPr>
                            <wps:txbx>
                              <w:txbxContent>
                                <w:p>
                                  <w:pPr>
                                    <w:keepNext w:val="0"/>
                                    <w:keepLines w:val="0"/>
                                    <w:pageBreakBefore w:val="0"/>
                                    <w:kinsoku/>
                                    <w:wordWrap/>
                                    <w:overflowPunct/>
                                    <w:topLinePunct w:val="0"/>
                                    <w:bidi w:val="0"/>
                                    <w:adjustRightInd/>
                                    <w:spacing w:line="240" w:lineRule="auto"/>
                                    <w:jc w:val="center"/>
                                    <w:textAlignment w:val="auto"/>
                                    <w:rPr>
                                      <w:rFonts w:hint="eastAsia" w:hAnsi="宋体"/>
                                      <w:sz w:val="21"/>
                                      <w:szCs w:val="21"/>
                                      <w:lang w:val="en-US" w:eastAsia="zh-CN"/>
                                    </w:rPr>
                                  </w:pPr>
                                  <w:r>
                                    <w:rPr>
                                      <w:rFonts w:hint="eastAsia" w:hAnsi="宋体"/>
                                      <w:sz w:val="21"/>
                                      <w:szCs w:val="21"/>
                                      <w:lang w:val="en-US" w:eastAsia="zh-CN"/>
                                    </w:rPr>
                                    <w:t>颗粒物</w:t>
                                  </w:r>
                                </w:p>
                                <w:p>
                                  <w:pPr>
                                    <w:keepNext w:val="0"/>
                                    <w:keepLines w:val="0"/>
                                    <w:pageBreakBefore w:val="0"/>
                                    <w:kinsoku/>
                                    <w:wordWrap/>
                                    <w:overflowPunct/>
                                    <w:topLinePunct w:val="0"/>
                                    <w:bidi w:val="0"/>
                                    <w:adjustRightInd/>
                                    <w:spacing w:line="240" w:lineRule="auto"/>
                                    <w:jc w:val="center"/>
                                    <w:textAlignment w:val="auto"/>
                                    <w:rPr>
                                      <w:rFonts w:hint="default"/>
                                      <w:lang w:val="en-US" w:eastAsia="zh-CN"/>
                                    </w:rPr>
                                  </w:pPr>
                                  <w:r>
                                    <w:rPr>
                                      <w:rFonts w:hint="eastAsia" w:hAnsi="宋体"/>
                                      <w:sz w:val="21"/>
                                      <w:szCs w:val="21"/>
                                      <w:lang w:val="en-US" w:eastAsia="zh-CN"/>
                                    </w:rPr>
                                    <w:t>有机废气</w:t>
                                  </w:r>
                                </w:p>
                              </w:txbxContent>
                            </wps:txbx>
                            <wps:bodyPr upright="1"/>
                          </wps:wsp>
                        </a:graphicData>
                      </a:graphic>
                    </wp:anchor>
                  </w:drawing>
                </mc:Choice>
                <mc:Fallback>
                  <w:pict>
                    <v:rect id="矩形 148" o:spid="_x0000_s1026" o:spt="1" style="position:absolute;left:0pt;margin-left:292.65pt;margin-top:10.35pt;height:47.55pt;width:62.95pt;z-index:251726848;mso-width-relative:page;mso-height-relative:page;" filled="f" stroked="f" coordsize="21600,21600" o:gfxdata="UEsDBAoAAAAAAIdO4kAAAAAAAAAAAAAAAAAEAAAAZHJzL1BLAwQUAAAACACHTuJAdvqVUtoAAAAK&#10;AQAADwAAAGRycy9kb3ducmV2LnhtbE2PUUvDMBSF3wX/Q7iCL+KSVOpKbbqHgThEGOt0z1kT22Jz&#10;0zVZO/+91yd9vJyPc75brC6uZ5MdQ+dRgVwIYBZrbzpsFLzvn+8zYCFqNLr3aBV82wCr8vqq0Lnx&#10;M+7sVMWGUQmGXCtoYxxyzkPdWqfDwg8WKfv0o9ORzrHhZtQzlbueJ0I8cqc7pIVWD3bd2vqrOjsF&#10;c72dDvu3F769O2w8njandfXxqtTtjRRPwKK9xD8YfvVJHUpyOvozmsB6BWmWPhCqIBFLYAQspUyA&#10;HYmUaQa8LPj/F8ofUEsDBBQAAAAIAIdO4kAkaS2/pAEAAEMDAAAOAAAAZHJzL2Uyb0RvYy54bWyt&#10;Uktu2zAU3BfoHQjua8r5uLZgORsj3RRpgLQHoCnSIsAfHmlLPk2A7HKIHqfoNfpIqU6bbrLohno/&#10;zZsZcn0zWEOOEqL2rqHzWUWJdMK32u0b+u3r7YclJTFx13LjnWzoSUZ6s3n/bt2HWl74zptWAkEQ&#10;F+s+NLRLKdSMRdFJy+PMB+mwqTxYnjCFPWuB94huDbuoqgXrPbQBvJAxYnU7NumECG8B9EppIbde&#10;HKx0aUQFaXhCSbHTIdJNYauUFOmLUlEmYhqKSlM5cQnGu3yyzZrXe+Ch02KiwN9C4ZUmy7XDpWeo&#10;LU+cHED/A2W1AB+9SjPhLRuFFEdQxbx65c1Dx4MsWtDqGM6mx/8HK+6O90B029DVJSWOW7zxn4/P&#10;P74/kfnVMtvTh1jj1EO4hymLGGatgwKbv6iCDMXS09lSOSQisPhxtbpaXFMisLWoLpfL64zJXn4O&#10;ENMn6S3JQUMBb6wYyY+fYxpHf4/kXc7famOwzmvj/iogZq6wzHdkmKM07IaJ9s63J9R6CKD3Ha6a&#10;FyZ5CL0tnKZ3kC/vz7yAvrz9z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B2+pVS2gAAAAoBAAAP&#10;AAAAAAAAAAEAIAAAACIAAABkcnMvZG93bnJldi54bWxQSwECFAAUAAAACACHTuJAJGktv6QBAABD&#10;AwAADgAAAAAAAAABACAAAAApAQAAZHJzL2Uyb0RvYy54bWxQSwUGAAAAAAYABgBZAQAAPwUAAAAA&#10;">
                      <v:fill on="f" focussize="0,0"/>
                      <v:stroke on="f"/>
                      <v:imagedata o:title=""/>
                      <o:lock v:ext="edit" aspectratio="f"/>
                      <v:textbox>
                        <w:txbxContent>
                          <w:p>
                            <w:pPr>
                              <w:keepNext w:val="0"/>
                              <w:keepLines w:val="0"/>
                              <w:pageBreakBefore w:val="0"/>
                              <w:kinsoku/>
                              <w:wordWrap/>
                              <w:overflowPunct/>
                              <w:topLinePunct w:val="0"/>
                              <w:bidi w:val="0"/>
                              <w:adjustRightInd/>
                              <w:spacing w:line="240" w:lineRule="auto"/>
                              <w:jc w:val="center"/>
                              <w:textAlignment w:val="auto"/>
                              <w:rPr>
                                <w:rFonts w:hint="eastAsia" w:hAnsi="宋体"/>
                                <w:sz w:val="21"/>
                                <w:szCs w:val="21"/>
                                <w:lang w:val="en-US" w:eastAsia="zh-CN"/>
                              </w:rPr>
                            </w:pPr>
                            <w:r>
                              <w:rPr>
                                <w:rFonts w:hint="eastAsia" w:hAnsi="宋体"/>
                                <w:sz w:val="21"/>
                                <w:szCs w:val="21"/>
                                <w:lang w:val="en-US" w:eastAsia="zh-CN"/>
                              </w:rPr>
                              <w:t>颗粒物</w:t>
                            </w:r>
                          </w:p>
                          <w:p>
                            <w:pPr>
                              <w:keepNext w:val="0"/>
                              <w:keepLines w:val="0"/>
                              <w:pageBreakBefore w:val="0"/>
                              <w:kinsoku/>
                              <w:wordWrap/>
                              <w:overflowPunct/>
                              <w:topLinePunct w:val="0"/>
                              <w:bidi w:val="0"/>
                              <w:adjustRightInd/>
                              <w:spacing w:line="240" w:lineRule="auto"/>
                              <w:jc w:val="center"/>
                              <w:textAlignment w:val="auto"/>
                              <w:rPr>
                                <w:rFonts w:hint="default"/>
                                <w:lang w:val="en-US" w:eastAsia="zh-CN"/>
                              </w:rPr>
                            </w:pPr>
                            <w:r>
                              <w:rPr>
                                <w:rFonts w:hint="eastAsia" w:hAnsi="宋体"/>
                                <w:sz w:val="21"/>
                                <w:szCs w:val="21"/>
                                <w:lang w:val="en-US" w:eastAsia="zh-CN"/>
                              </w:rPr>
                              <w:t>有机废气</w:t>
                            </w:r>
                          </w:p>
                        </w:txbxContent>
                      </v:textbox>
                    </v:rect>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720704" behindDoc="0" locked="0" layoutInCell="1" allowOverlap="1">
                      <wp:simplePos x="0" y="0"/>
                      <wp:positionH relativeFrom="column">
                        <wp:posOffset>701040</wp:posOffset>
                      </wp:positionH>
                      <wp:positionV relativeFrom="paragraph">
                        <wp:posOffset>1270</wp:posOffset>
                      </wp:positionV>
                      <wp:extent cx="378460" cy="4445"/>
                      <wp:effectExtent l="0" t="24130" r="2540" b="22225"/>
                      <wp:wrapNone/>
                      <wp:docPr id="91" name="自选图形 147"/>
                      <wp:cNvGraphicFramePr/>
                      <a:graphic xmlns:a="http://schemas.openxmlformats.org/drawingml/2006/main">
                        <a:graphicData uri="http://schemas.microsoft.com/office/word/2010/wordprocessingShape">
                          <wps:wsp>
                            <wps:cNvCnPr/>
                            <wps:spPr>
                              <a:xfrm>
                                <a:off x="0" y="0"/>
                                <a:ext cx="378460" cy="4445"/>
                              </a:xfrm>
                              <a:prstGeom prst="straightConnector1">
                                <a:avLst/>
                              </a:prstGeom>
                              <a:ln w="9525" cap="flat" cmpd="sng">
                                <a:solidFill>
                                  <a:srgbClr val="000000"/>
                                </a:solidFill>
                                <a:prstDash val="dash"/>
                                <a:headEnd type="triangle" w="sm" len="lg"/>
                                <a:tailEnd type="none" w="sm" len="lg"/>
                              </a:ln>
                            </wps:spPr>
                            <wps:bodyPr/>
                          </wps:wsp>
                        </a:graphicData>
                      </a:graphic>
                    </wp:anchor>
                  </w:drawing>
                </mc:Choice>
                <mc:Fallback>
                  <w:pict>
                    <v:shape id="自选图形 147" o:spid="_x0000_s1026" o:spt="32" type="#_x0000_t32" style="position:absolute;left:0pt;margin-left:55.2pt;margin-top:0.1pt;height:0.35pt;width:29.8pt;z-index:251720704;mso-width-relative:page;mso-height-relative:page;" filled="f" stroked="t" coordsize="21600,21600" o:gfxdata="UEsDBAoAAAAAAIdO4kAAAAAAAAAAAAAAAAAEAAAAZHJzL1BLAwQUAAAACACHTuJAQehnz9IAAAAF&#10;AQAADwAAAGRycy9kb3ducmV2LnhtbE2PzU7DMBCE70i8g7VI3Kid8pM2xKkQEge4ERBnN94mofY6&#10;ip20fXu2J3oczWjmm3Jz9E7MOMY+kIZsoUAgNcH21Gr4/nq7W4GIyZA1LhBqOGGETXV9VZrChgN9&#10;4lynVnAJxcJo6FIaCilj06E3cREGJPZ2YfQmsRxbaUdz4HLv5FKpJ+lNT7zQmQFfO2z29eQ1rJz7&#10;fVQ/+ceLzE9yru+nYf+OWt/eZOoZRMJj+g/DGZ/RoWKmbZjIRuFYZ+qBoxqWIM52rvjaVsMaZFXK&#10;S/rqD1BLAwQUAAAACACHTuJA5ZLxSAACAADnAwAADgAAAGRycy9lMm9Eb2MueG1srVPNjtMwEL4j&#10;8Q6W7zRtaXeXqOkeWpYLgkrAA0wdJ7HkP3m8TXvjhngGbhx5B3ibleAtGDulhYXDHsjBGdsz38z3&#10;eWZxvTea7WRA5WzFJ6MxZ9IKVyvbVvzd25snV5xhBFuDdlZW/CCRXy8fP1r0vpRT1zldy8AIxGLZ&#10;+4p3MfqyKFB00gCOnJeWLhsXDETahraoA/SEbnQxHY8vit6F2gcnJCKdrodLfkQMDwF0TaOEXDtx&#10;a6SNA2qQGiJRwk555MtcbdNIEV83DcrIdMWJacwrJSF7m9ZiuYCyDeA7JY4lwENKuMfJgLKU9AS1&#10;hgjsNqi/oIwSwaFr4kg4UwxEsiLEYjK+p82bDrzMXEhq9CfR8f/Bile7TWCqrvizCWcWDL349w9f&#10;frz/ePfp293Xz2wyu0wi9R5L8l3ZTTju0G9CYrxvgkl/4sL2WdjDSVi5j0zQ4dPLq9kFSS7oajab&#10;zRNicQ71AeML6QxLRsUxBlBtF1fOWnpAFyZZWti9xDgE/gpIebVlPVU/n84JH6ghG2oEMo0nUmjb&#10;HItOq/pGaZ0iMLTblQ5sB6kp8ncs6A+3lGQN2A1+NVnJC8pOQv3c1iwePIkVgwLbaslTFWg405LG&#10;SreDbwSlz76WBupffiSFtqRIEnmQNVlbVx+y2vmc3j9rduzV1GC/73P0eT6XP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B6GfP0gAAAAUBAAAPAAAAAAAAAAEAIAAAACIAAABkcnMvZG93bnJldi54&#10;bWxQSwECFAAUAAAACACHTuJA5ZLxSAACAADnAwAADgAAAAAAAAABACAAAAAhAQAAZHJzL2Uyb0Rv&#10;Yy54bWxQSwUGAAAAAAYABgBZAQAAkwUAAAAA&#10;">
                      <v:fill on="f" focussize="0,0"/>
                      <v:stroke color="#000000" joinstyle="round" dashstyle="dash" startarrow="block" startarrowwidth="narrow" startarrowlength="long" endarrowwidth="narrow" endarrowlength="long"/>
                      <v:imagedata o:title=""/>
                      <o:lock v:ext="edit" aspectratio="f"/>
                    </v:shape>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719680" behindDoc="0" locked="0" layoutInCell="1" allowOverlap="1">
                      <wp:simplePos x="0" y="0"/>
                      <wp:positionH relativeFrom="column">
                        <wp:posOffset>1544955</wp:posOffset>
                      </wp:positionH>
                      <wp:positionV relativeFrom="paragraph">
                        <wp:posOffset>147955</wp:posOffset>
                      </wp:positionV>
                      <wp:extent cx="0" cy="479425"/>
                      <wp:effectExtent l="25400" t="0" r="25400" b="3175"/>
                      <wp:wrapNone/>
                      <wp:docPr id="88" name="自选图形 147"/>
                      <wp:cNvGraphicFramePr/>
                      <a:graphic xmlns:a="http://schemas.openxmlformats.org/drawingml/2006/main">
                        <a:graphicData uri="http://schemas.microsoft.com/office/word/2010/wordprocessingShape">
                          <wps:wsp>
                            <wps:cNvCnPr>
                              <a:stCxn id="50" idx="0"/>
                              <a:endCxn id="20" idx="2"/>
                            </wps:cNvCnPr>
                            <wps:spPr>
                              <a:xfrm flipV="1">
                                <a:off x="0" y="0"/>
                                <a:ext cx="0" cy="479425"/>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121.65pt;margin-top:11.65pt;height:37.75pt;width:0pt;z-index:251719680;mso-width-relative:page;mso-height-relative:page;" filled="f" stroked="t" coordsize="21600,21600" o:gfxdata="UEsDBAoAAAAAAIdO4kAAAAAAAAAAAAAAAAAEAAAAZHJzL1BLAwQUAAAACACHTuJAoz9mH9YAAAAJ&#10;AQAADwAAAGRycy9kb3ducmV2LnhtbE2Py07DMBBF90j8gzVIbBB1kgJyQ5wKIcqORQsLlk48JFHj&#10;cWS7D/r1TMUCVvO6uvdMtTy6UewxxMGThnyWgUBqvR2o0/DxvrpVIGIyZM3oCTV8Y4RlfXlRmdL6&#10;A61xv0mdYBOKpdHQpzSVUsa2R2fizE9IfPvywZnEY+ikDebA5m6URZY9SGcG4oTeTPjcY7vd7JyG&#10;0/2WiifVqJUKzen1ZvH28pknra+v8uwRRMJj+hPDGZ/RoWamxu/IRjFqKO7mc5Zyc64s+F00GhZK&#10;gawr+f+D+gdQSwMEFAAAAAgAh07iQDgZjlYYAgAAMQQAAA4AAABkcnMvZTJvRG9jLnhtbK1Tu44T&#10;MRTtkfgHyz2ZJErY3VEmWyQsDYJIPPobj2fGkl/y9ebR0SG+gY6Sf4C/WQn+gmtPHuxCsQVTjGzf&#10;6+Nzjo9n1zuj2UYGVM5WfDQYciatcLWybcXfv7t5dskZRrA1aGdlxfcS+fX86ZPZ1pdy7DqnaxkY&#10;gVgst77iXYy+LAoUnTSAA+elpWLjgoFI09AWdYAtoRtdjIfD58XWhdoHJyQirS77Ij8ghscAuqZR&#10;Qi6duDXSxh41SA2RJGGnPPJ5Zts0UsQ3TYMyMl1xUhrznw6h8Tr9i/kMyjaA75Q4UIDHUHigyYCy&#10;dOgJagkR2G1Qf0EZJYJD18SBcKbohWRHSMVo+MCbtx14mbWQ1ehPpuP/gxWvN6vAVF3xS7p3C4Zu&#10;/Oenb78+fr778uPu+1c2mlwkk7YeS+pd2FVIMjEudjZvm5KTqt6dvJS2PpbGx9I4IRT3INIEfQ+2&#10;a4JhjVb+A+Uxu0i+sAzJ9mfgXWSiXxS0Orm4moynGRjKhJBo+YDxpXSGpUHFMQZQbRcXzlpKggs9&#10;OmxeYUyMzhvSZm3ZtuJXU0JlAijZDSWKhsaTO2jbzAydVvWN0jq7ENr1Qge2gZSu/B0I3WtLZJaA&#10;Xd+XS6kNyk5C/cLWLO492R6DAttqyRMNNJxpSQ9Ut31vBKXPvZae5r/6SJK2B697e5PRa1fvV+F4&#10;B5SkrP2Q+hTVP+d59/mlz3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oz9mH9YAAAAJAQAADwAA&#10;AAAAAAABACAAAAAiAAAAZHJzL2Rvd25yZXYueG1sUEsBAhQAFAAAAAgAh07iQDgZjlYYAgAAMQQA&#10;AA4AAAAAAAAAAQAgAAAAJQEAAGRycy9lMm9Eb2MueG1sUEsFBgAAAAAGAAYAWQEAAK8FAAAAAA==&#10;">
                      <v:fill on="f" focussize="0,0"/>
                      <v:stroke color="#000000" joinstyle="round" startarrow="block" startarrowwidth="narrow" startarrowlength="long" endarrowwidth="narrow" endarrowlength="long"/>
                      <v:imagedata o:title=""/>
                      <o:lock v:ext="edit" aspectratio="f"/>
                    </v:shape>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700224" behindDoc="0" locked="0" layoutInCell="1" allowOverlap="1">
                      <wp:simplePos x="0" y="0"/>
                      <wp:positionH relativeFrom="column">
                        <wp:posOffset>2493645</wp:posOffset>
                      </wp:positionH>
                      <wp:positionV relativeFrom="paragraph">
                        <wp:posOffset>237490</wp:posOffset>
                      </wp:positionV>
                      <wp:extent cx="894080" cy="300990"/>
                      <wp:effectExtent l="5080" t="5080" r="15240" b="11430"/>
                      <wp:wrapNone/>
                      <wp:docPr id="38" name="矩形 140"/>
                      <wp:cNvGraphicFramePr/>
                      <a:graphic xmlns:a="http://schemas.openxmlformats.org/drawingml/2006/main">
                        <a:graphicData uri="http://schemas.microsoft.com/office/word/2010/wordprocessingShape">
                          <wps:wsp>
                            <wps:cNvSpPr/>
                            <wps:spPr>
                              <a:xfrm>
                                <a:off x="0" y="0"/>
                                <a:ext cx="894080"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喷塑粉</w:t>
                                  </w:r>
                                </w:p>
                              </w:txbxContent>
                            </wps:txbx>
                            <wps:bodyPr upright="1"/>
                          </wps:wsp>
                        </a:graphicData>
                      </a:graphic>
                    </wp:anchor>
                  </w:drawing>
                </mc:Choice>
                <mc:Fallback>
                  <w:pict>
                    <v:rect id="矩形 140" o:spid="_x0000_s1026" o:spt="1" style="position:absolute;left:0pt;margin-left:196.35pt;margin-top:18.7pt;height:23.7pt;width:70.4pt;z-index:251700224;mso-width-relative:page;mso-height-relative:page;" fillcolor="#FFFFFF" filled="t" stroked="t" coordsize="21600,21600" o:gfxdata="UEsDBAoAAAAAAIdO4kAAAAAAAAAAAAAAAAAEAAAAZHJzL1BLAwQUAAAACACHTuJAPEc46tkAAAAJ&#10;AQAADwAAAGRycy9kb3ducmV2LnhtbE2PTU/DMAyG70j8h8hI3FiyfrCuNJ0EEgcECBgcOHpNaAuN&#10;UzXZVv495gQ3W370+nmrzewGcbBT6D1pWC4UCEuNNz21Gt5eby8KECEiGRw8WQ3fNsCmPj2psDT+&#10;SC/2sI2t4BAKJWroYhxLKUPTWYdh4UdLfPvwk8PI69RKM+GRw90gE6UupcOe+EOHo73pbPO13TsN&#10;n49P+fVd8pAEY+h+lutM4fO71udnS3UFIto5/sHwq8/qULPTzu/JBDFoSNfJilEeVhkIBvI0zUHs&#10;NBRZAbKu5P8G9Q9QSwMEFAAAAAgAh07iQMSqb6oJAgAAKQQAAA4AAABkcnMvZTJvRG9jLnhtbK1T&#10;zY7TMBC+I/EOlu80aXcXtVHTPVDKBcFKCw/g2k5iyX/yuE36NEjceAgeB/EajJ3Q7i572AM5OGN7&#10;5pv5vhmvbwejyVEGUM7WdD4rKZGWO6FsW9OvX3ZvlpRAZFYw7ays6UkCvd28frXufSUXrnNayEAQ&#10;xELV+5p2MfqqKIB30jCYOS8tXjYuGBZxG9pCBNYjutHFoizfFr0LwgfHJQCebsdLOiGGlwC6plFc&#10;bh0/GGnjiBqkZhEpQac80E2utmkkj5+bBmQkuqbINOYVk6C9T2uxWbOqDcx3ik8lsJeU8ISTYcpi&#10;0jPUlkVGDkH9A2UUDw5cE2fcmWIkkhVBFvPyiTb3HfMyc0GpwZ9Fh/8Hyz8d7wJRoqZX2HfLDHb8&#10;97cfv35+J/PrLE/voUKve38XUKy0AzQT16EJJv2RBRmypKezpHKIhOPhcnVdLlFsjldXZblaZczi&#10;EuwDxA/SGZKMmgbsWBaSHT9CxITo+tcl5QKnldgprfMmtPt3OpAjw+7u8pcaiiGP3LQlfU1XN4sb&#10;rIPhyDY4Kmgaj7TBtjnfowh4CFzm7zngVNiWQTcWkBHGgTIqyqQWqzrJxHsrSDx5VNbii6KpGCMF&#10;JVriA0xW9oxM6Wc8wUyOup1K0BYpXvqQrDjsBwRJ5t6JE3b04INqOxR0nqPSDU5Q1maa9jSiD/cZ&#10;9PLCN3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Ec46tkAAAAJAQAADwAAAAAAAAABACAAAAAi&#10;AAAAZHJzL2Rvd25yZXYueG1sUEsBAhQAFAAAAAgAh07iQMSqb6oJAgAAKQQAAA4AAAAAAAAAAQAg&#10;AAAAKAEAAGRycy9lMm9Eb2MueG1sUEsFBgAAAAAGAAYAWQEAAKMFA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喷塑粉</w:t>
                            </w:r>
                          </w:p>
                        </w:txbxContent>
                      </v:textbox>
                    </v:rect>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szCs w:val="24"/>
              </w:rPr>
              <mc:AlternateContent>
                <mc:Choice Requires="wps">
                  <w:drawing>
                    <wp:anchor distT="0" distB="0" distL="114300" distR="114300" simplePos="0" relativeHeight="251725824" behindDoc="0" locked="0" layoutInCell="1" allowOverlap="1">
                      <wp:simplePos x="0" y="0"/>
                      <wp:positionH relativeFrom="column">
                        <wp:posOffset>3401060</wp:posOffset>
                      </wp:positionH>
                      <wp:positionV relativeFrom="paragraph">
                        <wp:posOffset>100330</wp:posOffset>
                      </wp:positionV>
                      <wp:extent cx="378460" cy="4445"/>
                      <wp:effectExtent l="0" t="22225" r="2540" b="24130"/>
                      <wp:wrapNone/>
                      <wp:docPr id="90" name="自选图形 147"/>
                      <wp:cNvGraphicFramePr/>
                      <a:graphic xmlns:a="http://schemas.openxmlformats.org/drawingml/2006/main">
                        <a:graphicData uri="http://schemas.microsoft.com/office/word/2010/wordprocessingShape">
                          <wps:wsp>
                            <wps:cNvCnPr/>
                            <wps:spPr>
                              <a:xfrm>
                                <a:off x="0" y="0"/>
                                <a:ext cx="378460" cy="4445"/>
                              </a:xfrm>
                              <a:prstGeom prst="straightConnector1">
                                <a:avLst/>
                              </a:prstGeom>
                              <a:ln w="9525" cap="flat" cmpd="sng">
                                <a:solidFill>
                                  <a:srgbClr val="000000"/>
                                </a:solidFill>
                                <a:prstDash val="dash"/>
                                <a:headEnd type="none" w="med" len="med"/>
                                <a:tailEnd type="triangle" w="sm" len="lg"/>
                              </a:ln>
                            </wps:spPr>
                            <wps:bodyPr/>
                          </wps:wsp>
                        </a:graphicData>
                      </a:graphic>
                    </wp:anchor>
                  </w:drawing>
                </mc:Choice>
                <mc:Fallback>
                  <w:pict>
                    <v:shape id="自选图形 147" o:spid="_x0000_s1026" o:spt="32" type="#_x0000_t32" style="position:absolute;left:0pt;margin-left:267.8pt;margin-top:7.9pt;height:0.35pt;width:29.8pt;z-index:251725824;mso-width-relative:page;mso-height-relative:page;" filled="f" stroked="t" coordsize="21600,21600" o:gfxdata="UEsDBAoAAAAAAIdO4kAAAAAAAAAAAAAAAAAEAAAAZHJzL1BLAwQUAAAACACHTuJA3hYzb9cAAAAJ&#10;AQAADwAAAGRycy9kb3ducmV2LnhtbE2PS0/DMBCE70j8B2uRuCBqt8ihDXF6AMGBC9DA3Y03D9WP&#10;yHba8u9ZTnDcmU+zM9X27Cw7Ykxj8AqWCwEMfRvM6HsFn83z7RpYytobbYNHBd+YYFtfXlS6NOHk&#10;P/C4yz2jEJ9KrWDIeSo5T+2ATqdFmNCT14XodKYz9txEfaJwZ/lKiII7PXr6MOgJHwdsD7vZKVg3&#10;b917c9iImw6/Xp7m13tjY1Tq+mopHoBlPOc/GH7rU3WoqdM+zN4kZhXIO1kQSoakCQTIjVwB25NQ&#10;SOB1xf8vqH8AUEsDBBQAAAAIAIdO4kCR9LmiAwIAAOkDAAAOAAAAZHJzL2Uyb0RvYy54bWytU82O&#10;0zAQviPxDpbvNG1Jd5eo6R5alguCSsADuLaTWPKfPN6mvXFDPAM3jrwD+zYrwVswdkILy2UP5JCM&#10;7W++me/LeHl9MJrsZQDlbE1nkykl0nInlG1r+uH9zbMrSiAyK5h2Vtb0KIFer54+Wfa+knPXOS1k&#10;IEhioep9TbsYfVUUwDtpGEyclxYPGxcMi7gMbSEC65Hd6GI+nV4UvQvCB8clAO5uhkM6MobHELqm&#10;UVxuHL810saBNUjNIkqCTnmgq9xt00ge3zYNyEh0TVFpzG8sgvEuvYvVklVtYL5TfGyBPaaFB5oM&#10;UxaLnqg2LDJyG9Q/VEbx4MA1ccKdKQYh2RFUMZs+8OZdx7zMWtBq8CfT4f/R8jf7bSBK1PQFWmKZ&#10;wT/+49O3nx8/33+5u//+lczKy2RS76FC7Npuw7gCvw1J8aEJJn1RCzlkY48nY+UhEo6bzy+vygvk&#10;53hUluUiMRbnVB8gvpLOkBTUFGJgqu3i2lmLP9CFWbaW7V9DHBJ/J6S62pIeu1/MF8jPcCAbHAQM&#10;jUdRYNucC04rcaO0ThkQ2t1aB7JnaSjyMzb0FywV2TDoBpzAKKFY1UkmXlpB4tGjWRYvCU0dGCko&#10;0RLvVIoyMjKlz8gYFLOtHtBgRrBux9raoifJ5sHYFO2cOGa/8z5OQHZtnNY0Yn+uc/b5hq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4WM2/XAAAACQEAAA8AAAAAAAAAAQAgAAAAIgAAAGRycy9k&#10;b3ducmV2LnhtbFBLAQIUABQAAAAIAIdO4kCR9LmiAwIAAOkDAAAOAAAAAAAAAAEAIAAAACYBAABk&#10;cnMvZTJvRG9jLnhtbFBLBQYAAAAABgAGAFkBAACbBQAAAAA=&#10;">
                      <v:fill on="f" focussize="0,0"/>
                      <v:stroke color="#000000" joinstyle="round" dashstyle="dash" endarrow="block" endarrowwidth="narrow" endarrowlength="long"/>
                      <v:imagedata o:title=""/>
                      <o:lock v:ext="edit" aspectratio="f"/>
                    </v:shape>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722752" behindDoc="0" locked="0" layoutInCell="1" allowOverlap="1">
                      <wp:simplePos x="0" y="0"/>
                      <wp:positionH relativeFrom="column">
                        <wp:posOffset>2940685</wp:posOffset>
                      </wp:positionH>
                      <wp:positionV relativeFrom="paragraph">
                        <wp:posOffset>241300</wp:posOffset>
                      </wp:positionV>
                      <wp:extent cx="0" cy="284480"/>
                      <wp:effectExtent l="25400" t="0" r="25400" b="7620"/>
                      <wp:wrapNone/>
                      <wp:docPr id="84" name="自选图形 147"/>
                      <wp:cNvGraphicFramePr/>
                      <a:graphic xmlns:a="http://schemas.openxmlformats.org/drawingml/2006/main">
                        <a:graphicData uri="http://schemas.microsoft.com/office/word/2010/wordprocessingShape">
                          <wps:wsp>
                            <wps:cNvCnPr>
                              <a:stCxn id="42" idx="0"/>
                              <a:endCxn id="38" idx="2"/>
                            </wps:cNvCnPr>
                            <wps:spPr>
                              <a:xfrm flipV="1">
                                <a:off x="0" y="0"/>
                                <a:ext cx="0" cy="284480"/>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231.55pt;margin-top:19pt;height:22.4pt;width:0pt;z-index:251722752;mso-width-relative:page;mso-height-relative:page;" filled="f" stroked="t" coordsize="21600,21600" o:gfxdata="UEsDBAoAAAAAAIdO4kAAAAAAAAAAAAAAAAAEAAAAZHJzL1BLAwQUAAAACACHTuJABrz3LdcAAAAJ&#10;AQAADwAAAGRycy9kb3ducmV2LnhtbE2PTU/DMAyG70j8h8hIXNCWtoMplKYTQowbB8YOHNPGtNUa&#10;p0qyD/brMeIAR9uPXj9vtTq5URwwxMGThnyegUBqvR2o07B9X88UiJgMWTN6Qg1fGGFVX15UprT+&#10;SG942KROcAjF0mjoU5pKKWPbozNx7ickvn364EziMXTSBnPkcDfKIsuW0pmB+ENvJnzqsd1t9k7D&#10;+W5HxaNq1FqF5vxyc//6/JEnra+v8uwBRMJT+oPhR5/VoWanxu/JRjFquF0uckY1LBR3YuB30WhQ&#10;hQJZV/J/g/obUEsDBBQAAAAIAIdO4kA1B7Y8HAIAADEEAAAOAAAAZHJzL2Uyb0RvYy54bWytU72O&#10;EzEQ7pF4B8s92WTJQYiyuSLhaBCcxE8/8Xp3LflPHl826egQz0BHyTscb3MSvAVjby45Door2MJr&#10;e2Y+z/f58+J8ZzTbyoDK2YpPRmPOpBWuVrat+If3F09mnGEEW4N2VlZ8L5GfLx8/WvR+LkvXOV3L&#10;wAjE4rz3Fe9i9POiQNFJAzhyXloKNi4YiLQMbVEH6And6KIcj58VvQu1D05IRNpdD0F+QAwPAXRN&#10;o4RcO3FlpI0DapAaIlHCTnnky9xt00gR3zYNysh0xYlpzCMdQvNNGovlAuZtAN8pcWgBHtLCPU4G&#10;lKVDj1BriMCugvoLyigRHLomjoQzxUAkK0IsJuN72rzrwMvMhaRGfxQd/x+seLO9DEzVFZ9NObNg&#10;6MZ/fv7+69OXm68/bq6/scn0eRKp9zin3JW9DIkmxtXO5rJpyem/O2opbX0bekpOyqEyIRR/QKQF&#10;+gFs1wTDGq38R/JjVpF0YRmS7U/Au8jEsClot5xNp7N8fwXME0JqyweMr6QzLE0qjjGAaru4ctaS&#10;E1wY0GH7GmPq6FSQirVlfcVfnJVnnAkgZzfkKJoaT+qgbXNn6LSqL5TWWYXQblY6sC0kd+UvMyV9&#10;7qalZtaA3ZCXQ4PvOgn1S1uzuPckewwKbKslT22g4UxLeqC6HXIjKH3KtfQ0/5VHlLQ9aD3Im4Te&#10;uHp/GW7vgJyUuR9cn6x6d52rTy9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GvPct1wAAAAkB&#10;AAAPAAAAAAAAAAEAIAAAACIAAABkcnMvZG93bnJldi54bWxQSwECFAAUAAAACACHTuJANQe2PBwC&#10;AAAxBAAADgAAAAAAAAABACAAAAAmAQAAZHJzL2Uyb0RvYy54bWxQSwUGAAAAAAYABgBZAQAAtAUA&#10;AAAA&#10;">
                      <v:fill on="f" focussize="0,0"/>
                      <v:stroke color="#000000" joinstyle="round" startarrow="block" startarrowwidth="narrow" startarrowlength="long" endarrowwidth="narrow" endarrowlength="long"/>
                      <v:imagedata o:title=""/>
                      <o:lock v:ext="edit" aspectratio="f"/>
                    </v:shape>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704320" behindDoc="0" locked="0" layoutInCell="1" allowOverlap="1">
                      <wp:simplePos x="0" y="0"/>
                      <wp:positionH relativeFrom="column">
                        <wp:posOffset>1083310</wp:posOffset>
                      </wp:positionH>
                      <wp:positionV relativeFrom="paragraph">
                        <wp:posOffset>330200</wp:posOffset>
                      </wp:positionV>
                      <wp:extent cx="923290" cy="300990"/>
                      <wp:effectExtent l="5080" t="5080" r="11430" b="11430"/>
                      <wp:wrapNone/>
                      <wp:docPr id="50" name="矩形 140"/>
                      <wp:cNvGraphicFramePr/>
                      <a:graphic xmlns:a="http://schemas.openxmlformats.org/drawingml/2006/main">
                        <a:graphicData uri="http://schemas.microsoft.com/office/word/2010/wordprocessingShape">
                          <wps:wsp>
                            <wps:cNvSpPr/>
                            <wps:spPr>
                              <a:xfrm>
                                <a:off x="0" y="0"/>
                                <a:ext cx="923290"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自然晾干</w:t>
                                  </w:r>
                                </w:p>
                              </w:txbxContent>
                            </wps:txbx>
                            <wps:bodyPr upright="1"/>
                          </wps:wsp>
                        </a:graphicData>
                      </a:graphic>
                    </wp:anchor>
                  </w:drawing>
                </mc:Choice>
                <mc:Fallback>
                  <w:pict>
                    <v:rect id="矩形 140" o:spid="_x0000_s1026" o:spt="1" style="position:absolute;left:0pt;margin-left:85.3pt;margin-top:26pt;height:23.7pt;width:72.7pt;z-index:251704320;mso-width-relative:page;mso-height-relative:page;" fillcolor="#FFFFFF" filled="t" stroked="t" coordsize="21600,21600" o:gfxdata="UEsDBAoAAAAAAIdO4kAAAAAAAAAAAAAAAAAEAAAAZHJzL1BLAwQUAAAACACHTuJAxL1W3tgAAAAJ&#10;AQAADwAAAGRycy9kb3ducmV2LnhtbE2PPU/DMBCGdyT+g3VIbNROaAMJcSqBxIAAtRQGRjc+kkB8&#10;jmK3Tf891wm2e3WP3o9yOble7HEMnScNyUyBQKq97ajR8PH+eHULIkRD1vSeUMMRAyyr87PSFNYf&#10;6A33m9gINqFQGA1tjEMhZahbdCbM/IDEvy8/OhNZjo20ozmwuetlqlQmnemIE1oz4EOL9c9m5zR8&#10;v64W90/pSxqspedJ5nNl1p9aX14k6g5ExCn+wXCqz9Wh4k5bvyMbRM/6RmWMalikvImB6yTjY6sh&#10;z+cgq1L+X1D9AlBLAwQUAAAACACHTuJAEepQZAQCAAApBAAADgAAAGRycy9lMm9Eb2MueG1srVNL&#10;btswEN0X6B0I7mvJTl3UguUs4rqbog2Q9gA0SUkE+AOHtuTTFOiuh+hxil6jQ0q1kzSLLKIF9UgO&#10;H+e9Ga6vB6PJUQZQztZ0PispkZY7oWxb029fd2/eUwKRWcG0s7KmJwn0evP61br3lVy4zmkhA0ES&#10;C1Xva9rF6KuiAN5Jw2DmvLS42bhgWMRpaAsRWI/sRheLsnxX9C4IHxyXALi6HTfpxBieQ+iaRnG5&#10;dfxgpI0ja5CaRZQEnfJANznbppE8fmkakJHomqLSmEe8BPE+jcVmzao2MN8pPqXAnpPCI02GKYuX&#10;nqm2LDJyCOo/KqN4cOCaOOPOFKOQ7AiqmJePvLnrmJdZC1oN/mw6vBwt/3y8DUSJmi7REssMVvzP&#10;95+/f/0g87fZnt5DhVF3/jagWWkGCJPWoQkm/VEFGbKlp7OlcoiE4+JqcbVYITPHrauyXCFGluJy&#10;2AeIH6UzJIGaBqxYNpIdP0EcQ/+FpLvAaSV2Sus8Ce3+RgdyZFjdXf4m9gdh2pIeM1kulpgHw5Zt&#10;sFUQGo+ywbb5vgcn4D5xmb+niFNiWwbdmEBmSGGsMirKkFEnmfhgBYknj85afFE0JWOkoERLfIAJ&#10;5cjIlH4iEswUqNspBW3RwEsdEorDfkCSBPdOnLCiBx9U26Gh83wq7WAHZeenbk8ten+eSS8vfPM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L1W3tgAAAAJAQAADwAAAAAAAAABACAAAAAiAAAAZHJz&#10;L2Rvd25yZXYueG1sUEsBAhQAFAAAAAgAh07iQBHqUGQEAgAAKQQAAA4AAAAAAAAAAQAgAAAAJwEA&#10;AGRycy9lMm9Eb2MueG1sUEsFBgAAAAAGAAYAWQEAAJ0FA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自然晾干</w:t>
                            </w:r>
                          </w:p>
                        </w:txbxContent>
                      </v:textbox>
                    </v:rect>
                  </w:pict>
                </mc:Fallback>
              </mc:AlternateContent>
            </w:r>
          </w:p>
          <w:p>
            <w:pPr>
              <w:spacing w:line="360" w:lineRule="auto"/>
              <w:ind w:firstLine="480" w:firstLineChars="200"/>
              <w:rPr>
                <w:rFonts w:hint="default" w:ascii="Times New Roman" w:hAnsi="Times New Roman" w:cs="Times New Roman"/>
                <w:color w:val="auto"/>
                <w:szCs w:val="24"/>
              </w:rPr>
            </w:pPr>
            <w:r>
              <w:rPr>
                <w:sz w:val="24"/>
              </w:rPr>
              <mc:AlternateContent>
                <mc:Choice Requires="wps">
                  <w:drawing>
                    <wp:anchor distT="0" distB="0" distL="114300" distR="114300" simplePos="0" relativeHeight="251738112" behindDoc="0" locked="0" layoutInCell="1" allowOverlap="1">
                      <wp:simplePos x="0" y="0"/>
                      <wp:positionH relativeFrom="column">
                        <wp:posOffset>3423920</wp:posOffset>
                      </wp:positionH>
                      <wp:positionV relativeFrom="paragraph">
                        <wp:posOffset>265430</wp:posOffset>
                      </wp:positionV>
                      <wp:extent cx="467360" cy="252095"/>
                      <wp:effectExtent l="6350" t="36195" r="8890" b="16510"/>
                      <wp:wrapNone/>
                      <wp:docPr id="16" name="弧形 16"/>
                      <wp:cNvGraphicFramePr/>
                      <a:graphic xmlns:a="http://schemas.openxmlformats.org/drawingml/2006/main">
                        <a:graphicData uri="http://schemas.microsoft.com/office/word/2010/wordprocessingShape">
                          <wps:wsp>
                            <wps:cNvSpPr/>
                            <wps:spPr>
                              <a:xfrm>
                                <a:off x="0" y="0"/>
                                <a:ext cx="467360" cy="252095"/>
                              </a:xfrm>
                              <a:prstGeom prst="arc">
                                <a:avLst>
                                  <a:gd name="adj1" fmla="val 16200000"/>
                                  <a:gd name="adj2" fmla="val 11727835"/>
                                </a:avLst>
                              </a:prstGeom>
                              <a:ln w="12700">
                                <a:solidFill>
                                  <a:schemeClr val="tx1"/>
                                </a:solidFill>
                                <a:prstDash val="dash"/>
                                <a:headEnd type="arrow" w="sm" len="med"/>
                                <a:tailEnd type="none"/>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style="position:absolute;left:0pt;margin-left:269.6pt;margin-top:20.9pt;height:19.85pt;width:36.8pt;z-index:251738112;mso-width-relative:page;mso-height-relative:page;" filled="f" stroked="t" coordsize="467360,252095" o:gfxdata="UEsDBAoAAAAAAIdO4kAAAAAAAAAAAAAAAAAEAAAAZHJzL1BLAwQUAAAACACHTuJApNCU3tUAAAAJ&#10;AQAADwAAAGRycy9kb3ducmV2LnhtbE2PTU7DMBCF90jcwRokdtROoKWEOF0gOAApG3ZOPCRR43Fk&#10;u0nJ6RlWsJun+fR+ysPFjWLGEAdPGrKNAoHUejtQp+Hj+Ha3BxGTIWtGT6jhGyMcquur0hTWL/SO&#10;c506wSYUC6OhT2kqpIxtj87EjZ+Q+PflgzOJZeikDWZhczfKXKmddGYgTujNhC89tqf67Dj39bN5&#10;nAfl6zVMp7pZjuuaVq1vbzL1DCLhJf3B8Fufq0PFnRp/JhvFqGF7/5QzquEh4wkM7LKcj0bDPtuC&#10;rEr5f0H1A1BLAwQUAAAACACHTuJAKboFuBUCAAAvBAAADgAAAGRycy9lMm9Eb2MueG1srVNLchMx&#10;EN1TxR1U2pOxJ8QOLttZYMKGglQlHKAtaWZE6VdqxWNfhw2XgOPkHrQ0EzsJmyzwYtySWq/fe91a&#10;Xu2tYTsVUXu34tOzCWfKCS+1a1f8+931u0vOMIGTYLxTK35QyK/Wb98s+7BQte+8kSoyAnG46MOK&#10;dymFRVWh6JQFPPNBOTpsfLSQaBnbSkboCd2aqp5MZlXvowzRC4VIu5vhkI+I8TWAvmm0UBsv7q1y&#10;aUCNykAiSdjpgHxd2DaNEulb06BKzKw4KU3lS0Uo3uZvtV7Coo0QOi1GCvAaCi80WdCOih6hNpCA&#10;3Uf9D5TVInr0TToT3laDkOIIqZhOXnhz20FQRQtZjeFoOv4/WPF1dxOZljQJM84cWOr4w+9fD39+&#10;Mtogd/qAC0q6DTdxXCGFWeq+iTb/kwi2L44ejo6qfWKCNt/P5ucz8lrQUX1RTz5cZMzqdDlETJ+V&#10;tywHKw5RFBth9wVT8VOOpED+mHLWWEPt2YEhdjRM9Bs7+CStfpY2ndfzy/PHsiMuEXgsnIs4f62N&#10;KaNgHOvJi3pOyEwAzXdDc0WhDeQRupYzMC09HJFiYYreaJmvZyCM7fajiYwIkhVHflTuWVquvQHs&#10;hjxJ0aCiUyA/OcnSIVAbIEbf80wHLWdGUVGr5JCZQJtTpqOHOvpqHNmbezZ0KUdbLw+leWWf5qg0&#10;YJz5PKhP1+X26Z2v/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k0JTe1QAAAAkBAAAPAAAAAAAA&#10;AAEAIAAAACIAAABkcnMvZG93bnJldi54bWxQSwECFAAUAAAACACHTuJAKboFuBUCAAAvBAAADgAA&#10;AAAAAAABACAAAAAkAQAAZHJzL2Uyb0RvYy54bWxQSwUGAAAAAAYABgBZAQAAqwUAAAAA&#10;" path="m233679,0nsc362737,0,467359,56433,467359,126047c467359,195661,362737,252094,233679,252094c104621,252094,-1,195661,-1,126047c-1,105312,9281,85747,25715,68504l233680,126047xem233679,0nfc362737,0,467359,56433,467359,126047c467359,195661,362737,252094,233679,252094c104621,252094,-1,195661,-1,126047c-1,105312,9281,85747,25715,68504e">
                      <v:path o:connectlocs="233679,0;233680,126047;25752,68524" o:connectangles="164,213,261"/>
                      <v:fill on="f" focussize="0,0"/>
                      <v:stroke weight="1pt" color="#000000 [3213]" joinstyle="round" dashstyle="dash" startarrow="open" startarrowwidth="narrow"/>
                      <v:imagedata o:title=""/>
                      <o:lock v:ext="edit" aspectratio="f"/>
                    </v:shape>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739136" behindDoc="0" locked="0" layoutInCell="1" allowOverlap="1">
                      <wp:simplePos x="0" y="0"/>
                      <wp:positionH relativeFrom="column">
                        <wp:posOffset>3808095</wp:posOffset>
                      </wp:positionH>
                      <wp:positionV relativeFrom="paragraph">
                        <wp:posOffset>233680</wp:posOffset>
                      </wp:positionV>
                      <wp:extent cx="765175" cy="318770"/>
                      <wp:effectExtent l="0" t="0" r="0" b="0"/>
                      <wp:wrapNone/>
                      <wp:docPr id="17" name="矩形 148"/>
                      <wp:cNvGraphicFramePr/>
                      <a:graphic xmlns:a="http://schemas.openxmlformats.org/drawingml/2006/main">
                        <a:graphicData uri="http://schemas.microsoft.com/office/word/2010/wordprocessingShape">
                          <wps:wsp>
                            <wps:cNvSpPr/>
                            <wps:spPr>
                              <a:xfrm>
                                <a:off x="0" y="0"/>
                                <a:ext cx="765175" cy="318770"/>
                              </a:xfrm>
                              <a:prstGeom prst="rect">
                                <a:avLst/>
                              </a:prstGeom>
                              <a:noFill/>
                              <a:ln>
                                <a:noFill/>
                              </a:ln>
                            </wps:spPr>
                            <wps:txbx>
                              <w:txbxContent>
                                <w:p>
                                  <w:pPr>
                                    <w:pStyle w:val="14"/>
                                    <w:keepNext w:val="0"/>
                                    <w:keepLines w:val="0"/>
                                    <w:pageBreakBefore w:val="0"/>
                                    <w:kinsoku/>
                                    <w:wordWrap/>
                                    <w:overflowPunct/>
                                    <w:topLinePunct w:val="0"/>
                                    <w:autoSpaceDE/>
                                    <w:autoSpaceDN/>
                                    <w:bidi w:val="0"/>
                                    <w:adjustRightInd/>
                                    <w:spacing w:line="240" w:lineRule="exact"/>
                                    <w:jc w:val="center"/>
                                    <w:textAlignment w:val="auto"/>
                                    <w:rPr>
                                      <w:rFonts w:hint="default" w:eastAsia="宋体"/>
                                      <w:lang w:val="en-US" w:eastAsia="zh-CN"/>
                                    </w:rPr>
                                  </w:pPr>
                                  <w:r>
                                    <w:rPr>
                                      <w:rFonts w:hint="eastAsia" w:hAnsi="宋体"/>
                                      <w:sz w:val="21"/>
                                      <w:szCs w:val="21"/>
                                      <w:lang w:val="en-US" w:eastAsia="zh-CN"/>
                                    </w:rPr>
                                    <w:t>冷却水</w:t>
                                  </w:r>
                                </w:p>
                              </w:txbxContent>
                            </wps:txbx>
                            <wps:bodyPr upright="1"/>
                          </wps:wsp>
                        </a:graphicData>
                      </a:graphic>
                    </wp:anchor>
                  </w:drawing>
                </mc:Choice>
                <mc:Fallback>
                  <w:pict>
                    <v:rect id="矩形 148" o:spid="_x0000_s1026" o:spt="1" style="position:absolute;left:0pt;margin-left:299.85pt;margin-top:18.4pt;height:25.1pt;width:60.25pt;z-index:251739136;mso-width-relative:page;mso-height-relative:page;" filled="f" stroked="f" coordsize="21600,21600" o:gfxdata="UEsDBAoAAAAAAIdO4kAAAAAAAAAAAAAAAAAEAAAAZHJzL1BLAwQUAAAACACHTuJAtIbem9sAAAAJ&#10;AQAADwAAAGRycy9kb3ducmV2LnhtbE2PQU/CQBCF7yb+h82YeDGyS40USqccSIzEmBCLcF7atW3s&#10;zpbu0uK/dzjpcTJf3vteurrYVgym940jhOlEgTBUuLKhCuFz9/I4B+GDplK3jgzCj/Gwym5vUp2U&#10;bqQPM+ShEhxCPtEIdQhdIqUvamO1n7jOEP++XG914LOvZNnrkcNtKyOlZtLqhrih1p1Z16b4zs8W&#10;YSy2w2H3/iq3D4eNo9PmtM73b4j3d1O1BBHMJfzBcNVndcjY6ejOVHrRIjwvFjGjCE8znsBAHKkI&#10;xBFhHiuQWSr/L8h+AVBLAwQUAAAACACHTuJAKNBhU6QBAABDAwAADgAAAGRycy9lMm9Eb2MueG1s&#10;rVJLbtswEN0X6B0I7mtaaRMZguVsjHRTtAHSHoCmKIsAf5ihLfk0BbrrIXqcotfokFacNt1k0Q01&#10;P72Z92bWt5Oz7KgBTfAtrxZLzrRXoTN+3/Ivn+/erDjDJH0nbfC65SeN/Hbz+tV6jI2+CkOwnQZG&#10;IB6bMbZ8SCk2QqAatJO4CFF7SvYBnEzkwl50IEdCd1ZcLZc3YgzQRQhKI1J0e07yGRFeAhj63ii9&#10;DergtE9nVNBWJqKEg4nIN2Xavtcqfep71InZlhPTVF5qQvYuv2Kzls0eZByMmkeQLxnhGScnjaem&#10;F6itTJIdwPwD5YyCgKFPCxWcOBMpihCLavlMm4dBRl24kNQYL6Lj/4NVH4/3wExHl1Bz5qWjjf/6&#10;+v3nj2+serfK8owRG6p6iPcwe0hm5jr14PKXWLCpSHq6SKqnxBQF65vrqr7mTFHqbbWq6yK5ePo5&#10;Aqb3OjiWjZYDbawIKY8fMFFDKn0syb18uDPWlq1Z/1eACnNE5HnPE2YrTbtpHnsXuhNxPUQw+4Fa&#10;VZldKSdtS6P5DvLy/vRL1dPtb3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tIbem9sAAAAJAQAA&#10;DwAAAAAAAAABACAAAAAiAAAAZHJzL2Rvd25yZXYueG1sUEsBAhQAFAAAAAgAh07iQCjQYVOkAQAA&#10;QwMAAA4AAAAAAAAAAQAgAAAAKgEAAGRycy9lMm9Eb2MueG1sUEsFBgAAAAAGAAYAWQEAAEAFAAAA&#10;AA==&#10;">
                      <v:fill on="f" focussize="0,0"/>
                      <v:stroke on="f"/>
                      <v:imagedata o:title=""/>
                      <o:lock v:ext="edit" aspectratio="f"/>
                      <v:textbox>
                        <w:txbxContent>
                          <w:p>
                            <w:pPr>
                              <w:pStyle w:val="14"/>
                              <w:keepNext w:val="0"/>
                              <w:keepLines w:val="0"/>
                              <w:pageBreakBefore w:val="0"/>
                              <w:kinsoku/>
                              <w:wordWrap/>
                              <w:overflowPunct/>
                              <w:topLinePunct w:val="0"/>
                              <w:autoSpaceDE/>
                              <w:autoSpaceDN/>
                              <w:bidi w:val="0"/>
                              <w:adjustRightInd/>
                              <w:spacing w:line="240" w:lineRule="exact"/>
                              <w:jc w:val="center"/>
                              <w:textAlignment w:val="auto"/>
                              <w:rPr>
                                <w:rFonts w:hint="default" w:eastAsia="宋体"/>
                                <w:lang w:val="en-US" w:eastAsia="zh-CN"/>
                              </w:rPr>
                            </w:pPr>
                            <w:r>
                              <w:rPr>
                                <w:rFonts w:hint="eastAsia" w:hAnsi="宋体"/>
                                <w:sz w:val="21"/>
                                <w:szCs w:val="21"/>
                                <w:lang w:val="en-US" w:eastAsia="zh-CN"/>
                              </w:rPr>
                              <w:t>冷却水</w:t>
                            </w:r>
                          </w:p>
                        </w:txbxContent>
                      </v:textbox>
                    </v:rect>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728896" behindDoc="0" locked="0" layoutInCell="1" allowOverlap="1">
                      <wp:simplePos x="0" y="0"/>
                      <wp:positionH relativeFrom="column">
                        <wp:posOffset>-25400</wp:posOffset>
                      </wp:positionH>
                      <wp:positionV relativeFrom="paragraph">
                        <wp:posOffset>27305</wp:posOffset>
                      </wp:positionV>
                      <wp:extent cx="835025" cy="327660"/>
                      <wp:effectExtent l="0" t="0" r="0" b="0"/>
                      <wp:wrapNone/>
                      <wp:docPr id="94" name="矩形 148"/>
                      <wp:cNvGraphicFramePr/>
                      <a:graphic xmlns:a="http://schemas.openxmlformats.org/drawingml/2006/main">
                        <a:graphicData uri="http://schemas.microsoft.com/office/word/2010/wordprocessingShape">
                          <wps:wsp>
                            <wps:cNvSpPr/>
                            <wps:spPr>
                              <a:xfrm>
                                <a:off x="0" y="0"/>
                                <a:ext cx="835025" cy="327660"/>
                              </a:xfrm>
                              <a:prstGeom prst="rect">
                                <a:avLst/>
                              </a:prstGeom>
                              <a:noFill/>
                              <a:ln>
                                <a:noFill/>
                              </a:ln>
                            </wps:spPr>
                            <wps:txbx>
                              <w:txbxContent>
                                <w:p>
                                  <w:pPr>
                                    <w:keepNext w:val="0"/>
                                    <w:keepLines w:val="0"/>
                                    <w:pageBreakBefore w:val="0"/>
                                    <w:kinsoku/>
                                    <w:wordWrap/>
                                    <w:overflowPunct/>
                                    <w:topLinePunct w:val="0"/>
                                    <w:bidi w:val="0"/>
                                    <w:adjustRightInd/>
                                    <w:spacing w:line="240" w:lineRule="auto"/>
                                    <w:jc w:val="center"/>
                                    <w:textAlignment w:val="auto"/>
                                    <w:rPr>
                                      <w:rFonts w:hint="default"/>
                                      <w:lang w:val="en-US" w:eastAsia="zh-CN"/>
                                    </w:rPr>
                                  </w:pPr>
                                  <w:r>
                                    <w:rPr>
                                      <w:rFonts w:hint="eastAsia" w:hAnsi="宋体"/>
                                      <w:sz w:val="21"/>
                                      <w:szCs w:val="21"/>
                                      <w:lang w:val="en-US" w:eastAsia="zh-CN"/>
                                    </w:rPr>
                                    <w:t>有机废气</w:t>
                                  </w:r>
                                </w:p>
                              </w:txbxContent>
                            </wps:txbx>
                            <wps:bodyPr upright="1"/>
                          </wps:wsp>
                        </a:graphicData>
                      </a:graphic>
                    </wp:anchor>
                  </w:drawing>
                </mc:Choice>
                <mc:Fallback>
                  <w:pict>
                    <v:rect id="矩形 148" o:spid="_x0000_s1026" o:spt="1" style="position:absolute;left:0pt;margin-left:-2pt;margin-top:2.15pt;height:25.8pt;width:65.75pt;z-index:251728896;mso-width-relative:page;mso-height-relative:page;" filled="f" stroked="f" coordsize="21600,21600" o:gfxdata="UEsDBAoAAAAAAIdO4kAAAAAAAAAAAAAAAAAEAAAAZHJzL1BLAwQUAAAACACHTuJALDZqANkAAAAH&#10;AQAADwAAAGRycy9kb3ducmV2LnhtbE2PQU/CQBSE7yb+h80z8WJgC1KF2lcOJEZiTAhFOS/dZ9vY&#10;fVu6S4v/3uUkx8lMZr5Jl2fTiJ46V1tGmIwjEMSF1TWXCJ+719EchPOKtWosE8IvOVhmtzepSrQd&#10;eEt97ksRStglCqHyvk2kdEVFRrmxbYmD9207o3yQXSl1p4ZQbho5jaInaVTNYaFSLa0qKn7yk0EY&#10;ik2/3328yc3Dfm35uD6u8q93xPu7SfQCwtPZ/4fhgh/QIQtMB3ti7USDMJqFKx5h9gjiYk+fYxAH&#10;hDhegMxSec2f/QFQSwMEFAAAAAgAh07iQOZntHCmAQAAQwMAAA4AAABkcnMvZTJvRG9jLnhtbK1S&#10;S27bMBDdF+gdCO5ryU7iuoLlbIx0U7QB0hyApkiLAH+YoS35NAW66yF6nKLX6JBWnTbdZNENNTN8&#10;ejPvDde3o7PsqABN8C2fz2rOlJehM37f8sfPd29WnGESvhM2eNXyk0J+u3n9aj3ERi1CH2yngBGJ&#10;x2aILe9Tik1VoeyVEzgLUXm61AGcSJTCvupADMTubLWo62U1BOgiBKkQqbo9X/KJEV5CGLQ2Um2D&#10;PDjl05kVlBWJJGFvIvJNmVZrJdMnrVElZltOSlM5qQnFu3xWm7Vo9iBib+Q0gnjJCM80OWE8Nb1Q&#10;bUUS7ADmHypnJAQMOs1kcNVZSHGEVMzrZ9489CKqooWsxngxHf8frfx4vAdmupa/u+bMC0cb//nl&#10;24/vX9n8epXtGSI2hHqI9zBlSGHWOmpw+Usq2FgsPV0sVWNikoqrq5t6ccOZpKurxdvlslhePf0c&#10;AdN7FRzLQcuBNlaMFMcPmKghQX9Dci8f7oy1ZWvW/1UgYK5Ued7zhDlK426cxt6F7kRaDxHMvqdW&#10;86yuwMnb0mh6B3l5f+YF9fT2N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LDZqANkAAAAHAQAA&#10;DwAAAAAAAAABACAAAAAiAAAAZHJzL2Rvd25yZXYueG1sUEsBAhQAFAAAAAgAh07iQOZntHCmAQAA&#10;QwMAAA4AAAAAAAAAAQAgAAAAKAEAAGRycy9lMm9Eb2MueG1sUEsFBgAAAAAGAAYAWQEAAEAFAAAA&#10;AA==&#10;">
                      <v:fill on="f" focussize="0,0"/>
                      <v:stroke on="f"/>
                      <v:imagedata o:title=""/>
                      <o:lock v:ext="edit" aspectratio="f"/>
                      <v:textbox>
                        <w:txbxContent>
                          <w:p>
                            <w:pPr>
                              <w:keepNext w:val="0"/>
                              <w:keepLines w:val="0"/>
                              <w:pageBreakBefore w:val="0"/>
                              <w:kinsoku/>
                              <w:wordWrap/>
                              <w:overflowPunct/>
                              <w:topLinePunct w:val="0"/>
                              <w:bidi w:val="0"/>
                              <w:adjustRightInd/>
                              <w:spacing w:line="240" w:lineRule="auto"/>
                              <w:jc w:val="center"/>
                              <w:textAlignment w:val="auto"/>
                              <w:rPr>
                                <w:rFonts w:hint="default"/>
                                <w:lang w:val="en-US" w:eastAsia="zh-CN"/>
                              </w:rPr>
                            </w:pPr>
                            <w:r>
                              <w:rPr>
                                <w:rFonts w:hint="eastAsia" w:hAnsi="宋体"/>
                                <w:sz w:val="21"/>
                                <w:szCs w:val="21"/>
                                <w:lang w:val="en-US" w:eastAsia="zh-CN"/>
                              </w:rPr>
                              <w:t>有机废气</w:t>
                            </w:r>
                          </w:p>
                        </w:txbxContent>
                      </v:textbox>
                    </v:rect>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727872" behindDoc="0" locked="0" layoutInCell="1" allowOverlap="1">
                      <wp:simplePos x="0" y="0"/>
                      <wp:positionH relativeFrom="column">
                        <wp:posOffset>697230</wp:posOffset>
                      </wp:positionH>
                      <wp:positionV relativeFrom="paragraph">
                        <wp:posOffset>179705</wp:posOffset>
                      </wp:positionV>
                      <wp:extent cx="378460" cy="4445"/>
                      <wp:effectExtent l="0" t="24130" r="2540" b="22225"/>
                      <wp:wrapNone/>
                      <wp:docPr id="95" name="自选图形 147"/>
                      <wp:cNvGraphicFramePr/>
                      <a:graphic xmlns:a="http://schemas.openxmlformats.org/drawingml/2006/main">
                        <a:graphicData uri="http://schemas.microsoft.com/office/word/2010/wordprocessingShape">
                          <wps:wsp>
                            <wps:cNvCnPr/>
                            <wps:spPr>
                              <a:xfrm>
                                <a:off x="0" y="0"/>
                                <a:ext cx="378460" cy="4445"/>
                              </a:xfrm>
                              <a:prstGeom prst="straightConnector1">
                                <a:avLst/>
                              </a:prstGeom>
                              <a:ln w="9525" cap="flat" cmpd="sng">
                                <a:solidFill>
                                  <a:srgbClr val="000000"/>
                                </a:solidFill>
                                <a:prstDash val="dash"/>
                                <a:headEnd type="triangle" w="sm" len="lg"/>
                                <a:tailEnd type="none" w="sm" len="lg"/>
                              </a:ln>
                            </wps:spPr>
                            <wps:bodyPr/>
                          </wps:wsp>
                        </a:graphicData>
                      </a:graphic>
                    </wp:anchor>
                  </w:drawing>
                </mc:Choice>
                <mc:Fallback>
                  <w:pict>
                    <v:shape id="自选图形 147" o:spid="_x0000_s1026" o:spt="32" type="#_x0000_t32" style="position:absolute;left:0pt;margin-left:54.9pt;margin-top:14.15pt;height:0.35pt;width:29.8pt;z-index:251727872;mso-width-relative:page;mso-height-relative:page;" filled="f" stroked="t" coordsize="21600,21600" o:gfxdata="UEsDBAoAAAAAAIdO4kAAAAAAAAAAAAAAAAAEAAAAZHJzL1BLAwQUAAAACACHTuJArm2xi9UAAAAJ&#10;AQAADwAAAGRycy9kb3ducmV2LnhtbE2PwU7DMBBE70j8g7VI3KjdFtokxKkQEge4ERBnN16SUHsd&#10;xU7a/j3bExxnZzTzttydvBMzjrEPpGG5UCCQmmB7ajV8frzcZSBiMmSNC4QazhhhV11flaaw4Ujv&#10;ONepFVxCsTAaupSGQsrYdOhNXIQBib3vMHqTWI6ttKM5crl3cqXURnrTEy90ZsDnDptDPXkNmXM/&#10;D+pr+/Ykt2c51+tpOLyi1rc3S/UIIuEp/YXhgs/oUDHTPkxko3CsVc7oScMqW4O4BDb5PYg9H3IF&#10;sirl/w+qX1BLAwQUAAAACACHTuJAaamKr/4BAADnAwAADgAAAGRycy9lMm9Eb2MueG1srVNLjhMx&#10;EN0jcQfLe9JJyPxa6cwiYdggiARzgIrb3W3JP7k86WTHDnEGdiy5A9xmJLgFZXdIYGAxC3rhLttV&#10;r+o9V82vd0azrQyonK34ZDTmTFrhamXbit++u3l2yRlGsDVoZ2XF9xL59eLpk3nvSzl1ndO1DIxA&#10;LJa9r3gXoy+LAkUnDeDIeWnpsnHBQKRtaIs6QE/oRhfT8fi86F2ofXBCItLparjkB8TwGEDXNErI&#10;lRN3Rto4oAapIRIl7JRHvsjVNo0U8U3ToIxMV5yYxrxSErI3aS0WcyjbAL5T4lACPKaEB5wMKEtJ&#10;j1AriMDugvoLyigRHLomjoQzxUAkK0IsJuMH2rztwMvMhaRGfxQd/x+seL1dB6bqil+dcWbB0It/&#10;//Dlx/uP95++3X/9zCaziyRS77Ek36Vdh8MO/TokxrsmmPQnLmyXhd0fhZW7yAQdPr+4nJ2T5IKu&#10;ZrPZWUIsTqE+YHwpnWHJqDjGAKrt4tJZSw/owiRLC9tXGIfAXwEpr7asT9VPqX4B1JANNQKZxhMp&#10;tG2ORadVfaO0ThEY2s1SB7aF1BT5OxT0h1tKsgLsBr+arOQFZSehfmFrFveexIpBgW215KkKNJxp&#10;SWOl28E3gtInX0sD9S8/kkJbUiSJPMiarI2r91ntfE7vnzU79GpqsN/3Ofo0n4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rm2xi9UAAAAJAQAADwAAAAAAAAABACAAAAAiAAAAZHJzL2Rvd25yZXYu&#10;eG1sUEsBAhQAFAAAAAgAh07iQGmpiq/+AQAA5wMAAA4AAAAAAAAAAQAgAAAAJAEAAGRycy9lMm9E&#10;b2MueG1sUEsFBgAAAAAGAAYAWQEAAJQFAAAAAA==&#10;">
                      <v:fill on="f" focussize="0,0"/>
                      <v:stroke color="#000000" joinstyle="round" dashstyle="dash" startarrow="block" startarrowwidth="narrow" startarrowlength="long" endarrowwidth="narrow" endarrowlength="long"/>
                      <v:imagedata o:title=""/>
                      <o:lock v:ext="edit" aspectratio="f"/>
                    </v:shape>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szCs w:val="24"/>
              </w:rPr>
              <mc:AlternateContent>
                <mc:Choice Requires="wps">
                  <w:drawing>
                    <wp:anchor distT="0" distB="0" distL="114300" distR="114300" simplePos="0" relativeHeight="251724800" behindDoc="0" locked="0" layoutInCell="1" allowOverlap="1">
                      <wp:simplePos x="0" y="0"/>
                      <wp:positionH relativeFrom="column">
                        <wp:posOffset>1946910</wp:posOffset>
                      </wp:positionH>
                      <wp:positionV relativeFrom="paragraph">
                        <wp:posOffset>36830</wp:posOffset>
                      </wp:positionV>
                      <wp:extent cx="0" cy="484505"/>
                      <wp:effectExtent l="25400" t="0" r="25400" b="10795"/>
                      <wp:wrapNone/>
                      <wp:docPr id="87" name="自选图形 147"/>
                      <wp:cNvGraphicFramePr/>
                      <a:graphic xmlns:a="http://schemas.openxmlformats.org/drawingml/2006/main">
                        <a:graphicData uri="http://schemas.microsoft.com/office/word/2010/wordprocessingShape">
                          <wps:wsp>
                            <wps:cNvCnPr/>
                            <wps:spPr>
                              <a:xfrm flipV="1">
                                <a:off x="0" y="0"/>
                                <a:ext cx="0" cy="484505"/>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153.3pt;margin-top:2.9pt;height:38.15pt;width:0pt;z-index:251724800;mso-width-relative:page;mso-height-relative:page;" filled="f" stroked="t" coordsize="21600,21600" o:gfxdata="UEsDBAoAAAAAAIdO4kAAAAAAAAAAAAAAAAAEAAAAZHJzL1BLAwQUAAAACACHTuJAI+rCC9YAAAAI&#10;AQAADwAAAGRycy9kb3ducmV2LnhtbE2PzU7DMBCE70i8g7VIXBC1E9TIhGwqhCg3DhQOHJ14SaLG&#10;6yh2f+jTY8SBHkczmvmmWh3dKPY0h8EzQrZQIIhbbwfuED7e17caRIiGrRk9E8I3BVjVlxeVKa0/&#10;8BvtN7ETqYRDaRD6GKdSytD25ExY+Ik4eV9+diYmOXfSzuaQyt0oc6UK6czAaaE3Ez311G43O4dw&#10;Wm45f9SNXuu5Ob3c3L8+f2YR8foqUw8gIh3jfxh+8RM61Imp8Tu2QYwId6ooUhRhmR4k/083CDrP&#10;QNaVPD9Q/wBQSwMEFAAAAAgAh07iQEPWmvwDAgAA7wMAAA4AAABkcnMvZTJvRG9jLnhtbK1TvY4T&#10;MRDukXgHyz3ZJEq4sMrmioSjQRCJn37i9e5a8p88vmzS0SGegY6Sd+De5iR4C8bekIOD4gq2sMbj&#10;bz7P9+14eXkwmu1lQOVsxSejMWfSClcr21b83durJwvOMIKtQTsrK36UyC9Xjx8te1/KqeucrmVg&#10;RGKx7H3Fuxh9WRQoOmkAR85LS4eNCwYibUNb1AF6Yje6mI7HT4vehdoHJyQiZTfDIT8xhocQuqZR&#10;Qm6cuDbSxoE1SA2RJGGnPPJV7rZppIivmwZlZLripDTmlS6heJfWYrWEsg3gOyVOLcBDWrinyYCy&#10;dOmZagMR2HVQf1EZJYJD18SRcKYYhGRHSMVkfM+bNx14mbWQ1ejPpuP/oxWv9tvAVF3xxQVnFgz9&#10;8e8fv/748On2883tty9sMrtIJvUeS8Ku7Tacdui3ISk+NMGwRiv/nqYpe0Cq2CFbfDxbLA+RiSEp&#10;KDtbzObjeSIuBobE5APGF9IZloKKYwyg2i6unbX0H10Y2GH/EuNQ+KsgFWvL+oo/m0/nnAmguWxo&#10;Hig0nrShbXNn6LSqr5TWqQJDu1vrwPaQZiN/p4b+gKVLNoDdgMtHCQZlJ6F+bmsWj55Mi0GBbbXk&#10;qQ00nGlJz0u3AzaC0ndYSw/rXzjyQluyJJk92JuinauP2fWcpznIpp1mNg3a7/tcffdOV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rCC9YAAAAIAQAADwAAAAAAAAABACAAAAAiAAAAZHJzL2Rv&#10;d25yZXYueG1sUEsBAhQAFAAAAAgAh07iQEPWmvwDAgAA7wMAAA4AAAAAAAAAAQAgAAAAJQEAAGRy&#10;cy9lMm9Eb2MueG1sUEsFBgAAAAAGAAYAWQEAAJoFAAAAAA==&#10;">
                      <v:fill on="f" focussize="0,0"/>
                      <v:stroke color="#000000" joinstyle="round" startarrow="block" startarrowwidth="narrow" startarrowlength="long" endarrowwidth="narrow" endarrowlength="long"/>
                      <v:imagedata o:title=""/>
                      <o:lock v:ext="edit" aspectratio="f"/>
                    </v:shape>
                  </w:pict>
                </mc:Fallback>
              </mc:AlternateContent>
            </w:r>
            <w:r>
              <w:rPr>
                <w:rFonts w:hint="default" w:ascii="Times New Roman" w:hAnsi="Times New Roman" w:cs="Times New Roman"/>
                <w:b/>
                <w:color w:val="auto"/>
                <w:szCs w:val="24"/>
              </w:rPr>
              <mc:AlternateContent>
                <mc:Choice Requires="wps">
                  <w:drawing>
                    <wp:anchor distT="0" distB="0" distL="114300" distR="114300" simplePos="0" relativeHeight="251723776" behindDoc="0" locked="0" layoutInCell="1" allowOverlap="1">
                      <wp:simplePos x="0" y="0"/>
                      <wp:positionH relativeFrom="column">
                        <wp:posOffset>2694940</wp:posOffset>
                      </wp:positionH>
                      <wp:positionV relativeFrom="paragraph">
                        <wp:posOffset>238125</wp:posOffset>
                      </wp:positionV>
                      <wp:extent cx="0" cy="284480"/>
                      <wp:effectExtent l="25400" t="0" r="25400" b="7620"/>
                      <wp:wrapNone/>
                      <wp:docPr id="85" name="自选图形 147"/>
                      <wp:cNvGraphicFramePr/>
                      <a:graphic xmlns:a="http://schemas.openxmlformats.org/drawingml/2006/main">
                        <a:graphicData uri="http://schemas.microsoft.com/office/word/2010/wordprocessingShape">
                          <wps:wsp>
                            <wps:cNvCnPr/>
                            <wps:spPr>
                              <a:xfrm flipV="1">
                                <a:off x="0" y="0"/>
                                <a:ext cx="0" cy="284480"/>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212.2pt;margin-top:18.75pt;height:22.4pt;width:0pt;z-index:251723776;mso-width-relative:page;mso-height-relative:page;" filled="f" stroked="t" coordsize="21600,21600" o:gfxdata="UEsDBAoAAAAAAIdO4kAAAAAAAAAAAAAAAAAEAAAAZHJzL1BLAwQUAAAACACHTuJAjurB5NgAAAAJ&#10;AQAADwAAAGRycy9kb3ducmV2LnhtbE2PTU/DMAyG70j8h8hIXBBL23UQSt0JIbYbBwYHjmlj2mqN&#10;UzXZB/v1BHEYR9uPXj9vuTzaQexp8r1jhHSWgCBunOm5Rfh4X90qED5oNnpwTAjf5GFZXV6UujDu&#10;wG+034RWxBD2hUboQhgLKX3TkdV+5kbiePtyk9UhjlMrzaQPMdwOMkuSO2l1z/FDp0d67qjZbnYW&#10;4bTYcvakarVSU31a3zy8vnymAfH6Kk0eQQQ6hjMMv/pRHaroVLsdGy8GhDzL84gizO8XICLwt6gR&#10;VDYHWZXyf4PqB1BLAwQUAAAACACHTuJAS7FnogICAADvAwAADgAAAGRycy9lMm9Eb2MueG1srVO9&#10;jhMxEO6ReAfLPdkkykGIsrki4WgQROKnd7z2riX/acaXTTo6xDPQUfIO8DYnwVsw9oYcHBRXsIVl&#10;j2e+me/bz8vLg7NsrwBN8DWfjMacKS9DY3xb87dvrh7NOcMkfCNs8KrmR4X8cvXwwbKPCzUNXbCN&#10;AkYgHhd9rHmXUlxUFcpOOYGjEJWnSx3AiURHaKsGRE/ozlbT8fhx1QdoIgSpECm6GS75CRHuAxi0&#10;NlJtgrx2yqcBFZQViShhZyLyVZlWayXTK61RJWZrTkxTWakJ7Xd5rVZLsWhBxM7I0wjiPiPc4eSE&#10;8dT0DLURSbBrMH9BOSMhYNBpJIOrBiJFEWIxGd/R5nUnoipcSGqMZ9Hx/8HKl/stMNPUfH7BmReO&#10;/vj3D19+vP948+nbzdfPbDJ7kkXqIy4od+23cDph3EJmfNDgmLYmviM3FQ2IFTsUiY9nidUhMTkE&#10;JUWn89lsXtSvBoSMFAHTcxUcy5uaYwJh2i6tg/f0HwMM6GL/AhPNQIW/CnKx9ayv+dOLKdGQgnyp&#10;yQ+0dZG4oW/LZBisaa6MtbkCod2tLbC9yN4oX2ZKuH+k5SYbgd2QV64G13RKNM98w9IxkmgJjPCt&#10;VTyPgY4zq+h52XbITcLY21xPD+tfedTaepogiz3Im3e70ByL6iVOPigznjybjfb7uVTfvtPV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7qweTYAAAACQEAAA8AAAAAAAAAAQAgAAAAIgAAAGRycy9k&#10;b3ducmV2LnhtbFBLAQIUABQAAAAIAIdO4kBLsWeiAgIAAO8DAAAOAAAAAAAAAAEAIAAAACcBAABk&#10;cnMvZTJvRG9jLnhtbFBLBQYAAAAABgAGAFkBAACbBQAAAAA=&#10;">
                      <v:fill on="f" focussize="0,0"/>
                      <v:stroke color="#000000" joinstyle="round" startarrow="block" startarrowwidth="narrow" startarrowlength="long" endarrowwidth="narrow" endarrowlength="long"/>
                      <v:imagedata o:title=""/>
                      <o:lock v:ext="edit" aspectratio="f"/>
                    </v:shape>
                  </w:pict>
                </mc:Fallback>
              </mc:AlternateContent>
            </w:r>
            <w:r>
              <w:rPr>
                <w:rFonts w:hint="default" w:ascii="Times New Roman" w:hAnsi="Times New Roman" w:cs="Times New Roman"/>
                <w:b/>
                <w:color w:val="auto"/>
                <w:u w:val="single"/>
              </w:rPr>
              <mc:AlternateContent>
                <mc:Choice Requires="wps">
                  <w:drawing>
                    <wp:anchor distT="0" distB="0" distL="114300" distR="114300" simplePos="0" relativeHeight="251701248" behindDoc="0" locked="0" layoutInCell="1" allowOverlap="1">
                      <wp:simplePos x="0" y="0"/>
                      <wp:positionH relativeFrom="column">
                        <wp:posOffset>2493645</wp:posOffset>
                      </wp:positionH>
                      <wp:positionV relativeFrom="paragraph">
                        <wp:posOffset>-68580</wp:posOffset>
                      </wp:positionV>
                      <wp:extent cx="894080" cy="300990"/>
                      <wp:effectExtent l="5080" t="5080" r="15240" b="11430"/>
                      <wp:wrapNone/>
                      <wp:docPr id="42" name="矩形 140"/>
                      <wp:cNvGraphicFramePr/>
                      <a:graphic xmlns:a="http://schemas.openxmlformats.org/drawingml/2006/main">
                        <a:graphicData uri="http://schemas.microsoft.com/office/word/2010/wordprocessingShape">
                          <wps:wsp>
                            <wps:cNvSpPr/>
                            <wps:spPr>
                              <a:xfrm>
                                <a:off x="0" y="0"/>
                                <a:ext cx="894080"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冷  却</w:t>
                                  </w:r>
                                </w:p>
                              </w:txbxContent>
                            </wps:txbx>
                            <wps:bodyPr upright="1"/>
                          </wps:wsp>
                        </a:graphicData>
                      </a:graphic>
                    </wp:anchor>
                  </w:drawing>
                </mc:Choice>
                <mc:Fallback>
                  <w:pict>
                    <v:rect id="矩形 140" o:spid="_x0000_s1026" o:spt="1" style="position:absolute;left:0pt;margin-left:196.35pt;margin-top:-5.4pt;height:23.7pt;width:70.4pt;z-index:251701248;mso-width-relative:page;mso-height-relative:page;" fillcolor="#FFFFFF" filled="t" stroked="t" coordsize="21600,21600" o:gfxdata="UEsDBAoAAAAAAIdO4kAAAAAAAAAAAAAAAAAEAAAAZHJzL1BLAwQUAAAACACHTuJA2W5r19kAAAAK&#10;AQAADwAAAGRycy9kb3ducmV2LnhtbE2PwU7DMBBE70j8g7VI3Fo7CQk0xKkEEgcEFVA4cHTjJQnE&#10;6yh22/D3LCc4ruZp9k21nt0gDjiF3pOGZKlAIDXe9tRqeHu9W1yBCNGQNYMn1PCNAdb16UllSuuP&#10;9IKHbWwFl1AojYYuxrGUMjQdOhOWfkTi7MNPzkQ+p1bayRy53A0yVaqQzvTEHzoz4m2Hzdd27zR8&#10;bp7ym/v0MQ3W0sMsVxfKPL9rfX6WqGsQEef4B8OvPqtDzU47vycbxKAhW6WXjGpYJIo3MJFnWQ5i&#10;x1FRgKwr+X9C/QNQSwMEFAAAAAgAh07iQHDmwggJAgAAKQQAAA4AAABkcnMvZTJvRG9jLnhtbK1T&#10;S27bMBDdF+gdCO5ryY5T2ILlLOK6m6INkPQANElJBPgDh7bk0xTorofocYpeo0NatZM0iyyqBTUk&#10;Z97MezNc3QxGk4MMoJyt6XRSUiItd0LZtqZfH7bvFpRAZFYw7ays6VECvVm/fbPqfSVnrnNayEAQ&#10;xELV+5p2MfqqKIB30jCYOC8tXjYuGBZxG9pCBNYjutHFrCzfF70LwgfHJQCebk6XdEQMrwF0TaO4&#10;3Di+N9LGE2qQmkWkBJ3yQNe52qaRPH5pGpCR6Joi05hXTIL2Lq3FesWqNjDfKT6WwF5TwjNOhimL&#10;Sc9QGxYZ2Qf1D5RRPDhwTZxwZ4oTkawIspiWz7S575iXmQtKDf4sOvw/WP75cBeIEjWdzyixzGDH&#10;f3/78evndzKdZ3l6DxV63fu7gGKlHaCZuA5NMOmPLMiQJT2eJZVDJBwPF8t5uUCxOV5dleVymTGL&#10;S7APED9KZ0gyahqwY1lIdvgEEROi61+XlAucVmKrtM6b0O5udSAHht3d5i81FEOeuGlL+pour2fX&#10;WAfDkW1wVNA0HmmDbXO+JxHwGLjM30vAqbANg+5UQEY4DZRRUSa1WNVJJj5YQeLRo7IWXxRNxRgp&#10;KNESH2CysmdkSr/gCWZ01O1YgrZI8dKHZMVhNyBIMndOHLGjex9U26Gg0xyVbnCCsjbjtKcRfbzP&#10;oJcXvv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2W5r19kAAAAKAQAADwAAAAAAAAABACAAAAAi&#10;AAAAZHJzL2Rvd25yZXYueG1sUEsBAhQAFAAAAAgAh07iQHDmwggJAgAAKQQAAA4AAAAAAAAAAQAg&#10;AAAAKAEAAGRycy9lMm9Eb2MueG1sUEsFBgAAAAAGAAYAWQEAAKMFA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冷  却</w:t>
                            </w:r>
                          </w:p>
                        </w:txbxContent>
                      </v:textbox>
                    </v:rect>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u w:val="single"/>
              </w:rPr>
              <mc:AlternateContent>
                <mc:Choice Requires="wps">
                  <w:drawing>
                    <wp:anchor distT="0" distB="0" distL="114300" distR="114300" simplePos="0" relativeHeight="251702272" behindDoc="0" locked="0" layoutInCell="1" allowOverlap="1">
                      <wp:simplePos x="0" y="0"/>
                      <wp:positionH relativeFrom="column">
                        <wp:posOffset>1905000</wp:posOffset>
                      </wp:positionH>
                      <wp:positionV relativeFrom="paragraph">
                        <wp:posOffset>219075</wp:posOffset>
                      </wp:positionV>
                      <wp:extent cx="894080" cy="300990"/>
                      <wp:effectExtent l="5080" t="5080" r="15240" b="11430"/>
                      <wp:wrapNone/>
                      <wp:docPr id="43" name="矩形 140"/>
                      <wp:cNvGraphicFramePr/>
                      <a:graphic xmlns:a="http://schemas.openxmlformats.org/drawingml/2006/main">
                        <a:graphicData uri="http://schemas.microsoft.com/office/word/2010/wordprocessingShape">
                          <wps:wsp>
                            <wps:cNvSpPr/>
                            <wps:spPr>
                              <a:xfrm>
                                <a:off x="0" y="0"/>
                                <a:ext cx="894080"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检  测</w:t>
                                  </w:r>
                                </w:p>
                              </w:txbxContent>
                            </wps:txbx>
                            <wps:bodyPr upright="1"/>
                          </wps:wsp>
                        </a:graphicData>
                      </a:graphic>
                    </wp:anchor>
                  </w:drawing>
                </mc:Choice>
                <mc:Fallback>
                  <w:pict>
                    <v:rect id="矩形 140" o:spid="_x0000_s1026" o:spt="1" style="position:absolute;left:0pt;margin-left:150pt;margin-top:17.25pt;height:23.7pt;width:70.4pt;z-index:251702272;mso-width-relative:page;mso-height-relative:page;" fillcolor="#FFFFFF" filled="t" stroked="t" coordsize="21600,21600" o:gfxdata="UEsDBAoAAAAAAIdO4kAAAAAAAAAAAAAAAAAEAAAAZHJzL1BLAwQUAAAACACHTuJA7AM0pdgAAAAJ&#10;AQAADwAAAGRycy9kb3ducmV2LnhtbE2PwU7DMAyG70i8Q2Qkbixp6dBWmk4CiQMCNBgcOHqLaQuN&#10;UzXZVt4ec4KbLf/6/X3VavK9OtAYu8AWspkBRbwLruPGwtvr3cUCVEzIDvvAZOGbIqzq05MKSxeO&#10;/EKHTWqUlHAs0UKb0lBqHXcteYyzMBDL7SOMHpOsY6PdiEcp973OjbnSHjuWDy0OdNvS7muz9xY+&#10;n9bzm/v8MY/O8cOkl4XB53drz88ycw0q0ZT+wvCLL+hQC9M27NlF1Vu4NEZckgzFHJQEisKIy9bC&#10;IluCriv936D+AVBLAwQUAAAACACHTuJAyC9+cgkCAAApBAAADgAAAGRycy9lMm9Eb2MueG1srVNL&#10;btswEN0X6B0I7mvJjlPYguUs4rqbog2Q9gA0SUkE+AOHtuTTFOiuh+hxil6jQ1q1kzSLLKIFNSRn&#10;3sx7M1zdDEaTgwygnK3pdFJSIi13Qtm2pt++bt8tKIHIrGDaWVnTowR6s377ZtX7Ss5c57SQgSCI&#10;har3Ne1i9FVRAO+kYTBxXlq8bFwwLOI2tIUIrEd0o4tZWb4veheED45LADzdnC7piBheAuiaRnG5&#10;cXxvpI0n1CA1i0gJOuWBrnO1TSN5/NI0ICPRNUWmMa+YBO1dWov1ilVtYL5TfCyBvaSEJ5wMUxaT&#10;nqE2LDKyD+o/KKN4cOCaOOHOFCciWRFkMS2faHPfMS8zF5Qa/Fl0eD1Y/vlwF4gSNZ1fUWKZwY7/&#10;+f7z968fZDrP8vQeKvS693cBxUo7QDNxHZpg0h9ZkCFLejxLKodIOB4ulvNygWJzvLoqy+UyYxaX&#10;YB8gfpTOkGTUNGDHspDs8AkiJkTXfy4pFzitxFZpnTeh3d3qQA4Mu7vNX2oohjxy05b0NV1ez66x&#10;DoYj2+CooGk80gbb5nyPIuAhcJm/54BTYRsG3amAjHAaKKOiTGqxqpNMfLCCxKNHZS2+KJqKMVJQ&#10;oiU+wGRlz8iUfsYTzOio27EEbZHipQ/JisNuQJBk7pw4Ykf3Pqi2Q0GnOSrd4ARlbcZpTyP6cJ9B&#10;Ly98/R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sAzSl2AAAAAkBAAAPAAAAAAAAAAEAIAAAACIA&#10;AABkcnMvZG93bnJldi54bWxQSwECFAAUAAAACACHTuJAyC9+cgkCAAApBAAADgAAAAAAAAABACAA&#10;AAAnAQAAZHJzL2Uyb0RvYy54bWxQSwUGAAAAAAYABgBZAQAAogU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检  测</w:t>
                            </w:r>
                          </w:p>
                        </w:txbxContent>
                      </v:textbox>
                    </v:rect>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szCs w:val="24"/>
              </w:rPr>
              <mc:AlternateContent>
                <mc:Choice Requires="wps">
                  <w:drawing>
                    <wp:anchor distT="0" distB="0" distL="114300" distR="114300" simplePos="0" relativeHeight="251718656" behindDoc="0" locked="0" layoutInCell="1" allowOverlap="1">
                      <wp:simplePos x="0" y="0"/>
                      <wp:positionH relativeFrom="column">
                        <wp:posOffset>2352040</wp:posOffset>
                      </wp:positionH>
                      <wp:positionV relativeFrom="paragraph">
                        <wp:posOffset>222885</wp:posOffset>
                      </wp:positionV>
                      <wp:extent cx="0" cy="285115"/>
                      <wp:effectExtent l="25400" t="0" r="25400" b="6985"/>
                      <wp:wrapNone/>
                      <wp:docPr id="86" name="自选图形 147"/>
                      <wp:cNvGraphicFramePr/>
                      <a:graphic xmlns:a="http://schemas.openxmlformats.org/drawingml/2006/main">
                        <a:graphicData uri="http://schemas.microsoft.com/office/word/2010/wordprocessingShape">
                          <wps:wsp>
                            <wps:cNvCnPr>
                              <a:stCxn id="48" idx="0"/>
                              <a:endCxn id="43" idx="2"/>
                            </wps:cNvCnPr>
                            <wps:spPr>
                              <a:xfrm flipV="1">
                                <a:off x="0" y="0"/>
                                <a:ext cx="0" cy="285115"/>
                              </a:xfrm>
                              <a:prstGeom prst="straightConnector1">
                                <a:avLst/>
                              </a:prstGeom>
                              <a:ln w="9525" cap="flat" cmpd="sng">
                                <a:solidFill>
                                  <a:srgbClr val="000000"/>
                                </a:solidFill>
                                <a:prstDash val="solid"/>
                                <a:headEnd type="triangle" w="sm" len="lg"/>
                                <a:tailEnd type="none" w="sm" len="lg"/>
                              </a:ln>
                            </wps:spPr>
                            <wps:bodyPr/>
                          </wps:wsp>
                        </a:graphicData>
                      </a:graphic>
                    </wp:anchor>
                  </w:drawing>
                </mc:Choice>
                <mc:Fallback>
                  <w:pict>
                    <v:shape id="自选图形 147" o:spid="_x0000_s1026" o:spt="32" type="#_x0000_t32" style="position:absolute;left:0pt;flip:y;margin-left:185.2pt;margin-top:17.55pt;height:22.45pt;width:0pt;z-index:251718656;mso-width-relative:page;mso-height-relative:page;" filled="f" stroked="t" coordsize="21600,21600" o:gfxdata="UEsDBAoAAAAAAIdO4kAAAAAAAAAAAAAAAAAEAAAAZHJzL1BLAwQUAAAACACHTuJA7eJPldYAAAAJ&#10;AQAADwAAAGRycy9kb3ducmV2LnhtbE2PPU/DMBCGdyT+g3VILIjaKRRMiFMhRNkYKAyMTnwkUeNz&#10;ZLsf9NdziAG2+3j03nPV8uBHscOYhkAGipkCgdQGN1Bn4P1tdalBpGzJ2TEQGvjCBMv69KSypQt7&#10;esXdOneCQyiV1kCf81RKmdoevU2zMCHx7jNEbzO3sZMu2j2H+1HOlbqR3g7EF3o74WOP7Wa99QaO&#10;iw3NH3SjVzo2x+eLu5enjyIbc35WqHsQGQ/5D4YffVaHmp2asCWXxGjg6lZdM8rFogDBwO+gMaCV&#10;AllX8v8H9TdQSwMEFAAAAAgAh07iQIW3z0sZAgAAMQQAAA4AAABkcnMvZTJvRG9jLnhtbK1Tu44T&#10;MRTtkfgHyz2ZJGyWMMpki4SlQbASj/7G45mx5Jd8vXl0dIhvoKPkH5a/WQn+gmvPkLALxRZMYdm+&#10;18fnnDleXOyNZlsZUDlb8clozJm0wtXKthV//+7yyZwzjGBr0M7Kih8k8ovl40eLnS/l1HVO1zIw&#10;ArFY7nzFuxh9WRQoOmkAR85LS8XGBQORlqEt6gA7Qje6mI7H58XOhdoHJyQi7a77Ih8Qw0MAXdMo&#10;IddOXBtpY48apIZIkrBTHvkys20aKeKbpkEZma44KY15pEtovkljsVxA2QbwnRIDBXgIhXuaDChL&#10;lx6h1hCBXQf1F5RRIjh0TRwJZ4peSHaEVEzG97x524GXWQtZjf5oOv4/WPF6exWYqis+P+fMgqE/&#10;/uPTt58fP99++X5785VNzp4lk3YeS+pd2auQZGJc7W0+dkZxUfX+6KW09bH0dChNE0JxByIt0Pdg&#10;+yYY1mjlP1Aes4vkC8uQ7HAC3kcm+k1Bu9P5bDKZZWAoE0Ki5QPGl9IZliYVxxhAtV1cOWspCS70&#10;6LB9hTExOh1Ih7Vlu4o/n01nnAmgZDeUKJoaT+6gbTMzdFrVl0rr7EJoNysd2BZSuvI3ELrTlsis&#10;Abu+L5dSG5SdhPqFrVk8eLI9BgW21ZInGmg405IeqG773ghKn3otPc1/9ZEkbQeve3uT0RtXH67C&#10;739AScrah9SnqP65zqdPL335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3iT5XWAAAACQEAAA8A&#10;AAAAAAAAAQAgAAAAIgAAAGRycy9kb3ducmV2LnhtbFBLAQIUABQAAAAIAIdO4kCFt89LGQIAADEE&#10;AAAOAAAAAAAAAAEAIAAAACUBAABkcnMvZTJvRG9jLnhtbFBLBQYAAAAABgAGAFkBAACwBQAAAAA=&#10;">
                      <v:fill on="f" focussize="0,0"/>
                      <v:stroke color="#000000" joinstyle="round" startarrow="block" startarrowwidth="narrow" startarrowlength="long" endarrowwidth="narrow" endarrowlength="long"/>
                      <v:imagedata o:title=""/>
                      <o:lock v:ext="edit" aspectratio="f"/>
                    </v:shape>
                  </w:pict>
                </mc:Fallback>
              </mc:AlternateContent>
            </w:r>
          </w:p>
          <w:p>
            <w:pPr>
              <w:spacing w:line="360" w:lineRule="auto"/>
              <w:ind w:firstLine="482" w:firstLineChars="200"/>
              <w:rPr>
                <w:rFonts w:hint="default" w:ascii="Times New Roman" w:hAnsi="Times New Roman" w:cs="Times New Roman"/>
                <w:color w:val="auto"/>
                <w:szCs w:val="24"/>
              </w:rPr>
            </w:pPr>
            <w:r>
              <w:rPr>
                <w:rFonts w:hint="default" w:ascii="Times New Roman" w:hAnsi="Times New Roman" w:cs="Times New Roman"/>
                <w:b/>
                <w:color w:val="auto"/>
                <w:u w:val="single"/>
              </w:rPr>
              <mc:AlternateContent>
                <mc:Choice Requires="wps">
                  <w:drawing>
                    <wp:anchor distT="0" distB="0" distL="114300" distR="114300" simplePos="0" relativeHeight="251703296" behindDoc="0" locked="0" layoutInCell="1" allowOverlap="1">
                      <wp:simplePos x="0" y="0"/>
                      <wp:positionH relativeFrom="column">
                        <wp:posOffset>1905000</wp:posOffset>
                      </wp:positionH>
                      <wp:positionV relativeFrom="paragraph">
                        <wp:posOffset>210820</wp:posOffset>
                      </wp:positionV>
                      <wp:extent cx="894080" cy="300990"/>
                      <wp:effectExtent l="5080" t="5080" r="15240" b="11430"/>
                      <wp:wrapNone/>
                      <wp:docPr id="48" name="矩形 140"/>
                      <wp:cNvGraphicFramePr/>
                      <a:graphic xmlns:a="http://schemas.openxmlformats.org/drawingml/2006/main">
                        <a:graphicData uri="http://schemas.microsoft.com/office/word/2010/wordprocessingShape">
                          <wps:wsp>
                            <wps:cNvSpPr/>
                            <wps:spPr>
                              <a:xfrm>
                                <a:off x="0" y="0"/>
                                <a:ext cx="894080" cy="300990"/>
                              </a:xfrm>
                              <a:prstGeom prst="rect">
                                <a:avLst/>
                              </a:prstGeom>
                              <a:solidFill>
                                <a:srgbClr val="FFFFFF"/>
                              </a:solidFill>
                              <a:ln w="9525" cap="flat" cmpd="sng">
                                <a:solidFill>
                                  <a:srgbClr val="000000"/>
                                </a:solidFill>
                                <a:prstDash val="solid"/>
                                <a:miter/>
                                <a:headEnd type="none" w="med" len="med"/>
                                <a:tailEnd type="none" w="sm" len="lg"/>
                              </a:ln>
                            </wps:spPr>
                            <wps:txbx>
                              <w:txbxContent>
                                <w:p>
                                  <w:pPr>
                                    <w:jc w:val="center"/>
                                    <w:rPr>
                                      <w:rFonts w:hint="default" w:eastAsia="宋体"/>
                                      <w:sz w:val="21"/>
                                      <w:szCs w:val="21"/>
                                      <w:lang w:val="en-US" w:eastAsia="zh-CN"/>
                                    </w:rPr>
                                  </w:pPr>
                                  <w:r>
                                    <w:rPr>
                                      <w:rFonts w:hint="eastAsia"/>
                                      <w:sz w:val="21"/>
                                      <w:szCs w:val="21"/>
                                      <w:lang w:val="en-US" w:eastAsia="zh-CN"/>
                                    </w:rPr>
                                    <w:t>成  品</w:t>
                                  </w:r>
                                </w:p>
                              </w:txbxContent>
                            </wps:txbx>
                            <wps:bodyPr upright="1"/>
                          </wps:wsp>
                        </a:graphicData>
                      </a:graphic>
                    </wp:anchor>
                  </w:drawing>
                </mc:Choice>
                <mc:Fallback>
                  <w:pict>
                    <v:rect id="矩形 140" o:spid="_x0000_s1026" o:spt="1" style="position:absolute;left:0pt;margin-left:150pt;margin-top:16.6pt;height:23.7pt;width:70.4pt;z-index:251703296;mso-width-relative:page;mso-height-relative:page;" fillcolor="#FFFFFF" filled="t" stroked="t" coordsize="21600,21600" o:gfxdata="UEsDBAoAAAAAAIdO4kAAAAAAAAAAAAAAAAAEAAAAZHJzL1BLAwQUAAAACACHTuJA0uRO69gAAAAJ&#10;AQAADwAAAGRycy9kb3ducmV2LnhtbE2PwU7DMAyG70i8Q2QkbixZV6ZRmk4CiQMCNBgcOHqNaQuN&#10;UzXZVt4ec4KbLf/6/X3levK9OtAYu8AW5jMDirgOruPGwtvr3cUKVEzIDvvAZOGbIqyr05MSCxeO&#10;/EKHbWqUlHAs0EKb0lBoHeuWPMZZGIjl9hFGj0nWsdFuxKOU+15nxiy1x47lQ4sD3bZUf2333sLn&#10;0+by5j57zKJz/DDpq9zg87u152dzcw0q0ZT+wvCLL+hQCdMu7NlF1VtYGCMuSYZFBkoCeW7EZWdh&#10;ZZagq1L/N6h+AFBLAwQUAAAACACHTuJAQjS/ngkCAAApBAAADgAAAGRycy9lMm9Eb2MueG1srVNL&#10;btswEN0X6B0I7mvJjlPYguUs4rqbog2Q9AA0SUkE+AOHtuTTFOiuh+hxil6jQ1q1kzSLLKoFNSRn&#10;3sx7M1zdDEaTgwygnK3pdFJSIi13Qtm2pl8ftu8WlEBkVjDtrKzpUQK9Wb99s+p9JWeuc1rIQBDE&#10;QtX7mnYx+qoogHfSMJg4Ly1eNi4YFnEb2kIE1iO60cWsLN8XvQvCB8clAJ5uTpd0RAyvAXRNo7jc&#10;OL430sYTapCaRaQEnfJA17nappE8fmkakJHomiLTmFdMgvYurcV6xao2MN8pPpbAXlPCM06GKYtJ&#10;z1AbFhnZB/UPlFE8OHBNnHBnihORrAiymJbPtLnvmJeZC0oN/iw6/D9Y/vlwF4gSNZ1j3y0z2PHf&#10;3378+vmdTOdZnt5DhV73/i6gWGkHaCauQxNM+iMLMmRJj2dJ5RAJx8PFcl4uUGyOV1dluVxmzOIS&#10;7APEj9IZkoyaBuxYFpIdPkHEhOj61yXlAqeV2Cqt8ya0u1sdyIFhd7f5Sw3FkCdu2pK+psvr2TXW&#10;wXBkGxwVNI1H2mDbnO9JBDwGLvP3EnAqbMOgOxWQEU4DZVSUSS1WdZKJD1aQePSorMUXRVMxRgpK&#10;tMQHmKzsGZnSL3iCGR11O5agLVK89CFZcdgNCJLMnRNH7OjeB9V2KOg0R6UbnKCszTjtaUQf7zPo&#10;5YW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S5E7r2AAAAAkBAAAPAAAAAAAAAAEAIAAAACIA&#10;AABkcnMvZG93bnJldi54bWxQSwECFAAUAAAACACHTuJAQjS/ngkCAAApBAAADgAAAAAAAAABACAA&#10;AAAnAQAAZHJzL2Uyb0RvYy54bWxQSwUGAAAAAAYABgBZAQAAogUAAAAA&#10;">
                      <v:fill on="t" focussize="0,0"/>
                      <v:stroke color="#000000" joinstyle="miter" endarrowwidth="narrow" endarrowlength="long"/>
                      <v:imagedata o:title=""/>
                      <o:lock v:ext="edit" aspectratio="f"/>
                      <v:textbox>
                        <w:txbxContent>
                          <w:p>
                            <w:pPr>
                              <w:jc w:val="center"/>
                              <w:rPr>
                                <w:rFonts w:hint="default" w:eastAsia="宋体"/>
                                <w:sz w:val="21"/>
                                <w:szCs w:val="21"/>
                                <w:lang w:val="en-US" w:eastAsia="zh-CN"/>
                              </w:rPr>
                            </w:pPr>
                            <w:r>
                              <w:rPr>
                                <w:rFonts w:hint="eastAsia"/>
                                <w:sz w:val="21"/>
                                <w:szCs w:val="21"/>
                                <w:lang w:val="en-US" w:eastAsia="zh-CN"/>
                              </w:rPr>
                              <w:t>成  品</w:t>
                            </w:r>
                          </w:p>
                        </w:txbxContent>
                      </v:textbox>
                    </v:rect>
                  </w:pict>
                </mc:Fallback>
              </mc:AlternateContent>
            </w:r>
          </w:p>
          <w:p>
            <w:pPr>
              <w:spacing w:line="360" w:lineRule="auto"/>
              <w:ind w:firstLine="480" w:firstLineChars="200"/>
              <w:rPr>
                <w:rFonts w:hint="default" w:ascii="Times New Roman" w:hAnsi="Times New Roman" w:cs="Times New Roman"/>
                <w:color w:val="auto"/>
                <w:szCs w:val="24"/>
              </w:rPr>
            </w:pPr>
          </w:p>
          <w:p>
            <w:pPr>
              <w:pStyle w:val="8"/>
              <w:spacing w:line="360" w:lineRule="auto"/>
              <w:ind w:left="0" w:leftChars="0" w:firstLine="0" w:firstLineChars="0"/>
              <w:jc w:val="center"/>
              <w:rPr>
                <w:rFonts w:hint="default" w:ascii="Times New Roman" w:hAnsi="Times New Roman" w:cs="Times New Roman"/>
                <w:b/>
                <w:bCs/>
                <w:color w:val="auto"/>
                <w:szCs w:val="24"/>
                <w:u w:val="single"/>
              </w:rPr>
            </w:pPr>
            <w:r>
              <w:rPr>
                <w:rFonts w:hint="default" w:ascii="Times New Roman" w:hAnsi="Times New Roman" w:cs="Times New Roman"/>
                <w:b/>
                <w:bCs/>
                <w:color w:val="auto"/>
                <w:szCs w:val="24"/>
                <w:u w:val="single"/>
              </w:rPr>
              <w:t>图2-</w:t>
            </w:r>
            <w:r>
              <w:rPr>
                <w:rFonts w:hint="eastAsia" w:cs="Times New Roman"/>
                <w:b/>
                <w:bCs/>
                <w:color w:val="auto"/>
                <w:szCs w:val="24"/>
                <w:u w:val="single"/>
                <w:lang w:val="en-US" w:eastAsia="zh-CN"/>
              </w:rPr>
              <w:t>4</w:t>
            </w:r>
            <w:r>
              <w:rPr>
                <w:rFonts w:hint="default" w:ascii="Times New Roman" w:hAnsi="Times New Roman" w:cs="Times New Roman"/>
                <w:b/>
                <w:bCs/>
                <w:color w:val="auto"/>
                <w:szCs w:val="24"/>
                <w:u w:val="single"/>
              </w:rPr>
              <w:t xml:space="preserve">  </w:t>
            </w:r>
            <w:r>
              <w:rPr>
                <w:rFonts w:hint="default" w:ascii="Times New Roman" w:hAnsi="Times New Roman" w:cs="Times New Roman"/>
                <w:b/>
                <w:bCs/>
                <w:color w:val="auto"/>
                <w:szCs w:val="24"/>
                <w:u w:val="single"/>
                <w:lang w:val="en-US" w:eastAsia="zh-CN"/>
              </w:rPr>
              <w:t>生产</w:t>
            </w:r>
            <w:r>
              <w:rPr>
                <w:rFonts w:hint="default" w:ascii="Times New Roman" w:hAnsi="Times New Roman" w:cs="Times New Roman"/>
                <w:b/>
                <w:bCs/>
                <w:color w:val="auto"/>
                <w:szCs w:val="24"/>
                <w:u w:val="single"/>
              </w:rPr>
              <w:t>工艺流程及产污环节图</w:t>
            </w:r>
          </w:p>
          <w:p>
            <w:pPr>
              <w:spacing w:line="360" w:lineRule="auto"/>
              <w:rPr>
                <w:rFonts w:hint="default" w:ascii="Times New Roman" w:hAnsi="Times New Roman" w:cs="Times New Roman"/>
                <w:b/>
                <w:color w:val="auto"/>
                <w:szCs w:val="24"/>
              </w:rPr>
            </w:pPr>
            <w:r>
              <w:rPr>
                <w:rFonts w:hint="default" w:ascii="Times New Roman" w:hAnsi="Times New Roman" w:cs="Times New Roman"/>
                <w:b/>
                <w:color w:val="auto"/>
                <w:szCs w:val="24"/>
              </w:rPr>
              <w:t>生产工艺流程简述：</w:t>
            </w:r>
          </w:p>
          <w:p>
            <w:pPr>
              <w:spacing w:line="360" w:lineRule="auto"/>
              <w:ind w:firstLine="480" w:firstLineChars="200"/>
              <w:rPr>
                <w:rFonts w:hint="default" w:ascii="Times New Roman" w:hAnsi="Times New Roman" w:cs="Times New Roman"/>
                <w:color w:val="auto"/>
                <w:szCs w:val="24"/>
                <w:lang w:val="en-US" w:eastAsia="zh-CN"/>
              </w:rPr>
            </w:pPr>
            <w:r>
              <w:rPr>
                <w:rFonts w:hint="default" w:ascii="Times New Roman" w:hAnsi="Times New Roman" w:cs="Times New Roman"/>
                <w:color w:val="auto"/>
                <w:szCs w:val="24"/>
                <w:lang w:val="en-US" w:eastAsia="zh-CN"/>
              </w:rPr>
              <w:t>本项目</w:t>
            </w:r>
            <w:r>
              <w:rPr>
                <w:rFonts w:hint="eastAsia" w:cs="Times New Roman"/>
                <w:color w:val="auto"/>
                <w:szCs w:val="24"/>
                <w:lang w:val="en-US" w:eastAsia="zh-CN"/>
              </w:rPr>
              <w:t>需对钢管内外壁进行防腐表面处理，防腐表面处理前需对钢管表面进行抛丸加工，抛丸后</w:t>
            </w:r>
            <w:r>
              <w:rPr>
                <w:rFonts w:hint="eastAsia"/>
                <w:color w:val="auto"/>
                <w:szCs w:val="24"/>
                <w:lang w:val="en-US" w:eastAsia="zh-CN"/>
              </w:rPr>
              <w:t>40%的产品需要油漆，60%的产品需要喷塑，油漆或喷塑完成后即可成品。</w:t>
            </w:r>
          </w:p>
          <w:p>
            <w:pPr>
              <w:pStyle w:val="40"/>
              <w:numPr>
                <w:ilvl w:val="0"/>
                <w:numId w:val="1"/>
              </w:numPr>
              <w:spacing w:line="360" w:lineRule="auto"/>
              <w:rPr>
                <w:rFonts w:hint="default" w:ascii="Times New Roman" w:hAnsi="Times New Roman" w:cs="Times New Roman"/>
                <w:color w:val="auto"/>
                <w:szCs w:val="24"/>
                <w:lang w:val="en-US" w:eastAsia="zh-CN"/>
              </w:rPr>
            </w:pPr>
            <w:r>
              <w:rPr>
                <w:rFonts w:hint="eastAsia" w:ascii="Times New Roman" w:hAnsi="Times New Roman" w:cs="Times New Roman"/>
                <w:color w:val="auto"/>
                <w:lang w:val="en-US" w:eastAsia="zh-CN"/>
              </w:rPr>
              <w:t>抛丸</w:t>
            </w:r>
            <w:r>
              <w:rPr>
                <w:rFonts w:hint="default" w:ascii="Times New Roman" w:hAnsi="Times New Roman" w:cs="Times New Roman"/>
                <w:color w:val="auto"/>
              </w:rPr>
              <w:t>：</w:t>
            </w:r>
            <w:r>
              <w:rPr>
                <w:rFonts w:hint="default" w:ascii="Times New Roman" w:hAnsi="Times New Roman" w:eastAsia="宋体" w:cs="Times New Roman"/>
                <w:color w:val="auto"/>
              </w:rPr>
              <w:t>钢管经传动线进入抛丸机内，抛丸</w:t>
            </w:r>
            <w:r>
              <w:rPr>
                <w:rFonts w:hint="eastAsia" w:ascii="Times New Roman" w:hAnsi="Times New Roman" w:cs="Times New Roman"/>
                <w:color w:val="auto"/>
                <w:lang w:val="en-US" w:eastAsia="zh-CN"/>
              </w:rPr>
              <w:t>机</w:t>
            </w:r>
            <w:r>
              <w:rPr>
                <w:rFonts w:hint="default" w:ascii="Times New Roman" w:hAnsi="Times New Roman" w:eastAsia="宋体" w:cs="Times New Roman"/>
                <w:color w:val="auto"/>
              </w:rPr>
              <w:t>将钢丸抛出打击钢管表面进行</w:t>
            </w:r>
            <w:r>
              <w:rPr>
                <w:rFonts w:hint="eastAsia" w:ascii="Times New Roman" w:hAnsi="Times New Roman" w:cs="Times New Roman"/>
                <w:color w:val="auto"/>
                <w:lang w:val="en-US" w:eastAsia="zh-CN"/>
              </w:rPr>
              <w:t>抛丸</w:t>
            </w:r>
            <w:r>
              <w:rPr>
                <w:rFonts w:hint="default" w:ascii="Times New Roman" w:hAnsi="Times New Roman" w:eastAsia="宋体" w:cs="Times New Roman"/>
                <w:color w:val="auto"/>
              </w:rPr>
              <w:t>除锈</w:t>
            </w:r>
            <w:r>
              <w:rPr>
                <w:rFonts w:hint="default" w:ascii="Times New Roman" w:hAnsi="Times New Roman" w:cs="Times New Roman"/>
                <w:color w:val="auto"/>
                <w:szCs w:val="24"/>
                <w:lang w:val="en-US" w:eastAsia="zh-CN"/>
              </w:rPr>
              <w:t>。</w:t>
            </w:r>
          </w:p>
          <w:p>
            <w:pPr>
              <w:pStyle w:val="40"/>
              <w:numPr>
                <w:ilvl w:val="0"/>
                <w:numId w:val="1"/>
              </w:numPr>
              <w:spacing w:line="360" w:lineRule="auto"/>
              <w:rPr>
                <w:rFonts w:hint="default" w:ascii="Times New Roman" w:hAnsi="Times New Roman" w:cs="Times New Roman"/>
                <w:color w:val="auto"/>
                <w:szCs w:val="24"/>
                <w:lang w:val="en-US" w:eastAsia="zh-CN"/>
              </w:rPr>
            </w:pPr>
            <w:r>
              <w:rPr>
                <w:rFonts w:hint="eastAsia" w:ascii="Times New Roman" w:hAnsi="Times New Roman" w:cs="Times New Roman"/>
                <w:color w:val="auto"/>
                <w:szCs w:val="24"/>
                <w:lang w:val="en-US" w:eastAsia="zh-CN"/>
              </w:rPr>
              <w:t>油漆</w:t>
            </w:r>
            <w:r>
              <w:rPr>
                <w:rFonts w:hint="default" w:ascii="Times New Roman" w:hAnsi="Times New Roman" w:cs="Times New Roman"/>
                <w:color w:val="auto"/>
                <w:szCs w:val="24"/>
                <w:lang w:val="en-US" w:eastAsia="zh-CN"/>
              </w:rPr>
              <w:t>：</w:t>
            </w:r>
            <w:r>
              <w:rPr>
                <w:rFonts w:hint="eastAsia" w:ascii="Times New Roman" w:hAnsi="Times New Roman" w:cs="Times New Roman"/>
                <w:color w:val="auto"/>
                <w:szCs w:val="24"/>
                <w:lang w:val="en-US" w:eastAsia="zh-CN"/>
              </w:rPr>
              <w:t>小管进入刷漆房，由工人手动刷漆，管壁内外均需油漆，刷漆后管道在刷漆房内自然晾干</w:t>
            </w:r>
            <w:r>
              <w:rPr>
                <w:rFonts w:hint="default" w:ascii="Times New Roman" w:hAnsi="Times New Roman" w:cs="Times New Roman"/>
                <w:color w:val="auto"/>
                <w:szCs w:val="24"/>
                <w:lang w:val="en-US" w:eastAsia="zh-CN"/>
              </w:rPr>
              <w:t>。</w:t>
            </w:r>
            <w:r>
              <w:rPr>
                <w:rFonts w:hint="eastAsia" w:ascii="Times New Roman" w:hAnsi="Times New Roman" w:cs="Times New Roman"/>
                <w:color w:val="auto"/>
                <w:szCs w:val="24"/>
                <w:lang w:val="en-US" w:eastAsia="zh-CN"/>
              </w:rPr>
              <w:t>大管进入喷漆房，由机械手自动喷漆，管壁内外均需油漆，喷漆后管道在喷漆房内自然晾干</w:t>
            </w:r>
            <w:r>
              <w:rPr>
                <w:rFonts w:hint="default" w:ascii="Times New Roman" w:hAnsi="Times New Roman" w:cs="Times New Roman"/>
                <w:color w:val="auto"/>
                <w:szCs w:val="24"/>
                <w:lang w:val="en-US" w:eastAsia="zh-CN"/>
              </w:rPr>
              <w:t>。</w:t>
            </w:r>
          </w:p>
          <w:p>
            <w:pPr>
              <w:pStyle w:val="40"/>
              <w:numPr>
                <w:ilvl w:val="0"/>
                <w:numId w:val="1"/>
              </w:numPr>
              <w:spacing w:line="360" w:lineRule="auto"/>
              <w:rPr>
                <w:rFonts w:hint="default" w:ascii="Times New Roman" w:hAnsi="Times New Roman" w:eastAsia="宋体" w:cs="Times New Roman"/>
                <w:color w:val="auto"/>
              </w:rPr>
            </w:pPr>
            <w:r>
              <w:rPr>
                <w:rFonts w:hint="default" w:ascii="Times New Roman" w:hAnsi="Times New Roman" w:cs="Times New Roman"/>
                <w:color w:val="auto"/>
                <w:lang w:val="en-US" w:eastAsia="zh-CN"/>
              </w:rPr>
              <w:t>中频炉加热</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在</w:t>
            </w:r>
            <w:r>
              <w:rPr>
                <w:rFonts w:hint="eastAsia" w:ascii="Times New Roman" w:hAnsi="Times New Roman" w:cs="Times New Roman"/>
                <w:color w:val="auto"/>
                <w:lang w:val="en-US" w:eastAsia="zh-CN"/>
              </w:rPr>
              <w:t>塑粉</w:t>
            </w:r>
            <w:r>
              <w:rPr>
                <w:rFonts w:hint="default" w:ascii="Times New Roman" w:hAnsi="Times New Roman" w:cs="Times New Roman"/>
                <w:color w:val="auto"/>
                <w:lang w:val="en-US" w:eastAsia="zh-CN"/>
              </w:rPr>
              <w:t>喷涂前将钢管经过中频感应炉进行加热。采用中频感应电加热方式，快速均匀地将管体加热到220℃左右。该设备配有温度自动监测系统、启动频率自动跟踪系统以及冷却水自动循环换热装置。</w:t>
            </w:r>
          </w:p>
          <w:p>
            <w:pPr>
              <w:pStyle w:val="40"/>
              <w:numPr>
                <w:ilvl w:val="0"/>
                <w:numId w:val="1"/>
              </w:numPr>
              <w:spacing w:line="360" w:lineRule="auto"/>
              <w:rPr>
                <w:rFonts w:hint="default" w:ascii="Times New Roman" w:hAnsi="Times New Roman" w:eastAsia="宋体" w:cs="Times New Roman"/>
                <w:color w:val="auto"/>
              </w:rPr>
            </w:pPr>
            <w:r>
              <w:rPr>
                <w:rFonts w:hint="eastAsia" w:ascii="Times New Roman" w:hAnsi="Times New Roman" w:cs="Times New Roman"/>
                <w:color w:val="auto"/>
                <w:lang w:val="en-US" w:eastAsia="zh-CN"/>
              </w:rPr>
              <w:t>喷塑粉</w:t>
            </w:r>
            <w:r>
              <w:rPr>
                <w:rFonts w:hint="default" w:ascii="Times New Roman" w:hAnsi="Times New Roman" w:cs="Times New Roman"/>
                <w:color w:val="auto"/>
                <w:lang w:val="en-US" w:eastAsia="zh-CN"/>
              </w:rPr>
              <w:t>：加热后的钢管通过传动线进入</w:t>
            </w:r>
            <w:r>
              <w:rPr>
                <w:rFonts w:hint="eastAsia" w:ascii="Times New Roman" w:hAnsi="Times New Roman" w:cs="Times New Roman"/>
                <w:color w:val="auto"/>
                <w:lang w:val="en-US" w:eastAsia="zh-CN"/>
              </w:rPr>
              <w:t>粉末涂覆线</w:t>
            </w:r>
            <w:r>
              <w:rPr>
                <w:rFonts w:hint="default" w:ascii="Times New Roman" w:hAnsi="Times New Roman" w:cs="Times New Roman"/>
                <w:color w:val="auto"/>
                <w:lang w:val="en-US" w:eastAsia="zh-CN"/>
              </w:rPr>
              <w:t>，附有静电的</w:t>
            </w:r>
            <w:r>
              <w:rPr>
                <w:rFonts w:hint="eastAsia" w:ascii="Times New Roman" w:hAnsi="Times New Roman" w:cs="Times New Roman"/>
                <w:color w:val="auto"/>
                <w:lang w:val="en-US" w:eastAsia="zh-CN"/>
              </w:rPr>
              <w:t>塑粉</w:t>
            </w:r>
            <w:r>
              <w:rPr>
                <w:rFonts w:hint="default" w:ascii="Times New Roman" w:hAnsi="Times New Roman" w:cs="Times New Roman"/>
                <w:color w:val="auto"/>
                <w:lang w:val="en-US" w:eastAsia="zh-CN"/>
              </w:rPr>
              <w:t>均匀地喷涂在钢管表面上，并在20秒内胶化达到涂敷要求。</w:t>
            </w:r>
            <w:r>
              <w:rPr>
                <w:rFonts w:hint="eastAsia" w:ascii="Times New Roman" w:hAnsi="Times New Roman" w:cs="Times New Roman"/>
                <w:color w:val="auto"/>
                <w:lang w:val="en-US" w:eastAsia="zh-CN"/>
              </w:rPr>
              <w:t>钢管内外壁喷塑采用不同的喷涂方式，外壁喷塑采用</w:t>
            </w:r>
            <w:r>
              <w:rPr>
                <w:rFonts w:hint="eastAsia"/>
                <w:color w:val="auto"/>
                <w:lang w:val="en-US" w:eastAsia="zh-CN"/>
              </w:rPr>
              <w:t>固定密闭式的喷塑房（仅设圆形进出口供管道通过），即“管道动、喷塑设备不动”的方式，内喷系统为移动式的喷塑设备，在管道内部相对密闭的空间内通过设备移动完成喷塑，即“喷塑设备动、管道不动”的方式。</w:t>
            </w:r>
          </w:p>
          <w:p>
            <w:pPr>
              <w:pStyle w:val="40"/>
              <w:numPr>
                <w:ilvl w:val="0"/>
                <w:numId w:val="1"/>
              </w:numPr>
              <w:spacing w:line="360" w:lineRule="auto"/>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冷却</w:t>
            </w:r>
            <w:r>
              <w:rPr>
                <w:rFonts w:hint="default" w:ascii="Times New Roman" w:hAnsi="Times New Roman" w:cs="Times New Roman"/>
                <w:color w:val="auto"/>
                <w:lang w:val="en-US" w:eastAsia="zh-CN"/>
              </w:rPr>
              <w:t>：</w:t>
            </w:r>
            <w:r>
              <w:rPr>
                <w:rFonts w:hint="eastAsia" w:ascii="Times New Roman" w:hAnsi="Times New Roman" w:cs="Times New Roman"/>
                <w:color w:val="auto"/>
                <w:lang w:val="en-US" w:eastAsia="zh-CN"/>
              </w:rPr>
              <w:t>喷塑</w:t>
            </w:r>
            <w:r>
              <w:rPr>
                <w:rFonts w:hint="default" w:ascii="Times New Roman" w:hAnsi="Times New Roman" w:cs="Times New Roman"/>
                <w:color w:val="auto"/>
                <w:lang w:val="en-US" w:eastAsia="zh-CN"/>
              </w:rPr>
              <w:t>好的钢管进入</w:t>
            </w:r>
            <w:r>
              <w:rPr>
                <w:rFonts w:hint="eastAsia" w:ascii="Times New Roman" w:hAnsi="Times New Roman" w:cs="Times New Roman"/>
                <w:color w:val="auto"/>
                <w:lang w:val="en-US" w:eastAsia="zh-CN"/>
              </w:rPr>
              <w:t>粉末涂覆线自带的</w:t>
            </w:r>
            <w:r>
              <w:rPr>
                <w:rFonts w:hint="default" w:ascii="Times New Roman" w:hAnsi="Times New Roman" w:cs="Times New Roman"/>
                <w:color w:val="auto"/>
                <w:lang w:val="en-US" w:eastAsia="zh-CN"/>
              </w:rPr>
              <w:t>水冷却传动线部分。冷却水均匀喷洒在涂敷管表面使涂层逐渐冷却变硬，使出口温度达到标准要求。</w:t>
            </w:r>
          </w:p>
          <w:p>
            <w:pPr>
              <w:pStyle w:val="40"/>
              <w:widowControl w:val="0"/>
              <w:numPr>
                <w:ilvl w:val="0"/>
                <w:numId w:val="0"/>
              </w:numPr>
              <w:spacing w:line="240" w:lineRule="auto"/>
              <w:jc w:val="both"/>
              <w:rPr>
                <w:rFonts w:hint="default" w:ascii="Times New Roman" w:hAnsi="Times New Roman" w:eastAsia="宋体" w:cs="Times New Roman"/>
                <w:color w:val="FF0000"/>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2.1</w:t>
            </w:r>
            <w:r>
              <w:rPr>
                <w:rFonts w:hint="eastAsia" w:cs="Times New Roman"/>
                <w:b/>
                <w:color w:val="auto"/>
                <w:szCs w:val="24"/>
                <w:lang w:val="en-US" w:eastAsia="zh-CN"/>
              </w:rPr>
              <w:t>1</w:t>
            </w:r>
            <w:r>
              <w:rPr>
                <w:rFonts w:hint="default" w:ascii="Times New Roman" w:hAnsi="Times New Roman" w:cs="Times New Roman"/>
                <w:b/>
                <w:color w:val="auto"/>
                <w:szCs w:val="24"/>
              </w:rPr>
              <w:t>产排污环节</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本项目污染工序与污染因子见下表。</w:t>
            </w:r>
          </w:p>
          <w:p>
            <w:pPr>
              <w:pStyle w:val="166"/>
              <w:rPr>
                <w:rFonts w:hint="default" w:eastAsia="宋体"/>
                <w:color w:val="auto"/>
                <w:sz w:val="24"/>
                <w:szCs w:val="24"/>
                <w:lang w:val="en-US" w:eastAsia="zh-CN"/>
              </w:rPr>
            </w:pPr>
            <w:r>
              <w:rPr>
                <w:rFonts w:hint="default" w:eastAsia="宋体"/>
                <w:color w:val="auto"/>
                <w:sz w:val="24"/>
                <w:szCs w:val="24"/>
                <w:lang w:val="en-US" w:eastAsia="zh-CN"/>
              </w:rPr>
              <w:t>表2-1</w:t>
            </w:r>
            <w:r>
              <w:rPr>
                <w:rFonts w:hint="eastAsia" w:eastAsia="宋体"/>
                <w:color w:val="auto"/>
                <w:sz w:val="24"/>
                <w:szCs w:val="24"/>
                <w:lang w:val="en-US" w:eastAsia="zh-CN"/>
              </w:rPr>
              <w:t>2</w:t>
            </w:r>
            <w:r>
              <w:rPr>
                <w:rFonts w:hint="default" w:eastAsia="宋体"/>
                <w:color w:val="auto"/>
                <w:sz w:val="24"/>
                <w:szCs w:val="24"/>
                <w:lang w:val="en-US" w:eastAsia="zh-CN"/>
              </w:rPr>
              <w:t xml:space="preserve">  主要污染源及污染因子</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6"/>
              <w:gridCol w:w="855"/>
              <w:gridCol w:w="1739"/>
              <w:gridCol w:w="163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tblHeader/>
                <w:jc w:val="center"/>
              </w:trPr>
              <w:tc>
                <w:tcPr>
                  <w:tcW w:w="876"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类别</w:t>
                  </w:r>
                </w:p>
              </w:tc>
              <w:tc>
                <w:tcPr>
                  <w:tcW w:w="855"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污染影响类型</w:t>
                  </w:r>
                </w:p>
              </w:tc>
              <w:tc>
                <w:tcPr>
                  <w:tcW w:w="1739"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排放源/工序/位置</w:t>
                  </w:r>
                </w:p>
              </w:tc>
              <w:tc>
                <w:tcPr>
                  <w:tcW w:w="1633"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污染源名称</w:t>
                  </w:r>
                </w:p>
              </w:tc>
              <w:tc>
                <w:tcPr>
                  <w:tcW w:w="2268"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污染/影响因子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876" w:type="dxa"/>
                  <w:vMerge w:val="restart"/>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生产过程污染影响因素</w:t>
                  </w:r>
                </w:p>
              </w:tc>
              <w:tc>
                <w:tcPr>
                  <w:tcW w:w="855" w:type="dxa"/>
                  <w:vMerge w:val="restart"/>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废气</w:t>
                  </w:r>
                </w:p>
              </w:tc>
              <w:tc>
                <w:tcPr>
                  <w:tcW w:w="1739"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抛丸</w:t>
                  </w:r>
                  <w:r>
                    <w:rPr>
                      <w:rFonts w:hint="default" w:ascii="Times New Roman" w:hAnsi="Times New Roman" w:cs="Times New Roman"/>
                      <w:color w:val="auto"/>
                      <w:sz w:val="21"/>
                      <w:szCs w:val="21"/>
                    </w:rPr>
                    <w:t>工序</w:t>
                  </w:r>
                </w:p>
              </w:tc>
              <w:tc>
                <w:tcPr>
                  <w:tcW w:w="1633" w:type="dxa"/>
                  <w:tcBorders>
                    <w:bottom w:val="single" w:color="auto" w:sz="4" w:space="0"/>
                  </w:tcBorders>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抛丸</w:t>
                  </w:r>
                  <w:r>
                    <w:rPr>
                      <w:rFonts w:hint="default" w:ascii="Times New Roman" w:hAnsi="Times New Roman" w:cs="Times New Roman"/>
                      <w:color w:val="auto"/>
                      <w:sz w:val="21"/>
                      <w:szCs w:val="21"/>
                      <w:lang w:val="en-US" w:eastAsia="zh-CN"/>
                    </w:rPr>
                    <w:t>粉尘</w:t>
                  </w:r>
                </w:p>
              </w:tc>
              <w:tc>
                <w:tcPr>
                  <w:tcW w:w="2268" w:type="dxa"/>
                  <w:tcBorders>
                    <w:bottom w:val="single" w:color="auto" w:sz="4" w:space="0"/>
                  </w:tcBorders>
                  <w:vAlign w:val="center"/>
                </w:tcPr>
                <w:p>
                  <w:pPr>
                    <w:pStyle w:val="116"/>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876" w:type="dxa"/>
                  <w:vMerge w:val="continue"/>
                  <w:vAlign w:val="center"/>
                </w:tcPr>
                <w:p>
                  <w:pPr>
                    <w:pStyle w:val="116"/>
                    <w:rPr>
                      <w:rFonts w:hint="default" w:ascii="Times New Roman" w:hAnsi="Times New Roman" w:cs="Times New Roman"/>
                      <w:color w:val="FF0000"/>
                      <w:sz w:val="21"/>
                      <w:szCs w:val="21"/>
                    </w:rPr>
                  </w:pPr>
                </w:p>
              </w:tc>
              <w:tc>
                <w:tcPr>
                  <w:tcW w:w="855" w:type="dxa"/>
                  <w:vMerge w:val="continue"/>
                  <w:vAlign w:val="center"/>
                </w:tcPr>
                <w:p>
                  <w:pPr>
                    <w:pStyle w:val="116"/>
                    <w:rPr>
                      <w:rFonts w:hint="default" w:ascii="Times New Roman" w:hAnsi="Times New Roman" w:cs="Times New Roman"/>
                      <w:color w:val="auto"/>
                      <w:sz w:val="21"/>
                      <w:szCs w:val="21"/>
                    </w:rPr>
                  </w:pPr>
                </w:p>
              </w:tc>
              <w:tc>
                <w:tcPr>
                  <w:tcW w:w="1739" w:type="dxa"/>
                  <w:vAlign w:val="center"/>
                </w:tcPr>
                <w:p>
                  <w:pPr>
                    <w:pStyle w:val="116"/>
                    <w:rPr>
                      <w:rFonts w:hint="default" w:ascii="Times New Roman" w:hAnsi="Times New Roman" w:eastAsia="宋体" w:cs="Times New Roman"/>
                      <w:b/>
                      <w:color w:val="auto"/>
                      <w:kern w:val="2"/>
                      <w:sz w:val="21"/>
                      <w:szCs w:val="21"/>
                      <w:lang w:val="en-US" w:eastAsia="zh-CN" w:bidi="ar-SA"/>
                    </w:rPr>
                  </w:pPr>
                  <w:r>
                    <w:rPr>
                      <w:rFonts w:hint="eastAsia" w:cs="Times New Roman"/>
                      <w:color w:val="auto"/>
                      <w:sz w:val="21"/>
                      <w:szCs w:val="21"/>
                      <w:lang w:val="en-US" w:eastAsia="zh-CN"/>
                    </w:rPr>
                    <w:t>刷漆/喷漆工序</w:t>
                  </w:r>
                </w:p>
              </w:tc>
              <w:tc>
                <w:tcPr>
                  <w:tcW w:w="1633" w:type="dxa"/>
                  <w:tcBorders>
                    <w:bottom w:val="single" w:color="auto" w:sz="4" w:space="0"/>
                  </w:tcBorders>
                  <w:vAlign w:val="center"/>
                </w:tcPr>
                <w:p>
                  <w:pPr>
                    <w:pStyle w:val="116"/>
                    <w:rPr>
                      <w:rFonts w:hint="default" w:ascii="Times New Roman" w:hAnsi="Times New Roman" w:eastAsia="宋体" w:cs="Times New Roman"/>
                      <w:b/>
                      <w:color w:val="auto"/>
                      <w:kern w:val="2"/>
                      <w:sz w:val="21"/>
                      <w:szCs w:val="21"/>
                      <w:lang w:val="en-US" w:eastAsia="zh-CN" w:bidi="ar-SA"/>
                    </w:rPr>
                  </w:pPr>
                  <w:r>
                    <w:rPr>
                      <w:rFonts w:hint="eastAsia" w:cs="Times New Roman"/>
                      <w:color w:val="auto"/>
                      <w:sz w:val="21"/>
                      <w:szCs w:val="21"/>
                      <w:lang w:val="en-US" w:eastAsia="zh-CN"/>
                    </w:rPr>
                    <w:t>油漆</w:t>
                  </w:r>
                  <w:r>
                    <w:rPr>
                      <w:rFonts w:hint="default" w:ascii="Times New Roman" w:hAnsi="Times New Roman" w:cs="Times New Roman"/>
                      <w:color w:val="auto"/>
                      <w:sz w:val="21"/>
                      <w:szCs w:val="21"/>
                      <w:lang w:val="en-US" w:eastAsia="zh-CN"/>
                    </w:rPr>
                    <w:t>废气</w:t>
                  </w:r>
                </w:p>
              </w:tc>
              <w:tc>
                <w:tcPr>
                  <w:tcW w:w="2268" w:type="dxa"/>
                  <w:tcBorders>
                    <w:bottom w:val="single" w:color="auto" w:sz="4" w:space="0"/>
                  </w:tcBorders>
                  <w:vAlign w:val="center"/>
                </w:tcPr>
                <w:p>
                  <w:pPr>
                    <w:pStyle w:val="116"/>
                    <w:rPr>
                      <w:rFonts w:hint="default" w:ascii="Times New Roman" w:hAnsi="Times New Roman" w:eastAsia="宋体" w:cs="Times New Roman"/>
                      <w:b/>
                      <w:color w:val="auto"/>
                      <w:kern w:val="2"/>
                      <w:sz w:val="21"/>
                      <w:szCs w:val="21"/>
                      <w:lang w:val="en-US" w:eastAsia="zh-CN" w:bidi="ar-SA"/>
                    </w:rPr>
                  </w:pPr>
                  <w:r>
                    <w:rPr>
                      <w:rFonts w:hint="eastAsia" w:cs="Times New Roman"/>
                      <w:color w:val="auto"/>
                      <w:sz w:val="21"/>
                      <w:szCs w:val="21"/>
                      <w:lang w:val="en-US" w:eastAsia="zh-CN"/>
                    </w:rPr>
                    <w:t>颗粒物、二甲苯、</w:t>
                  </w:r>
                  <w:r>
                    <w:rPr>
                      <w:rFonts w:hint="default" w:ascii="Times New Roman" w:hAnsi="Times New Roman" w:cs="Times New Roman"/>
                      <w:color w:val="auto"/>
                      <w:sz w:val="21"/>
                      <w:szCs w:val="21"/>
                      <w:lang w:val="en-US" w:eastAsia="zh-CN"/>
                    </w:rPr>
                    <w:t>非甲烷总烃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876" w:type="dxa"/>
                  <w:vMerge w:val="continue"/>
                  <w:vAlign w:val="center"/>
                </w:tcPr>
                <w:p>
                  <w:pPr>
                    <w:pStyle w:val="116"/>
                    <w:rPr>
                      <w:rFonts w:hint="default" w:ascii="Times New Roman" w:hAnsi="Times New Roman" w:cs="Times New Roman"/>
                      <w:color w:val="FF0000"/>
                      <w:sz w:val="21"/>
                      <w:szCs w:val="21"/>
                    </w:rPr>
                  </w:pPr>
                </w:p>
              </w:tc>
              <w:tc>
                <w:tcPr>
                  <w:tcW w:w="855" w:type="dxa"/>
                  <w:vMerge w:val="continue"/>
                  <w:vAlign w:val="center"/>
                </w:tcPr>
                <w:p>
                  <w:pPr>
                    <w:pStyle w:val="116"/>
                    <w:rPr>
                      <w:rFonts w:hint="default" w:ascii="Times New Roman" w:hAnsi="Times New Roman" w:cs="Times New Roman"/>
                      <w:color w:val="auto"/>
                      <w:sz w:val="21"/>
                      <w:szCs w:val="21"/>
                    </w:rPr>
                  </w:pPr>
                </w:p>
              </w:tc>
              <w:tc>
                <w:tcPr>
                  <w:tcW w:w="1739" w:type="dxa"/>
                  <w:vAlign w:val="center"/>
                </w:tcPr>
                <w:p>
                  <w:pPr>
                    <w:pStyle w:val="116"/>
                    <w:rPr>
                      <w:rFonts w:hint="default" w:ascii="Times New Roman" w:hAnsi="Times New Roman" w:cs="Times New Roman"/>
                      <w:color w:val="auto"/>
                      <w:sz w:val="21"/>
                      <w:szCs w:val="21"/>
                    </w:rPr>
                  </w:pPr>
                  <w:r>
                    <w:rPr>
                      <w:rFonts w:hint="eastAsia" w:cs="Times New Roman"/>
                      <w:color w:val="auto"/>
                      <w:sz w:val="21"/>
                      <w:szCs w:val="21"/>
                      <w:lang w:val="en-US" w:eastAsia="zh-CN"/>
                    </w:rPr>
                    <w:t>喷塑</w:t>
                  </w:r>
                  <w:r>
                    <w:rPr>
                      <w:rFonts w:hint="default" w:ascii="Times New Roman" w:hAnsi="Times New Roman" w:cs="Times New Roman"/>
                      <w:color w:val="auto"/>
                      <w:sz w:val="21"/>
                      <w:szCs w:val="21"/>
                    </w:rPr>
                    <w:t>工序</w:t>
                  </w:r>
                </w:p>
              </w:tc>
              <w:tc>
                <w:tcPr>
                  <w:tcW w:w="1633" w:type="dxa"/>
                  <w:tcBorders>
                    <w:bottom w:val="single" w:color="auto" w:sz="4" w:space="0"/>
                  </w:tcBorders>
                  <w:vAlign w:val="center"/>
                </w:tcPr>
                <w:p>
                  <w:pPr>
                    <w:pStyle w:val="116"/>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喷塑</w:t>
                  </w:r>
                  <w:r>
                    <w:rPr>
                      <w:rFonts w:hint="default" w:ascii="Times New Roman" w:hAnsi="Times New Roman" w:cs="Times New Roman"/>
                      <w:color w:val="auto"/>
                      <w:sz w:val="21"/>
                      <w:szCs w:val="21"/>
                      <w:lang w:val="en-US" w:eastAsia="zh-CN"/>
                    </w:rPr>
                    <w:t>废气</w:t>
                  </w:r>
                </w:p>
              </w:tc>
              <w:tc>
                <w:tcPr>
                  <w:tcW w:w="2268" w:type="dxa"/>
                  <w:tcBorders>
                    <w:bottom w:val="single" w:color="auto" w:sz="4" w:space="0"/>
                  </w:tcBorders>
                  <w:vAlign w:val="center"/>
                </w:tcPr>
                <w:p>
                  <w:pPr>
                    <w:pStyle w:val="116"/>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颗粒物、非甲烷总烃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restart"/>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废水</w:t>
                  </w:r>
                </w:p>
              </w:tc>
              <w:tc>
                <w:tcPr>
                  <w:tcW w:w="1739"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日常生活</w:t>
                  </w:r>
                </w:p>
              </w:tc>
              <w:tc>
                <w:tcPr>
                  <w:tcW w:w="1633" w:type="dxa"/>
                  <w:tcBorders>
                    <w:bottom w:val="single" w:color="auto" w:sz="4" w:space="0"/>
                  </w:tcBorders>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员工生活污水</w:t>
                  </w:r>
                </w:p>
              </w:tc>
              <w:tc>
                <w:tcPr>
                  <w:tcW w:w="2268" w:type="dxa"/>
                  <w:tcBorders>
                    <w:bottom w:val="single" w:color="auto" w:sz="4" w:space="0"/>
                  </w:tcBorders>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COD</w:t>
                  </w:r>
                  <w:r>
                    <w:rPr>
                      <w:rFonts w:hint="default" w:ascii="Times New Roman" w:hAnsi="Times New Roman" w:cs="Times New Roman"/>
                      <w:color w:val="auto"/>
                      <w:sz w:val="21"/>
                      <w:szCs w:val="21"/>
                      <w:vertAlign w:val="subscript"/>
                    </w:rPr>
                    <w:t>Cr</w:t>
                  </w:r>
                  <w:r>
                    <w:rPr>
                      <w:rFonts w:hint="default" w:ascii="Times New Roman" w:hAnsi="Times New Roman" w:cs="Times New Roman"/>
                      <w:color w:val="auto"/>
                      <w:sz w:val="21"/>
                      <w:szCs w:val="21"/>
                    </w:rPr>
                    <w:t>、NH</w:t>
                  </w:r>
                  <w:r>
                    <w:rPr>
                      <w:rFonts w:hint="default" w:ascii="Times New Roman" w:hAnsi="Times New Roman" w:cs="Times New Roman"/>
                      <w:color w:val="auto"/>
                      <w:sz w:val="21"/>
                      <w:szCs w:val="21"/>
                      <w:vertAlign w:val="subscript"/>
                    </w:rPr>
                    <w:t>3</w:t>
                  </w:r>
                  <w:r>
                    <w:rPr>
                      <w:rFonts w:hint="default" w:ascii="Times New Roman" w:hAnsi="Times New Roman" w:cs="Times New Roman"/>
                      <w:color w:val="auto"/>
                      <w:sz w:val="21"/>
                      <w:szCs w:val="21"/>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auto"/>
                      <w:sz w:val="21"/>
                      <w:szCs w:val="21"/>
                    </w:rPr>
                  </w:pPr>
                </w:p>
              </w:tc>
              <w:tc>
                <w:tcPr>
                  <w:tcW w:w="1739" w:type="dxa"/>
                  <w:vAlign w:val="center"/>
                </w:tcPr>
                <w:p>
                  <w:pPr>
                    <w:pStyle w:val="116"/>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中频炉运行</w:t>
                  </w:r>
                </w:p>
              </w:tc>
              <w:tc>
                <w:tcPr>
                  <w:tcW w:w="1633" w:type="dxa"/>
                  <w:tcBorders>
                    <w:bottom w:val="single" w:color="auto" w:sz="4" w:space="0"/>
                  </w:tcBorders>
                  <w:vAlign w:val="center"/>
                </w:tcPr>
                <w:p>
                  <w:pPr>
                    <w:pStyle w:val="116"/>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中频炉间接冷却水</w:t>
                  </w:r>
                </w:p>
              </w:tc>
              <w:tc>
                <w:tcPr>
                  <w:tcW w:w="2268" w:type="dxa"/>
                  <w:tcBorders>
                    <w:bottom w:val="single" w:color="auto" w:sz="4" w:space="0"/>
                  </w:tcBorders>
                  <w:vAlign w:val="center"/>
                </w:tcPr>
                <w:p>
                  <w:pPr>
                    <w:pStyle w:val="116"/>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auto"/>
                      <w:sz w:val="21"/>
                      <w:szCs w:val="21"/>
                    </w:rPr>
                  </w:pPr>
                </w:p>
              </w:tc>
              <w:tc>
                <w:tcPr>
                  <w:tcW w:w="1739" w:type="dxa"/>
                  <w:vAlign w:val="center"/>
                </w:tcPr>
                <w:p>
                  <w:pPr>
                    <w:pStyle w:val="116"/>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钢管冷却工序</w:t>
                  </w:r>
                </w:p>
              </w:tc>
              <w:tc>
                <w:tcPr>
                  <w:tcW w:w="1633" w:type="dxa"/>
                  <w:tcBorders>
                    <w:bottom w:val="single" w:color="auto" w:sz="4" w:space="0"/>
                  </w:tcBorders>
                  <w:vAlign w:val="center"/>
                </w:tcPr>
                <w:p>
                  <w:pPr>
                    <w:pStyle w:val="116"/>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钢管冷却水</w:t>
                  </w:r>
                </w:p>
              </w:tc>
              <w:tc>
                <w:tcPr>
                  <w:tcW w:w="2268" w:type="dxa"/>
                  <w:tcBorders>
                    <w:bottom w:val="single" w:color="auto" w:sz="4" w:space="0"/>
                  </w:tcBorders>
                  <w:vAlign w:val="center"/>
                </w:tcPr>
                <w:p>
                  <w:pPr>
                    <w:pStyle w:val="116"/>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噪声</w:t>
                  </w:r>
                </w:p>
              </w:tc>
              <w:tc>
                <w:tcPr>
                  <w:tcW w:w="1739"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生产设备</w:t>
                  </w:r>
                </w:p>
              </w:tc>
              <w:tc>
                <w:tcPr>
                  <w:tcW w:w="1633"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设备噪声</w:t>
                  </w:r>
                </w:p>
              </w:tc>
              <w:tc>
                <w:tcPr>
                  <w:tcW w:w="2268" w:type="dxa"/>
                  <w:vAlign w:val="center"/>
                </w:tcPr>
                <w:p>
                  <w:pPr>
                    <w:pStyle w:val="116"/>
                    <w:rPr>
                      <w:rFonts w:hint="default" w:ascii="Times New Roman" w:hAnsi="Times New Roman" w:cs="Times New Roman"/>
                      <w:b/>
                      <w:color w:val="auto"/>
                      <w:sz w:val="21"/>
                      <w:szCs w:val="21"/>
                    </w:rPr>
                  </w:pPr>
                  <w:r>
                    <w:rPr>
                      <w:rFonts w:hint="default" w:ascii="Times New Roman" w:hAnsi="Times New Roman" w:cs="Times New Roman"/>
                      <w:color w:val="auto"/>
                      <w:sz w:val="21"/>
                      <w:szCs w:val="21"/>
                    </w:rPr>
                    <w:t>噪声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restart"/>
                  <w:vAlign w:val="center"/>
                </w:tcPr>
                <w:p>
                  <w:pPr>
                    <w:pStyle w:val="116"/>
                    <w:rPr>
                      <w:rFonts w:hint="default" w:ascii="Times New Roman" w:hAnsi="Times New Roman" w:cs="Times New Roman"/>
                      <w:b/>
                      <w:color w:val="FF0000"/>
                      <w:sz w:val="21"/>
                      <w:szCs w:val="21"/>
                    </w:rPr>
                  </w:pPr>
                  <w:r>
                    <w:rPr>
                      <w:rFonts w:hint="default" w:ascii="Times New Roman" w:hAnsi="Times New Roman" w:cs="Times New Roman"/>
                      <w:color w:val="auto"/>
                      <w:sz w:val="21"/>
                      <w:szCs w:val="21"/>
                    </w:rPr>
                    <w:t>固废</w:t>
                  </w:r>
                </w:p>
              </w:tc>
              <w:tc>
                <w:tcPr>
                  <w:tcW w:w="1739"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职工生活</w:t>
                  </w:r>
                </w:p>
              </w:tc>
              <w:tc>
                <w:tcPr>
                  <w:tcW w:w="3901" w:type="dxa"/>
                  <w:gridSpan w:val="2"/>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生活垃圾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tabs>
                      <w:tab w:val="left" w:pos="677"/>
                    </w:tabs>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除尘工序</w:t>
                  </w:r>
                </w:p>
              </w:tc>
              <w:tc>
                <w:tcPr>
                  <w:tcW w:w="3901" w:type="dxa"/>
                  <w:gridSpan w:val="2"/>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废滤芯及废布袋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滤芯除尘工序</w:t>
                  </w:r>
                </w:p>
              </w:tc>
              <w:tc>
                <w:tcPr>
                  <w:tcW w:w="3901" w:type="dxa"/>
                  <w:gridSpan w:val="2"/>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收集的塑粉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除尘工序</w:t>
                  </w:r>
                </w:p>
              </w:tc>
              <w:tc>
                <w:tcPr>
                  <w:tcW w:w="3901" w:type="dxa"/>
                  <w:gridSpan w:val="2"/>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废塑粉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抛丸</w:t>
                  </w:r>
                  <w:r>
                    <w:rPr>
                      <w:rFonts w:hint="eastAsia"/>
                      <w:color w:val="auto"/>
                      <w:sz w:val="21"/>
                      <w:szCs w:val="21"/>
                      <w:lang w:val="en-US" w:eastAsia="zh-CN"/>
                    </w:rPr>
                    <w:t>工序</w:t>
                  </w:r>
                </w:p>
              </w:tc>
              <w:tc>
                <w:tcPr>
                  <w:tcW w:w="3901" w:type="dxa"/>
                  <w:gridSpan w:val="2"/>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废金刚砂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原料包装</w:t>
                  </w:r>
                </w:p>
              </w:tc>
              <w:tc>
                <w:tcPr>
                  <w:tcW w:w="3901" w:type="dxa"/>
                  <w:gridSpan w:val="2"/>
                  <w:vAlign w:val="center"/>
                </w:tcPr>
                <w:p>
                  <w:pPr>
                    <w:snapToGrid w:val="0"/>
                    <w:jc w:val="center"/>
                    <w:rPr>
                      <w:rFonts w:hint="eastAsia"/>
                      <w:color w:val="auto"/>
                      <w:sz w:val="21"/>
                      <w:szCs w:val="21"/>
                      <w:lang w:val="en-US" w:eastAsia="zh-CN"/>
                    </w:rPr>
                  </w:pPr>
                  <w:r>
                    <w:rPr>
                      <w:rFonts w:hint="eastAsia"/>
                      <w:color w:val="auto"/>
                      <w:sz w:val="21"/>
                      <w:szCs w:val="21"/>
                      <w:lang w:val="en-US" w:eastAsia="zh-CN"/>
                    </w:rPr>
                    <w:t>一般废弃包装材料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snapToGrid w:val="0"/>
                    <w:jc w:val="center"/>
                    <w:rPr>
                      <w:rFonts w:hint="eastAsia"/>
                      <w:color w:val="auto"/>
                      <w:sz w:val="21"/>
                      <w:szCs w:val="21"/>
                    </w:rPr>
                  </w:pPr>
                  <w:r>
                    <w:rPr>
                      <w:rFonts w:hint="eastAsia"/>
                      <w:color w:val="auto"/>
                      <w:sz w:val="21"/>
                      <w:szCs w:val="21"/>
                      <w:lang w:val="en-US" w:eastAsia="zh-CN"/>
                    </w:rPr>
                    <w:t>除尘工序</w:t>
                  </w:r>
                </w:p>
              </w:tc>
              <w:tc>
                <w:tcPr>
                  <w:tcW w:w="3901" w:type="dxa"/>
                  <w:gridSpan w:val="2"/>
                  <w:vAlign w:val="center"/>
                </w:tcPr>
                <w:p>
                  <w:pPr>
                    <w:snapToGrid w:val="0"/>
                    <w:jc w:val="center"/>
                    <w:rPr>
                      <w:rFonts w:hint="eastAsia"/>
                      <w:color w:val="auto"/>
                      <w:sz w:val="21"/>
                      <w:szCs w:val="21"/>
                      <w:lang w:val="en-US" w:eastAsia="zh-CN"/>
                    </w:rPr>
                  </w:pPr>
                  <w:r>
                    <w:rPr>
                      <w:rFonts w:hint="eastAsia"/>
                      <w:color w:val="auto"/>
                      <w:sz w:val="21"/>
                      <w:szCs w:val="21"/>
                      <w:lang w:val="en-US" w:eastAsia="zh-CN"/>
                    </w:rPr>
                    <w:t>收集的金属粉尘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snapToGrid w:val="0"/>
                    <w:jc w:val="center"/>
                    <w:rPr>
                      <w:rFonts w:hint="default"/>
                      <w:color w:val="auto"/>
                      <w:sz w:val="21"/>
                      <w:szCs w:val="21"/>
                      <w:lang w:val="en-US" w:eastAsia="zh-CN"/>
                    </w:rPr>
                  </w:pPr>
                  <w:r>
                    <w:rPr>
                      <w:rFonts w:hint="eastAsia"/>
                      <w:color w:val="auto"/>
                      <w:sz w:val="21"/>
                      <w:szCs w:val="21"/>
                      <w:lang w:val="en-US" w:eastAsia="zh-CN"/>
                    </w:rPr>
                    <w:t>有机废气处理</w:t>
                  </w:r>
                </w:p>
              </w:tc>
              <w:tc>
                <w:tcPr>
                  <w:tcW w:w="3901" w:type="dxa"/>
                  <w:gridSpan w:val="2"/>
                  <w:vAlign w:val="center"/>
                </w:tcPr>
                <w:p>
                  <w:pPr>
                    <w:snapToGrid w:val="0"/>
                    <w:jc w:val="center"/>
                    <w:rPr>
                      <w:rFonts w:hint="default"/>
                      <w:color w:val="auto"/>
                      <w:sz w:val="21"/>
                      <w:szCs w:val="21"/>
                      <w:lang w:val="en-US" w:eastAsia="zh-CN"/>
                    </w:rPr>
                  </w:pPr>
                  <w:r>
                    <w:rPr>
                      <w:rFonts w:hint="eastAsia"/>
                      <w:color w:val="auto"/>
                      <w:sz w:val="21"/>
                      <w:szCs w:val="21"/>
                      <w:lang w:val="en-US" w:eastAsia="zh-CN"/>
                    </w:rPr>
                    <w:t>废催化块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snapToGrid w:val="0"/>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喷漆及刷漆工序</w:t>
                  </w:r>
                </w:p>
              </w:tc>
              <w:tc>
                <w:tcPr>
                  <w:tcW w:w="3901" w:type="dxa"/>
                  <w:gridSpan w:val="2"/>
                  <w:vAlign w:val="center"/>
                </w:tcPr>
                <w:p>
                  <w:pPr>
                    <w:jc w:val="center"/>
                    <w:rPr>
                      <w:rFonts w:hint="default" w:ascii="Times New Roman" w:hAnsi="Times New Roman" w:eastAsia="宋体" w:cs="Times New Roman"/>
                      <w:bCs/>
                      <w:color w:val="FF0000"/>
                      <w:kern w:val="2"/>
                      <w:sz w:val="21"/>
                      <w:szCs w:val="21"/>
                      <w:lang w:val="en-US" w:eastAsia="zh-CN" w:bidi="ar-SA"/>
                    </w:rPr>
                  </w:pPr>
                  <w:r>
                    <w:rPr>
                      <w:rFonts w:hint="eastAsia"/>
                      <w:bCs/>
                      <w:color w:val="auto"/>
                      <w:sz w:val="21"/>
                      <w:szCs w:val="21"/>
                      <w:lang w:val="en-US" w:eastAsia="zh-CN"/>
                    </w:rPr>
                    <w:t>漆渣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3901" w:type="dxa"/>
                  <w:gridSpan w:val="2"/>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废活性炭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废气处理</w:t>
                  </w:r>
                </w:p>
              </w:tc>
              <w:tc>
                <w:tcPr>
                  <w:tcW w:w="3901" w:type="dxa"/>
                  <w:gridSpan w:val="2"/>
                  <w:vAlign w:val="center"/>
                </w:tcPr>
                <w:p>
                  <w:pPr>
                    <w:snapToGrid w:val="0"/>
                    <w:jc w:val="center"/>
                    <w:rPr>
                      <w:rFonts w:hint="default"/>
                      <w:color w:val="auto"/>
                      <w:sz w:val="21"/>
                      <w:szCs w:val="21"/>
                      <w:lang w:val="en-US" w:eastAsia="zh-CN"/>
                    </w:rPr>
                  </w:pPr>
                  <w:r>
                    <w:rPr>
                      <w:rFonts w:hint="eastAsia"/>
                      <w:color w:val="auto"/>
                      <w:sz w:val="21"/>
                      <w:szCs w:val="21"/>
                      <w:lang w:val="en-US" w:eastAsia="zh-CN"/>
                    </w:rPr>
                    <w:t>废过滤棉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vAlign w:val="center"/>
                </w:tcPr>
                <w:p>
                  <w:pPr>
                    <w:pStyle w:val="116"/>
                    <w:rPr>
                      <w:rFonts w:hint="default" w:ascii="Times New Roman" w:hAnsi="Times New Roman" w:cs="Times New Roman"/>
                      <w:b/>
                      <w:color w:val="FF0000"/>
                      <w:sz w:val="21"/>
                      <w:szCs w:val="21"/>
                    </w:rPr>
                  </w:pPr>
                </w:p>
              </w:tc>
              <w:tc>
                <w:tcPr>
                  <w:tcW w:w="855" w:type="dxa"/>
                  <w:vMerge w:val="continue"/>
                  <w:vAlign w:val="center"/>
                </w:tcPr>
                <w:p>
                  <w:pPr>
                    <w:pStyle w:val="116"/>
                    <w:rPr>
                      <w:rFonts w:hint="default" w:ascii="Times New Roman" w:hAnsi="Times New Roman" w:cs="Times New Roman"/>
                      <w:color w:val="FF0000"/>
                      <w:sz w:val="21"/>
                      <w:szCs w:val="21"/>
                    </w:rPr>
                  </w:pPr>
                </w:p>
              </w:tc>
              <w:tc>
                <w:tcPr>
                  <w:tcW w:w="1739" w:type="dxa"/>
                  <w:vAlign w:val="center"/>
                </w:tcPr>
                <w:p>
                  <w:pPr>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有机废气处理</w:t>
                  </w:r>
                </w:p>
              </w:tc>
              <w:tc>
                <w:tcPr>
                  <w:tcW w:w="3901" w:type="dxa"/>
                  <w:gridSpan w:val="2"/>
                  <w:vAlign w:val="center"/>
                </w:tcPr>
                <w:p>
                  <w:pPr>
                    <w:snapToGrid w:val="0"/>
                    <w:jc w:val="center"/>
                    <w:rPr>
                      <w:rFonts w:hint="default"/>
                      <w:color w:val="auto"/>
                      <w:sz w:val="21"/>
                      <w:szCs w:val="21"/>
                      <w:lang w:val="en-US" w:eastAsia="zh-CN"/>
                    </w:rPr>
                  </w:pPr>
                  <w:r>
                    <w:rPr>
                      <w:rFonts w:hint="eastAsia"/>
                      <w:color w:val="auto"/>
                      <w:sz w:val="21"/>
                      <w:szCs w:val="21"/>
                      <w:lang w:val="en-US" w:eastAsia="zh-CN"/>
                    </w:rPr>
                    <w:t>水喷淋废液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tcPr>
                <w:p>
                  <w:pPr>
                    <w:pStyle w:val="116"/>
                    <w:rPr>
                      <w:rFonts w:hint="default" w:ascii="Times New Roman" w:hAnsi="Times New Roman" w:cs="Times New Roman"/>
                      <w:b/>
                      <w:color w:val="FF0000"/>
                      <w:sz w:val="21"/>
                      <w:szCs w:val="21"/>
                    </w:rPr>
                  </w:pPr>
                </w:p>
              </w:tc>
              <w:tc>
                <w:tcPr>
                  <w:tcW w:w="855" w:type="dxa"/>
                  <w:vMerge w:val="continue"/>
                </w:tcPr>
                <w:p>
                  <w:pPr>
                    <w:pStyle w:val="116"/>
                    <w:rPr>
                      <w:rFonts w:hint="default" w:ascii="Times New Roman" w:hAnsi="Times New Roman" w:cs="Times New Roman"/>
                      <w:b/>
                      <w:color w:val="FF0000"/>
                      <w:sz w:val="21"/>
                      <w:szCs w:val="21"/>
                    </w:rPr>
                  </w:pPr>
                </w:p>
              </w:tc>
              <w:tc>
                <w:tcPr>
                  <w:tcW w:w="1739"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油漆包装</w:t>
                  </w:r>
                </w:p>
              </w:tc>
              <w:tc>
                <w:tcPr>
                  <w:tcW w:w="3901" w:type="dxa"/>
                  <w:gridSpan w:val="2"/>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废油漆桶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tcPr>
                <w:p>
                  <w:pPr>
                    <w:pStyle w:val="116"/>
                    <w:rPr>
                      <w:rFonts w:hint="default" w:ascii="Times New Roman" w:hAnsi="Times New Roman" w:cs="Times New Roman"/>
                      <w:b/>
                      <w:color w:val="FF0000"/>
                      <w:sz w:val="21"/>
                      <w:szCs w:val="21"/>
                    </w:rPr>
                  </w:pPr>
                </w:p>
              </w:tc>
              <w:tc>
                <w:tcPr>
                  <w:tcW w:w="855" w:type="dxa"/>
                  <w:vMerge w:val="continue"/>
                </w:tcPr>
                <w:p>
                  <w:pPr>
                    <w:pStyle w:val="116"/>
                    <w:rPr>
                      <w:rFonts w:hint="default" w:ascii="Times New Roman" w:hAnsi="Times New Roman" w:cs="Times New Roman"/>
                      <w:b/>
                      <w:color w:val="FF0000"/>
                      <w:sz w:val="21"/>
                      <w:szCs w:val="21"/>
                    </w:rPr>
                  </w:pPr>
                </w:p>
              </w:tc>
              <w:tc>
                <w:tcPr>
                  <w:tcW w:w="1739"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刷漆工序</w:t>
                  </w:r>
                </w:p>
              </w:tc>
              <w:tc>
                <w:tcPr>
                  <w:tcW w:w="3901" w:type="dxa"/>
                  <w:gridSpan w:val="2"/>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cs="Times New Roman"/>
                      <w:bCs/>
                      <w:color w:val="auto"/>
                      <w:sz w:val="21"/>
                      <w:szCs w:val="21"/>
                      <w:lang w:val="en-US" w:eastAsia="zh-CN"/>
                    </w:rPr>
                    <w:t>废毛刷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876" w:type="dxa"/>
                  <w:vMerge w:val="continue"/>
                </w:tcPr>
                <w:p>
                  <w:pPr>
                    <w:pStyle w:val="116"/>
                    <w:rPr>
                      <w:rFonts w:hint="default" w:ascii="Times New Roman" w:hAnsi="Times New Roman" w:cs="Times New Roman"/>
                      <w:b/>
                      <w:color w:val="FF0000"/>
                      <w:sz w:val="21"/>
                      <w:szCs w:val="21"/>
                    </w:rPr>
                  </w:pPr>
                </w:p>
              </w:tc>
              <w:tc>
                <w:tcPr>
                  <w:tcW w:w="855" w:type="dxa"/>
                  <w:vMerge w:val="continue"/>
                </w:tcPr>
                <w:p>
                  <w:pPr>
                    <w:pStyle w:val="116"/>
                    <w:rPr>
                      <w:rFonts w:hint="default" w:ascii="Times New Roman" w:hAnsi="Times New Roman" w:cs="Times New Roman"/>
                      <w:b/>
                      <w:color w:val="FF0000"/>
                      <w:sz w:val="21"/>
                      <w:szCs w:val="21"/>
                    </w:rPr>
                  </w:pPr>
                </w:p>
              </w:tc>
              <w:tc>
                <w:tcPr>
                  <w:tcW w:w="0" w:type="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w:t>
                  </w:r>
                </w:p>
              </w:tc>
              <w:tc>
                <w:tcPr>
                  <w:tcW w:w="3901" w:type="dxa"/>
                  <w:gridSpan w:val="2"/>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喷枪清洗废液</w:t>
                  </w:r>
                </w:p>
              </w:tc>
            </w:tr>
          </w:tbl>
          <w:p>
            <w:pPr>
              <w:pStyle w:val="8"/>
              <w:keepNext w:val="0"/>
              <w:keepLines w:val="0"/>
              <w:pageBreakBefore w:val="0"/>
              <w:widowControl w:val="0"/>
              <w:kinsoku/>
              <w:wordWrap/>
              <w:overflowPunct/>
              <w:topLinePunct w:val="0"/>
              <w:autoSpaceDE/>
              <w:autoSpaceDN/>
              <w:bidi w:val="0"/>
              <w:snapToGrid/>
              <w:spacing w:line="120" w:lineRule="exact"/>
              <w:ind w:left="0" w:leftChars="0" w:firstLine="0" w:firstLineChars="0"/>
              <w:textAlignment w:val="auto"/>
              <w:rPr>
                <w:rFonts w:hint="default" w:ascii="Times New Roman" w:hAnsi="Times New Roman" w:eastAsia="宋体" w:cs="Times New Roman"/>
                <w:b/>
                <w:bCs/>
                <w:color w:val="FF0000"/>
                <w:szCs w:val="24"/>
                <w:lang w:val="en-US" w:eastAsia="zh-CN"/>
              </w:rPr>
            </w:pPr>
          </w:p>
          <w:p>
            <w:pPr>
              <w:keepNext w:val="0"/>
              <w:keepLines w:val="0"/>
              <w:pageBreakBefore w:val="0"/>
              <w:widowControl w:val="0"/>
              <w:kinsoku/>
              <w:wordWrap/>
              <w:overflowPunct/>
              <w:topLinePunct w:val="0"/>
              <w:autoSpaceDE/>
              <w:autoSpaceDN/>
              <w:bidi w:val="0"/>
              <w:snapToGrid/>
              <w:spacing w:line="120" w:lineRule="exact"/>
              <w:textAlignment w:val="auto"/>
              <w:rPr>
                <w:rFonts w:hint="default" w:ascii="Times New Roman" w:hAnsi="Times New Roman" w:cs="Times New Roman"/>
                <w:color w:val="FF0000"/>
                <w:lang w:val="en-US" w:eastAsia="zh-CN"/>
              </w:rPr>
            </w:pPr>
          </w:p>
          <w:p>
            <w:pPr>
              <w:pStyle w:val="14"/>
              <w:rPr>
                <w:rFonts w:hint="default" w:ascii="Times New Roman" w:hAnsi="Times New Roman" w:cs="Times New Roman"/>
                <w:color w:val="FF0000"/>
                <w:lang w:val="en-US" w:eastAsia="zh-CN"/>
              </w:rPr>
            </w:pPr>
          </w:p>
          <w:p>
            <w:pPr>
              <w:rPr>
                <w:rFonts w:hint="default" w:ascii="Times New Roman" w:hAnsi="Times New Roman" w:cs="Times New Roman"/>
                <w:color w:val="FF0000"/>
                <w:lang w:val="en-US" w:eastAsia="zh-CN"/>
              </w:rPr>
            </w:pPr>
          </w:p>
          <w:p>
            <w:pPr>
              <w:pStyle w:val="14"/>
              <w:rPr>
                <w:rFonts w:hint="default" w:ascii="Times New Roman" w:hAnsi="Times New Roman" w:cs="Times New Roman"/>
                <w:color w:val="FF0000"/>
                <w:lang w:val="en-US" w:eastAsia="zh-CN"/>
              </w:rPr>
            </w:pPr>
          </w:p>
          <w:p>
            <w:pPr>
              <w:pStyle w:val="14"/>
              <w:rPr>
                <w:rFonts w:hint="default" w:ascii="Times New Roman" w:hAnsi="Times New Roman" w:cs="Times New Roman"/>
                <w:color w:val="FF0000"/>
                <w:lang w:val="en-US" w:eastAsia="zh-CN"/>
              </w:rPr>
            </w:pPr>
          </w:p>
          <w:p>
            <w:pPr>
              <w:pStyle w:val="14"/>
              <w:rPr>
                <w:rFonts w:hint="default"/>
                <w:lang w:val="en-US" w:eastAsia="zh-CN"/>
              </w:rPr>
            </w:pPr>
          </w:p>
          <w:p>
            <w:pPr>
              <w:pStyle w:val="38"/>
              <w:jc w:val="both"/>
              <w:rPr>
                <w:rFonts w:hint="default" w:ascii="Times New Roman" w:hAnsi="Times New Roman" w:cs="Times New Roman"/>
                <w:color w:val="FF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7" w:hRule="atLeast"/>
          <w:jc w:val="center"/>
        </w:trPr>
        <w:tc>
          <w:tcPr>
            <w:tcW w:w="709"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与项目有关的原有环境污染问题</w:t>
            </w:r>
          </w:p>
        </w:tc>
        <w:tc>
          <w:tcPr>
            <w:tcW w:w="7656" w:type="dxa"/>
          </w:tcPr>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2.1</w:t>
            </w:r>
            <w:r>
              <w:rPr>
                <w:rFonts w:hint="eastAsia" w:cs="Times New Roman"/>
                <w:b/>
                <w:color w:val="auto"/>
                <w:szCs w:val="24"/>
                <w:lang w:val="en-US" w:eastAsia="zh-CN"/>
              </w:rPr>
              <w:t>2</w:t>
            </w:r>
            <w:r>
              <w:rPr>
                <w:rFonts w:hint="default" w:ascii="Times New Roman" w:hAnsi="Times New Roman" w:cs="Times New Roman"/>
                <w:b/>
                <w:color w:val="auto"/>
                <w:szCs w:val="24"/>
              </w:rPr>
              <w:t>与本项目有关的原有污染情况及主要环境问题：</w:t>
            </w:r>
          </w:p>
          <w:p>
            <w:pPr>
              <w:spacing w:line="360" w:lineRule="auto"/>
              <w:jc w:val="left"/>
              <w:rPr>
                <w:rFonts w:hint="default" w:ascii="Times New Roman" w:hAnsi="Times New Roman" w:cs="Times New Roman"/>
                <w:b/>
                <w:color w:val="auto"/>
                <w:szCs w:val="24"/>
                <w:lang w:val="en-US"/>
              </w:rPr>
            </w:pPr>
            <w:r>
              <w:rPr>
                <w:rFonts w:hint="eastAsia" w:ascii="Times New Roman" w:hAnsi="Times New Roman" w:cs="Times New Roman"/>
                <w:b/>
                <w:color w:val="auto"/>
                <w:szCs w:val="24"/>
                <w:lang w:val="en-US" w:eastAsia="zh-CN"/>
              </w:rPr>
              <w:t>2.1</w:t>
            </w:r>
            <w:r>
              <w:rPr>
                <w:rFonts w:hint="eastAsia" w:cs="Times New Roman"/>
                <w:b/>
                <w:color w:val="auto"/>
                <w:szCs w:val="24"/>
                <w:lang w:val="en-US" w:eastAsia="zh-CN"/>
              </w:rPr>
              <w:t>2</w:t>
            </w:r>
            <w:r>
              <w:rPr>
                <w:rFonts w:hint="eastAsia" w:ascii="Times New Roman" w:hAnsi="Times New Roman" w:cs="Times New Roman"/>
                <w:b/>
                <w:color w:val="auto"/>
                <w:szCs w:val="24"/>
                <w:lang w:val="en-US" w:eastAsia="zh-CN"/>
              </w:rPr>
              <w:t>.1</w:t>
            </w:r>
            <w:r>
              <w:rPr>
                <w:rFonts w:hint="eastAsia" w:cs="Times New Roman"/>
                <w:b/>
                <w:color w:val="auto"/>
                <w:szCs w:val="24"/>
                <w:lang w:val="en-US" w:eastAsia="zh-CN"/>
              </w:rPr>
              <w:t>原有项目概况</w:t>
            </w:r>
          </w:p>
          <w:p>
            <w:pPr>
              <w:spacing w:line="360" w:lineRule="auto"/>
              <w:ind w:firstLine="480" w:firstLineChars="200"/>
              <w:rPr>
                <w:color w:val="auto"/>
              </w:rPr>
            </w:pPr>
            <w:r>
              <w:rPr>
                <w:rFonts w:hint="eastAsia" w:cs="Times New Roman"/>
                <w:color w:val="auto"/>
                <w:szCs w:val="24"/>
                <w:lang w:eastAsia="zh-CN"/>
              </w:rPr>
              <w:t>浙江鑫桦钢管有限公司</w:t>
            </w:r>
            <w:r>
              <w:rPr>
                <w:rFonts w:hint="eastAsia"/>
                <w:color w:val="auto"/>
                <w:szCs w:val="24"/>
              </w:rPr>
              <w:t>位于</w:t>
            </w:r>
            <w:r>
              <w:rPr>
                <w:rFonts w:hint="eastAsia" w:cs="Times New Roman"/>
                <w:color w:val="auto"/>
                <w:szCs w:val="24"/>
                <w:lang w:eastAsia="zh-CN"/>
              </w:rPr>
              <w:t>德清县钟管镇横塘桥路2号</w:t>
            </w:r>
            <w:r>
              <w:rPr>
                <w:rFonts w:hint="eastAsia"/>
                <w:color w:val="auto"/>
                <w:szCs w:val="24"/>
              </w:rPr>
              <w:t>，</w:t>
            </w:r>
            <w:r>
              <w:rPr>
                <w:rFonts w:hint="eastAsia"/>
                <w:color w:val="auto"/>
              </w:rPr>
              <w:t>企业原有项目批验情况详见表2-</w:t>
            </w:r>
            <w:r>
              <w:rPr>
                <w:rFonts w:hint="eastAsia"/>
                <w:color w:val="auto"/>
                <w:lang w:val="en-US" w:eastAsia="zh-CN"/>
              </w:rPr>
              <w:t>13</w:t>
            </w:r>
            <w:r>
              <w:rPr>
                <w:rFonts w:hint="eastAsia"/>
                <w:color w:val="auto"/>
              </w:rPr>
              <w:t>。</w:t>
            </w:r>
          </w:p>
          <w:p>
            <w:pPr>
              <w:pStyle w:val="166"/>
              <w:rPr>
                <w:rFonts w:hint="eastAsia" w:eastAsia="宋体"/>
                <w:color w:val="auto"/>
                <w:sz w:val="24"/>
                <w:szCs w:val="24"/>
                <w:lang w:val="en-US" w:eastAsia="zh-CN"/>
              </w:rPr>
            </w:pPr>
            <w:r>
              <w:rPr>
                <w:rFonts w:hint="eastAsia" w:eastAsia="宋体"/>
                <w:color w:val="auto"/>
                <w:sz w:val="24"/>
                <w:szCs w:val="24"/>
                <w:lang w:val="en-US" w:eastAsia="zh-CN"/>
              </w:rPr>
              <w:t>表2-13  企业原有项目批验情况一览表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1138"/>
              <w:gridCol w:w="1164"/>
              <w:gridCol w:w="1103"/>
              <w:gridCol w:w="14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7" w:hRule="atLeast"/>
                <w:tblHeader/>
                <w:jc w:val="center"/>
              </w:trPr>
              <w:tc>
                <w:tcPr>
                  <w:tcW w:w="2518" w:type="dxa"/>
                  <w:vAlign w:val="center"/>
                </w:tcPr>
                <w:p>
                  <w:pPr>
                    <w:pStyle w:val="116"/>
                    <w:rPr>
                      <w:b/>
                      <w:color w:val="auto"/>
                      <w:sz w:val="21"/>
                      <w:szCs w:val="21"/>
                    </w:rPr>
                  </w:pPr>
                  <w:r>
                    <w:rPr>
                      <w:b/>
                      <w:color w:val="auto"/>
                      <w:sz w:val="21"/>
                      <w:szCs w:val="21"/>
                    </w:rPr>
                    <w:t>项目名称</w:t>
                  </w:r>
                </w:p>
              </w:tc>
              <w:tc>
                <w:tcPr>
                  <w:tcW w:w="1138" w:type="dxa"/>
                  <w:vAlign w:val="center"/>
                </w:tcPr>
                <w:p>
                  <w:pPr>
                    <w:pStyle w:val="116"/>
                    <w:rPr>
                      <w:rFonts w:hint="eastAsia" w:eastAsia="宋体"/>
                      <w:b/>
                      <w:color w:val="auto"/>
                      <w:sz w:val="21"/>
                      <w:szCs w:val="21"/>
                      <w:lang w:eastAsia="zh-CN"/>
                    </w:rPr>
                  </w:pPr>
                  <w:r>
                    <w:rPr>
                      <w:rFonts w:hint="eastAsia"/>
                      <w:b/>
                      <w:color w:val="auto"/>
                      <w:sz w:val="21"/>
                      <w:szCs w:val="21"/>
                      <w:lang w:val="en-US" w:eastAsia="zh-CN"/>
                    </w:rPr>
                    <w:t>地址</w:t>
                  </w:r>
                </w:p>
              </w:tc>
              <w:tc>
                <w:tcPr>
                  <w:tcW w:w="1164" w:type="dxa"/>
                  <w:vAlign w:val="center"/>
                </w:tcPr>
                <w:p>
                  <w:pPr>
                    <w:pStyle w:val="116"/>
                    <w:rPr>
                      <w:b/>
                      <w:color w:val="auto"/>
                      <w:sz w:val="21"/>
                      <w:szCs w:val="21"/>
                    </w:rPr>
                  </w:pPr>
                  <w:r>
                    <w:rPr>
                      <w:b/>
                      <w:color w:val="auto"/>
                      <w:sz w:val="21"/>
                      <w:szCs w:val="21"/>
                    </w:rPr>
                    <w:t>审批情况</w:t>
                  </w:r>
                </w:p>
              </w:tc>
              <w:tc>
                <w:tcPr>
                  <w:tcW w:w="1103" w:type="dxa"/>
                  <w:vAlign w:val="center"/>
                </w:tcPr>
                <w:p>
                  <w:pPr>
                    <w:pStyle w:val="116"/>
                    <w:rPr>
                      <w:b/>
                      <w:color w:val="auto"/>
                      <w:sz w:val="21"/>
                      <w:szCs w:val="21"/>
                    </w:rPr>
                  </w:pPr>
                  <w:r>
                    <w:rPr>
                      <w:b/>
                      <w:color w:val="auto"/>
                      <w:sz w:val="21"/>
                      <w:szCs w:val="21"/>
                    </w:rPr>
                    <w:t>验收情况</w:t>
                  </w:r>
                </w:p>
              </w:tc>
              <w:tc>
                <w:tcPr>
                  <w:tcW w:w="1447" w:type="dxa"/>
                  <w:vAlign w:val="center"/>
                </w:tcPr>
                <w:p>
                  <w:pPr>
                    <w:pStyle w:val="116"/>
                    <w:rPr>
                      <w:rFonts w:hint="eastAsia" w:eastAsia="宋体"/>
                      <w:b/>
                      <w:color w:val="auto"/>
                      <w:sz w:val="21"/>
                      <w:szCs w:val="21"/>
                      <w:lang w:val="en-US" w:eastAsia="zh-CN"/>
                    </w:rPr>
                  </w:pPr>
                  <w:r>
                    <w:rPr>
                      <w:rFonts w:hint="eastAsia"/>
                      <w:b/>
                      <w:color w:val="auto"/>
                      <w:sz w:val="21"/>
                      <w:szCs w:val="21"/>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7" w:hRule="atLeast"/>
                <w:tblHeader/>
                <w:jc w:val="center"/>
              </w:trPr>
              <w:tc>
                <w:tcPr>
                  <w:tcW w:w="2518" w:type="dxa"/>
                  <w:vAlign w:val="center"/>
                </w:tcPr>
                <w:p>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年产4万吨螺旋埋弧焊管生产线建设项目</w:t>
                  </w:r>
                </w:p>
              </w:tc>
              <w:tc>
                <w:tcPr>
                  <w:tcW w:w="1138" w:type="dxa"/>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钟管镇茅山村</w:t>
                  </w:r>
                </w:p>
              </w:tc>
              <w:tc>
                <w:tcPr>
                  <w:tcW w:w="1164" w:type="dxa"/>
                  <w:vAlign w:val="center"/>
                </w:tcPr>
                <w:p>
                  <w:pPr>
                    <w:jc w:val="center"/>
                    <w:rPr>
                      <w:rFonts w:hint="default" w:eastAsia="宋体"/>
                      <w:color w:val="auto"/>
                      <w:sz w:val="21"/>
                      <w:szCs w:val="21"/>
                      <w:lang w:val="en-US" w:eastAsia="zh-CN"/>
                    </w:rPr>
                  </w:pPr>
                  <w:r>
                    <w:rPr>
                      <w:rFonts w:hint="eastAsia" w:eastAsia="宋体" w:cs="Times New Roman"/>
                      <w:color w:val="auto"/>
                      <w:sz w:val="21"/>
                      <w:szCs w:val="21"/>
                      <w:lang w:val="en-US" w:eastAsia="zh-CN"/>
                    </w:rPr>
                    <w:t>德环建审</w:t>
                  </w:r>
                  <w:r>
                    <w:rPr>
                      <w:rFonts w:hint="eastAsia" w:ascii="Times New Roman" w:hAnsi="Times New Roman" w:eastAsia="宋体" w:cs="Times New Roman"/>
                      <w:color w:val="auto"/>
                      <w:sz w:val="21"/>
                      <w:szCs w:val="21"/>
                    </w:rPr>
                    <w:t>（20</w:t>
                  </w:r>
                  <w:r>
                    <w:rPr>
                      <w:rFonts w:hint="eastAsia" w:eastAsia="宋体" w:cs="Times New Roman"/>
                      <w:color w:val="auto"/>
                      <w:sz w:val="21"/>
                      <w:szCs w:val="21"/>
                      <w:lang w:val="en-US" w:eastAsia="zh-CN"/>
                    </w:rPr>
                    <w:t>11</w:t>
                  </w:r>
                  <w:r>
                    <w:rPr>
                      <w:rFonts w:hint="eastAsia" w:ascii="Times New Roman" w:hAnsi="Times New Roman" w:eastAsia="宋体" w:cs="Times New Roman"/>
                      <w:color w:val="auto"/>
                      <w:sz w:val="21"/>
                      <w:szCs w:val="21"/>
                    </w:rPr>
                    <w:t>）</w:t>
                  </w:r>
                  <w:r>
                    <w:rPr>
                      <w:rFonts w:hint="eastAsia" w:eastAsia="宋体" w:cs="Times New Roman"/>
                      <w:color w:val="auto"/>
                      <w:sz w:val="21"/>
                      <w:szCs w:val="21"/>
                      <w:lang w:val="en-US" w:eastAsia="zh-CN"/>
                    </w:rPr>
                    <w:t>001</w:t>
                  </w:r>
                  <w:r>
                    <w:rPr>
                      <w:rFonts w:hint="eastAsia" w:ascii="Times New Roman" w:hAnsi="Times New Roman" w:eastAsia="宋体" w:cs="Times New Roman"/>
                      <w:color w:val="auto"/>
                      <w:sz w:val="21"/>
                      <w:szCs w:val="21"/>
                    </w:rPr>
                    <w:t>号</w:t>
                  </w:r>
                </w:p>
              </w:tc>
              <w:tc>
                <w:tcPr>
                  <w:tcW w:w="1103" w:type="dxa"/>
                  <w:vAlign w:val="center"/>
                </w:tcPr>
                <w:p>
                  <w:pPr>
                    <w:jc w:val="center"/>
                    <w:rPr>
                      <w:rFonts w:hint="eastAsia"/>
                      <w:color w:val="auto"/>
                      <w:sz w:val="21"/>
                      <w:szCs w:val="21"/>
                      <w:lang w:val="en-US" w:eastAsia="zh-CN"/>
                    </w:rPr>
                  </w:pPr>
                  <w:r>
                    <w:rPr>
                      <w:rFonts w:hint="eastAsia" w:eastAsia="宋体" w:cs="Times New Roman"/>
                      <w:color w:val="auto"/>
                      <w:sz w:val="21"/>
                      <w:szCs w:val="21"/>
                      <w:lang w:val="en-US" w:eastAsia="zh-CN"/>
                    </w:rPr>
                    <w:t>德</w:t>
                  </w:r>
                  <w:r>
                    <w:rPr>
                      <w:rFonts w:hint="eastAsia" w:ascii="Times New Roman" w:hAnsi="Times New Roman" w:eastAsia="宋体" w:cs="Times New Roman"/>
                      <w:color w:val="auto"/>
                      <w:sz w:val="21"/>
                      <w:szCs w:val="21"/>
                      <w:lang w:val="en-US" w:eastAsia="zh-CN"/>
                    </w:rPr>
                    <w:t>环验</w:t>
                  </w:r>
                  <w:r>
                    <w:rPr>
                      <w:rFonts w:hint="eastAsia" w:ascii="Times New Roman" w:hAnsi="Times New Roman" w:eastAsia="宋体" w:cs="Times New Roman"/>
                      <w:color w:val="auto"/>
                      <w:sz w:val="21"/>
                      <w:szCs w:val="21"/>
                    </w:rPr>
                    <w:t>（20</w:t>
                  </w:r>
                  <w:r>
                    <w:rPr>
                      <w:rFonts w:hint="eastAsia" w:eastAsia="宋体" w:cs="Times New Roman"/>
                      <w:color w:val="auto"/>
                      <w:sz w:val="21"/>
                      <w:szCs w:val="21"/>
                      <w:lang w:val="en-US" w:eastAsia="zh-CN"/>
                    </w:rPr>
                    <w:t>11</w:t>
                  </w:r>
                  <w:r>
                    <w:rPr>
                      <w:rFonts w:hint="eastAsia" w:ascii="Times New Roman" w:hAnsi="Times New Roman" w:eastAsia="宋体" w:cs="Times New Roman"/>
                      <w:color w:val="auto"/>
                      <w:sz w:val="21"/>
                      <w:szCs w:val="21"/>
                    </w:rPr>
                    <w:t>）</w:t>
                  </w:r>
                  <w:r>
                    <w:rPr>
                      <w:rFonts w:hint="eastAsia" w:eastAsia="宋体" w:cs="Times New Roman"/>
                      <w:color w:val="auto"/>
                      <w:sz w:val="21"/>
                      <w:szCs w:val="21"/>
                      <w:lang w:val="en-US" w:eastAsia="zh-CN"/>
                    </w:rPr>
                    <w:t>085</w:t>
                  </w:r>
                  <w:r>
                    <w:rPr>
                      <w:rFonts w:hint="eastAsia" w:ascii="Times New Roman" w:hAnsi="Times New Roman" w:eastAsia="宋体" w:cs="Times New Roman"/>
                      <w:color w:val="auto"/>
                      <w:sz w:val="21"/>
                      <w:szCs w:val="21"/>
                    </w:rPr>
                    <w:t>号</w:t>
                  </w:r>
                </w:p>
              </w:tc>
              <w:tc>
                <w:tcPr>
                  <w:tcW w:w="1447" w:type="dxa"/>
                  <w:vAlign w:val="center"/>
                </w:tcPr>
                <w:p>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已搬迁，原地址已停产，设备已拆除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7" w:hRule="atLeast"/>
                <w:tblHeader/>
                <w:jc w:val="center"/>
              </w:trPr>
              <w:tc>
                <w:tcPr>
                  <w:tcW w:w="2518" w:type="dxa"/>
                  <w:vAlign w:val="center"/>
                </w:tcPr>
                <w:p>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年产5万吨螺旋埋弧焊管生产线搬迁扩建项目</w:t>
                  </w:r>
                </w:p>
              </w:tc>
              <w:tc>
                <w:tcPr>
                  <w:tcW w:w="1138"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钟管镇横塘桥路2号现厂址</w:t>
                  </w:r>
                </w:p>
              </w:tc>
              <w:tc>
                <w:tcPr>
                  <w:tcW w:w="1164" w:type="dxa"/>
                  <w:vAlign w:val="center"/>
                </w:tcPr>
                <w:p>
                  <w:pPr>
                    <w:jc w:val="center"/>
                    <w:rPr>
                      <w:rFonts w:hint="default"/>
                      <w:color w:val="auto"/>
                      <w:sz w:val="21"/>
                      <w:szCs w:val="21"/>
                      <w:lang w:val="en-US" w:eastAsia="zh-CN"/>
                    </w:rPr>
                  </w:pPr>
                  <w:r>
                    <w:rPr>
                      <w:rFonts w:hint="eastAsia" w:cs="Times New Roman"/>
                      <w:color w:val="auto"/>
                      <w:sz w:val="21"/>
                      <w:szCs w:val="21"/>
                      <w:lang w:val="en-US" w:eastAsia="zh-CN"/>
                    </w:rPr>
                    <w:t>德环建（2015）44号</w:t>
                  </w:r>
                </w:p>
              </w:tc>
              <w:tc>
                <w:tcPr>
                  <w:tcW w:w="1103" w:type="dxa"/>
                  <w:vAlign w:val="center"/>
                </w:tcPr>
                <w:p>
                  <w:pPr>
                    <w:pStyle w:val="116"/>
                    <w:rPr>
                      <w:rFonts w:hint="eastAsia"/>
                      <w:color w:val="auto"/>
                      <w:sz w:val="21"/>
                      <w:szCs w:val="21"/>
                      <w:lang w:val="en-US" w:eastAsia="zh-CN"/>
                    </w:rPr>
                  </w:pPr>
                  <w:r>
                    <w:rPr>
                      <w:rFonts w:hint="eastAsia" w:eastAsia="宋体" w:cs="Times New Roman"/>
                      <w:color w:val="auto"/>
                      <w:sz w:val="21"/>
                      <w:szCs w:val="21"/>
                      <w:lang w:val="en-US" w:eastAsia="zh-CN"/>
                    </w:rPr>
                    <w:t>德</w:t>
                  </w:r>
                  <w:r>
                    <w:rPr>
                      <w:rFonts w:hint="eastAsia" w:ascii="Times New Roman" w:hAnsi="Times New Roman" w:eastAsia="宋体" w:cs="Times New Roman"/>
                      <w:color w:val="auto"/>
                      <w:sz w:val="21"/>
                      <w:szCs w:val="21"/>
                      <w:lang w:val="en-US" w:eastAsia="zh-CN"/>
                    </w:rPr>
                    <w:t>环验</w:t>
                  </w:r>
                  <w:r>
                    <w:rPr>
                      <w:rFonts w:hint="eastAsia" w:ascii="Times New Roman" w:hAnsi="Times New Roman" w:eastAsia="宋体" w:cs="Times New Roman"/>
                      <w:color w:val="auto"/>
                      <w:sz w:val="21"/>
                      <w:szCs w:val="21"/>
                    </w:rPr>
                    <w:t>（20</w:t>
                  </w:r>
                  <w:r>
                    <w:rPr>
                      <w:rFonts w:hint="eastAsia" w:eastAsia="宋体" w:cs="Times New Roman"/>
                      <w:color w:val="auto"/>
                      <w:sz w:val="21"/>
                      <w:szCs w:val="21"/>
                      <w:lang w:val="en-US" w:eastAsia="zh-CN"/>
                    </w:rPr>
                    <w:t>17</w:t>
                  </w:r>
                  <w:r>
                    <w:rPr>
                      <w:rFonts w:hint="eastAsia" w:ascii="Times New Roman" w:hAnsi="Times New Roman" w:eastAsia="宋体" w:cs="Times New Roman"/>
                      <w:color w:val="auto"/>
                      <w:sz w:val="21"/>
                      <w:szCs w:val="21"/>
                    </w:rPr>
                    <w:t>）</w:t>
                  </w:r>
                  <w:r>
                    <w:rPr>
                      <w:rFonts w:hint="eastAsia" w:eastAsia="宋体" w:cs="Times New Roman"/>
                      <w:color w:val="auto"/>
                      <w:sz w:val="21"/>
                      <w:szCs w:val="21"/>
                      <w:lang w:val="en-US" w:eastAsia="zh-CN"/>
                    </w:rPr>
                    <w:t>068</w:t>
                  </w:r>
                  <w:r>
                    <w:rPr>
                      <w:rFonts w:hint="eastAsia" w:ascii="Times New Roman" w:hAnsi="Times New Roman" w:eastAsia="宋体" w:cs="Times New Roman"/>
                      <w:color w:val="auto"/>
                      <w:sz w:val="21"/>
                      <w:szCs w:val="21"/>
                    </w:rPr>
                    <w:t>号</w:t>
                  </w:r>
                </w:p>
              </w:tc>
              <w:tc>
                <w:tcPr>
                  <w:tcW w:w="1447" w:type="dxa"/>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正常生产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7" w:hRule="atLeast"/>
                <w:tblHeader/>
                <w:jc w:val="center"/>
              </w:trPr>
              <w:tc>
                <w:tcPr>
                  <w:tcW w:w="2518" w:type="dxa"/>
                  <w:vAlign w:val="center"/>
                </w:tcPr>
                <w:p>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年产</w:t>
                  </w:r>
                  <w:r>
                    <w:rPr>
                      <w:rFonts w:hint="default" w:ascii="Times New Roman" w:hAnsi="Times New Roman" w:eastAsia="宋体" w:cs="Times New Roman"/>
                      <w:color w:val="auto"/>
                      <w:sz w:val="21"/>
                      <w:szCs w:val="21"/>
                      <w:lang w:val="en-US" w:eastAsia="zh-CN"/>
                    </w:rPr>
                    <w:t>100</w:t>
                  </w:r>
                  <w:r>
                    <w:rPr>
                      <w:rFonts w:hint="eastAsia" w:ascii="Times New Roman" w:hAnsi="Times New Roman" w:eastAsia="宋体" w:cs="Times New Roman"/>
                      <w:color w:val="auto"/>
                      <w:sz w:val="21"/>
                      <w:szCs w:val="21"/>
                      <w:lang w:val="en-US" w:eastAsia="zh-CN"/>
                    </w:rPr>
                    <w:t>万平方米内外环氧粉末、</w:t>
                  </w:r>
                  <w:r>
                    <w:rPr>
                      <w:rFonts w:hint="default" w:ascii="Times New Roman" w:hAnsi="Times New Roman" w:eastAsia="宋体" w:cs="Times New Roman"/>
                      <w:color w:val="auto"/>
                      <w:sz w:val="21"/>
                      <w:szCs w:val="21"/>
                      <w:lang w:val="en-US" w:eastAsia="zh-CN"/>
                    </w:rPr>
                    <w:t>5.6</w:t>
                  </w:r>
                  <w:r>
                    <w:rPr>
                      <w:rFonts w:hint="eastAsia" w:ascii="Times New Roman" w:hAnsi="Times New Roman" w:eastAsia="宋体" w:cs="Times New Roman"/>
                      <w:color w:val="auto"/>
                      <w:sz w:val="21"/>
                      <w:szCs w:val="21"/>
                      <w:lang w:val="en-US" w:eastAsia="zh-CN"/>
                    </w:rPr>
                    <w:t>万平方米内</w:t>
                  </w:r>
                  <w:r>
                    <w:rPr>
                      <w:rFonts w:hint="default" w:ascii="Times New Roman" w:hAnsi="Times New Roman" w:eastAsia="宋体" w:cs="Times New Roman"/>
                      <w:color w:val="auto"/>
                      <w:sz w:val="21"/>
                      <w:szCs w:val="21"/>
                      <w:lang w:val="en-US" w:eastAsia="zh-CN"/>
                    </w:rPr>
                    <w:t>8710-2</w:t>
                  </w:r>
                  <w:r>
                    <w:rPr>
                      <w:rFonts w:hint="eastAsia" w:ascii="Times New Roman" w:hAnsi="Times New Roman" w:eastAsia="宋体" w:cs="Times New Roman"/>
                      <w:color w:val="auto"/>
                      <w:sz w:val="21"/>
                      <w:szCs w:val="21"/>
                      <w:lang w:val="en-US" w:eastAsia="zh-CN"/>
                    </w:rPr>
                    <w:t>饮用水涂料外</w:t>
                  </w:r>
                  <w:r>
                    <w:rPr>
                      <w:rFonts w:hint="default" w:ascii="Times New Roman" w:hAnsi="Times New Roman" w:eastAsia="宋体" w:cs="Times New Roman"/>
                      <w:color w:val="auto"/>
                      <w:sz w:val="21"/>
                      <w:szCs w:val="21"/>
                      <w:lang w:val="en-US" w:eastAsia="zh-CN"/>
                    </w:rPr>
                    <w:t>8710-3</w:t>
                  </w:r>
                  <w:r>
                    <w:rPr>
                      <w:rFonts w:hint="eastAsia" w:ascii="Times New Roman" w:hAnsi="Times New Roman" w:eastAsia="宋体" w:cs="Times New Roman"/>
                      <w:color w:val="auto"/>
                      <w:sz w:val="21"/>
                      <w:szCs w:val="21"/>
                      <w:lang w:val="en-US" w:eastAsia="zh-CN"/>
                    </w:rPr>
                    <w:t>涂料喷涂钢管项目</w:t>
                  </w:r>
                </w:p>
              </w:tc>
              <w:tc>
                <w:tcPr>
                  <w:tcW w:w="1138" w:type="dxa"/>
                  <w:vAlign w:val="center"/>
                </w:tcPr>
                <w:p>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钟管镇横塘桥路2号现厂址</w:t>
                  </w:r>
                </w:p>
              </w:tc>
              <w:tc>
                <w:tcPr>
                  <w:tcW w:w="1164" w:type="dxa"/>
                  <w:vAlign w:val="center"/>
                </w:tcPr>
                <w:p>
                  <w:pPr>
                    <w:jc w:val="center"/>
                    <w:rPr>
                      <w:rFonts w:hint="eastAsia" w:cs="Times New Roman"/>
                      <w:color w:val="auto"/>
                      <w:sz w:val="21"/>
                      <w:szCs w:val="21"/>
                      <w:lang w:val="en-US" w:eastAsia="zh-CN"/>
                    </w:rPr>
                  </w:pPr>
                  <w:r>
                    <w:rPr>
                      <w:rFonts w:hint="eastAsia" w:cs="Times New Roman"/>
                      <w:color w:val="auto"/>
                      <w:sz w:val="21"/>
                      <w:szCs w:val="21"/>
                      <w:lang w:val="en-US" w:eastAsia="zh-CN"/>
                    </w:rPr>
                    <w:t>湖德环建（2021）103号</w:t>
                  </w:r>
                </w:p>
              </w:tc>
              <w:tc>
                <w:tcPr>
                  <w:tcW w:w="1103" w:type="dxa"/>
                  <w:vAlign w:val="center"/>
                </w:tcPr>
                <w:p>
                  <w:pPr>
                    <w:pStyle w:val="116"/>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2021年12月自主验收</w:t>
                  </w:r>
                </w:p>
              </w:tc>
              <w:tc>
                <w:tcPr>
                  <w:tcW w:w="1447" w:type="dxa"/>
                  <w:vAlign w:val="center"/>
                </w:tcPr>
                <w:p>
                  <w:pPr>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目前正常生产。待本项目实施后该项目不再实施</w:t>
                  </w:r>
                </w:p>
              </w:tc>
            </w:tr>
          </w:tbl>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FF0000"/>
                <w:szCs w:val="24"/>
              </w:rPr>
            </w:pPr>
          </w:p>
          <w:p>
            <w:pPr>
              <w:spacing w:line="360" w:lineRule="auto"/>
              <w:ind w:firstLine="480" w:firstLineChars="200"/>
              <w:rPr>
                <w:color w:val="auto"/>
                <w:szCs w:val="24"/>
              </w:rPr>
            </w:pPr>
            <w:r>
              <w:rPr>
                <w:color w:val="auto"/>
                <w:szCs w:val="24"/>
              </w:rPr>
              <w:t>本项目结合原有项目的环评文件、验收监测资料及</w:t>
            </w:r>
            <w:r>
              <w:rPr>
                <w:color w:val="auto"/>
              </w:rPr>
              <w:t>现场踏勘</w:t>
            </w:r>
            <w:r>
              <w:rPr>
                <w:color w:val="auto"/>
                <w:szCs w:val="24"/>
              </w:rPr>
              <w:t>，对原有项目污染情况、污染物防治措进行</w:t>
            </w:r>
            <w:r>
              <w:rPr>
                <w:rFonts w:hint="eastAsia"/>
                <w:color w:val="auto"/>
                <w:szCs w:val="24"/>
                <w:lang w:val="en-US" w:eastAsia="zh-CN"/>
              </w:rPr>
              <w:t>简要回顾说明</w:t>
            </w:r>
            <w:r>
              <w:rPr>
                <w:color w:val="auto"/>
                <w:szCs w:val="24"/>
              </w:rPr>
              <w:t>。</w:t>
            </w:r>
          </w:p>
          <w:p>
            <w:pPr>
              <w:pStyle w:val="8"/>
              <w:keepNext w:val="0"/>
              <w:keepLines w:val="0"/>
              <w:pageBreakBefore w:val="0"/>
              <w:widowControl w:val="0"/>
              <w:kinsoku/>
              <w:wordWrap/>
              <w:overflowPunct/>
              <w:topLinePunct w:val="0"/>
              <w:autoSpaceDE/>
              <w:autoSpaceDN/>
              <w:bidi w:val="0"/>
              <w:adjustRightInd w:val="0"/>
              <w:snapToGrid/>
              <w:spacing w:line="360" w:lineRule="auto"/>
              <w:ind w:firstLine="420"/>
              <w:textAlignment w:val="auto"/>
              <w:rPr>
                <w:color w:val="FF0000"/>
              </w:rPr>
            </w:pPr>
          </w:p>
          <w:p>
            <w:pPr>
              <w:spacing w:line="360" w:lineRule="auto"/>
              <w:jc w:val="left"/>
              <w:rPr>
                <w:b/>
                <w:color w:val="auto"/>
                <w:szCs w:val="24"/>
              </w:rPr>
            </w:pPr>
            <w:r>
              <w:rPr>
                <w:rFonts w:hint="eastAsia"/>
                <w:b/>
                <w:color w:val="auto"/>
                <w:szCs w:val="24"/>
              </w:rPr>
              <w:t>2.</w:t>
            </w:r>
            <w:r>
              <w:rPr>
                <w:rFonts w:hint="eastAsia"/>
                <w:b/>
                <w:color w:val="auto"/>
                <w:szCs w:val="24"/>
                <w:lang w:val="en-US" w:eastAsia="zh-CN"/>
              </w:rPr>
              <w:t>1</w:t>
            </w:r>
            <w:r>
              <w:rPr>
                <w:rFonts w:hint="eastAsia"/>
                <w:b/>
                <w:color w:val="auto"/>
                <w:szCs w:val="24"/>
              </w:rPr>
              <w:t>2.2排污许可证申领</w:t>
            </w:r>
            <w:r>
              <w:rPr>
                <w:rFonts w:hint="eastAsia"/>
                <w:b/>
                <w:color w:val="auto"/>
                <w:szCs w:val="24"/>
                <w:lang w:val="en-US" w:eastAsia="zh-CN"/>
              </w:rPr>
              <w:t>及执行</w:t>
            </w:r>
            <w:r>
              <w:rPr>
                <w:rFonts w:hint="eastAsia"/>
                <w:b/>
                <w:color w:val="auto"/>
                <w:szCs w:val="24"/>
              </w:rPr>
              <w:t>情况</w:t>
            </w:r>
          </w:p>
          <w:p>
            <w:pPr>
              <w:spacing w:line="360" w:lineRule="auto"/>
              <w:ind w:firstLine="480" w:firstLineChars="200"/>
              <w:rPr>
                <w:rFonts w:hint="eastAsia" w:cs="Times New Roman"/>
                <w:color w:val="FF0000"/>
                <w:szCs w:val="24"/>
                <w:lang w:val="en-US" w:eastAsia="zh-CN"/>
              </w:rPr>
            </w:pPr>
            <w:r>
              <w:rPr>
                <w:color w:val="auto"/>
                <w:szCs w:val="24"/>
              </w:rPr>
              <w:t>对照《固定污染源排污许可分类管理名录（2019版）》，</w:t>
            </w:r>
            <w:r>
              <w:rPr>
                <w:rFonts w:hint="eastAsia" w:cs="Times New Roman"/>
                <w:color w:val="auto"/>
                <w:szCs w:val="24"/>
                <w:lang w:eastAsia="zh-CN"/>
              </w:rPr>
              <w:t>浙江鑫桦钢管有限公司</w:t>
            </w:r>
            <w:r>
              <w:rPr>
                <w:rFonts w:hint="eastAsia" w:ascii="Times New Roman" w:hAnsi="Times New Roman" w:eastAsia="宋体" w:cs="Times New Roman"/>
                <w:color w:val="auto"/>
                <w:szCs w:val="24"/>
              </w:rPr>
              <w:t>属于</w:t>
            </w:r>
            <w:r>
              <w:rPr>
                <w:rFonts w:hint="eastAsia" w:eastAsia="宋体" w:cs="Times New Roman"/>
                <w:color w:val="auto"/>
                <w:szCs w:val="24"/>
                <w:lang w:val="en-US" w:eastAsia="zh-CN"/>
              </w:rPr>
              <w:t>登记</w:t>
            </w:r>
            <w:r>
              <w:rPr>
                <w:rFonts w:hint="eastAsia" w:ascii="Times New Roman" w:hAnsi="Times New Roman" w:eastAsia="宋体" w:cs="Times New Roman"/>
                <w:color w:val="auto"/>
                <w:szCs w:val="24"/>
              </w:rPr>
              <w:t>管理，公司于20</w:t>
            </w:r>
            <w:r>
              <w:rPr>
                <w:rFonts w:hint="eastAsia" w:eastAsia="宋体" w:cs="Times New Roman"/>
                <w:color w:val="auto"/>
                <w:szCs w:val="24"/>
                <w:lang w:val="en-US" w:eastAsia="zh-CN"/>
              </w:rPr>
              <w:t>20</w:t>
            </w:r>
            <w:r>
              <w:rPr>
                <w:rFonts w:hint="eastAsia" w:ascii="Times New Roman" w:hAnsi="Times New Roman" w:eastAsia="宋体" w:cs="Times New Roman"/>
                <w:color w:val="auto"/>
                <w:szCs w:val="24"/>
              </w:rPr>
              <w:t>年</w:t>
            </w:r>
            <w:r>
              <w:rPr>
                <w:rFonts w:hint="eastAsia" w:eastAsia="宋体" w:cs="Times New Roman"/>
                <w:color w:val="auto"/>
                <w:szCs w:val="24"/>
                <w:lang w:val="en-US" w:eastAsia="zh-CN"/>
              </w:rPr>
              <w:t>7</w:t>
            </w:r>
            <w:r>
              <w:rPr>
                <w:rFonts w:hint="eastAsia" w:ascii="Times New Roman" w:hAnsi="Times New Roman" w:eastAsia="宋体" w:cs="Times New Roman"/>
                <w:color w:val="auto"/>
                <w:szCs w:val="24"/>
              </w:rPr>
              <w:t>月</w:t>
            </w:r>
            <w:r>
              <w:rPr>
                <w:rFonts w:hint="eastAsia" w:ascii="Times New Roman" w:hAnsi="Times New Roman" w:eastAsia="宋体" w:cs="Times New Roman"/>
                <w:color w:val="auto"/>
                <w:szCs w:val="24"/>
                <w:lang w:val="en-US" w:eastAsia="zh-CN"/>
              </w:rPr>
              <w:t>2</w:t>
            </w:r>
            <w:r>
              <w:rPr>
                <w:rFonts w:hint="eastAsia" w:eastAsia="宋体" w:cs="Times New Roman"/>
                <w:color w:val="auto"/>
                <w:szCs w:val="24"/>
                <w:lang w:val="en-US" w:eastAsia="zh-CN"/>
              </w:rPr>
              <w:t>7</w:t>
            </w:r>
            <w:r>
              <w:rPr>
                <w:rFonts w:hint="eastAsia" w:ascii="Times New Roman" w:hAnsi="Times New Roman" w:eastAsia="宋体" w:cs="Times New Roman"/>
                <w:color w:val="auto"/>
                <w:szCs w:val="24"/>
              </w:rPr>
              <w:t>日</w:t>
            </w:r>
            <w:r>
              <w:rPr>
                <w:rFonts w:hint="eastAsia" w:ascii="Times New Roman" w:hAnsi="Times New Roman" w:eastAsia="宋体" w:cs="Times New Roman"/>
                <w:color w:val="auto"/>
                <w:szCs w:val="24"/>
                <w:lang w:val="en-US" w:eastAsia="zh-CN"/>
              </w:rPr>
              <w:t>首次</w:t>
            </w:r>
            <w:r>
              <w:rPr>
                <w:rFonts w:hint="eastAsia" w:eastAsia="宋体" w:cs="Times New Roman"/>
                <w:color w:val="auto"/>
                <w:szCs w:val="24"/>
                <w:lang w:val="en-US" w:eastAsia="zh-CN"/>
              </w:rPr>
              <w:t>登记</w:t>
            </w:r>
            <w:r>
              <w:rPr>
                <w:rFonts w:hint="eastAsia" w:ascii="Times New Roman" w:hAnsi="Times New Roman" w:eastAsia="宋体" w:cs="Times New Roman"/>
                <w:color w:val="auto"/>
                <w:szCs w:val="24"/>
              </w:rPr>
              <w:t>了排污许可，编号为：913305215586240905001Y</w:t>
            </w:r>
            <w:r>
              <w:rPr>
                <w:rFonts w:hint="eastAsia" w:ascii="Times New Roman" w:hAnsi="Times New Roman" w:eastAsia="宋体" w:cs="Times New Roman"/>
                <w:color w:val="auto"/>
                <w:szCs w:val="24"/>
                <w:lang w:val="en-US" w:eastAsia="zh-CN"/>
              </w:rPr>
              <w:t>。</w:t>
            </w:r>
            <w:r>
              <w:rPr>
                <w:rFonts w:hint="eastAsia" w:cs="Times New Roman"/>
                <w:color w:val="auto"/>
                <w:szCs w:val="24"/>
                <w:lang w:val="en-US" w:eastAsia="zh-CN"/>
              </w:rPr>
              <w:t>有效期至2025年7月26日。</w:t>
            </w:r>
          </w:p>
          <w:p>
            <w:pPr>
              <w:pStyle w:val="8"/>
              <w:keepNext w:val="0"/>
              <w:keepLines w:val="0"/>
              <w:pageBreakBefore w:val="0"/>
              <w:widowControl w:val="0"/>
              <w:kinsoku/>
              <w:wordWrap/>
              <w:overflowPunct/>
              <w:topLinePunct w:val="0"/>
              <w:autoSpaceDE/>
              <w:autoSpaceDN/>
              <w:bidi w:val="0"/>
              <w:adjustRightInd w:val="0"/>
              <w:snapToGrid/>
              <w:spacing w:line="360" w:lineRule="auto"/>
              <w:ind w:firstLine="420"/>
              <w:textAlignment w:val="auto"/>
              <w:rPr>
                <w:color w:val="auto"/>
              </w:rPr>
            </w:pPr>
          </w:p>
          <w:p>
            <w:pPr>
              <w:spacing w:line="360" w:lineRule="auto"/>
              <w:jc w:val="left"/>
              <w:rPr>
                <w:rFonts w:hint="default" w:eastAsia="宋体"/>
                <w:b/>
                <w:color w:val="auto"/>
                <w:szCs w:val="24"/>
                <w:lang w:val="en-US" w:eastAsia="zh-CN"/>
              </w:rPr>
            </w:pPr>
            <w:r>
              <w:rPr>
                <w:rFonts w:hint="eastAsia"/>
                <w:b/>
                <w:color w:val="auto"/>
                <w:szCs w:val="24"/>
              </w:rPr>
              <w:t>2.</w:t>
            </w:r>
            <w:r>
              <w:rPr>
                <w:rFonts w:hint="eastAsia"/>
                <w:b/>
                <w:color w:val="auto"/>
                <w:szCs w:val="24"/>
                <w:lang w:val="en-US" w:eastAsia="zh-CN"/>
              </w:rPr>
              <w:t>1</w:t>
            </w:r>
            <w:r>
              <w:rPr>
                <w:rFonts w:hint="eastAsia"/>
                <w:b/>
                <w:color w:val="auto"/>
                <w:szCs w:val="24"/>
              </w:rPr>
              <w:t>2</w:t>
            </w:r>
            <w:r>
              <w:rPr>
                <w:rFonts w:hint="eastAsia"/>
                <w:b/>
                <w:color w:val="auto"/>
                <w:szCs w:val="24"/>
                <w:lang w:val="en-US" w:eastAsia="zh-CN"/>
              </w:rPr>
              <w:t>.3原有项目产品及产能情况</w:t>
            </w:r>
          </w:p>
          <w:p>
            <w:pPr>
              <w:pStyle w:val="166"/>
              <w:rPr>
                <w:rFonts w:hint="eastAsia" w:eastAsia="宋体"/>
                <w:color w:val="auto"/>
                <w:sz w:val="24"/>
                <w:szCs w:val="24"/>
                <w:lang w:val="en-US" w:eastAsia="zh-CN"/>
              </w:rPr>
            </w:pPr>
            <w:r>
              <w:rPr>
                <w:rFonts w:hint="eastAsia" w:eastAsia="宋体"/>
                <w:color w:val="auto"/>
                <w:sz w:val="24"/>
                <w:szCs w:val="24"/>
                <w:lang w:val="en-US" w:eastAsia="zh-CN"/>
              </w:rPr>
              <w:t>表2-14  企业原有项目产品及产量一览表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503"/>
              <w:gridCol w:w="1503"/>
              <w:gridCol w:w="1504"/>
              <w:gridCol w:w="2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tblHeader/>
                <w:jc w:val="center"/>
              </w:trPr>
              <w:tc>
                <w:tcPr>
                  <w:tcW w:w="759" w:type="dxa"/>
                  <w:vAlign w:val="center"/>
                </w:tcPr>
                <w:p>
                  <w:pPr>
                    <w:pStyle w:val="116"/>
                    <w:rPr>
                      <w:rFonts w:hint="eastAsia" w:eastAsia="宋体"/>
                      <w:b/>
                      <w:color w:val="auto"/>
                      <w:sz w:val="21"/>
                      <w:szCs w:val="21"/>
                      <w:lang w:eastAsia="zh-CN"/>
                    </w:rPr>
                  </w:pPr>
                  <w:r>
                    <w:rPr>
                      <w:rFonts w:hint="eastAsia"/>
                      <w:b/>
                      <w:color w:val="auto"/>
                      <w:sz w:val="21"/>
                      <w:szCs w:val="21"/>
                      <w:lang w:val="en-US" w:eastAsia="zh-CN"/>
                    </w:rPr>
                    <w:t>序号</w:t>
                  </w:r>
                </w:p>
              </w:tc>
              <w:tc>
                <w:tcPr>
                  <w:tcW w:w="1503" w:type="dxa"/>
                  <w:vAlign w:val="center"/>
                </w:tcPr>
                <w:p>
                  <w:pPr>
                    <w:pStyle w:val="116"/>
                    <w:rPr>
                      <w:rFonts w:hint="default" w:eastAsia="宋体"/>
                      <w:b/>
                      <w:color w:val="auto"/>
                      <w:sz w:val="21"/>
                      <w:szCs w:val="21"/>
                      <w:lang w:val="en-US" w:eastAsia="zh-CN"/>
                    </w:rPr>
                  </w:pPr>
                  <w:r>
                    <w:rPr>
                      <w:rFonts w:hint="eastAsia"/>
                      <w:b/>
                      <w:color w:val="auto"/>
                      <w:sz w:val="21"/>
                      <w:szCs w:val="21"/>
                      <w:lang w:val="en-US" w:eastAsia="zh-CN"/>
                    </w:rPr>
                    <w:t>产品名称</w:t>
                  </w:r>
                </w:p>
              </w:tc>
              <w:tc>
                <w:tcPr>
                  <w:tcW w:w="1503" w:type="dxa"/>
                  <w:vAlign w:val="center"/>
                </w:tcPr>
                <w:p>
                  <w:pPr>
                    <w:pStyle w:val="116"/>
                    <w:rPr>
                      <w:rFonts w:hint="default" w:eastAsia="宋体"/>
                      <w:b/>
                      <w:color w:val="auto"/>
                      <w:sz w:val="21"/>
                      <w:szCs w:val="21"/>
                      <w:lang w:val="en-US" w:eastAsia="zh-CN"/>
                    </w:rPr>
                  </w:pPr>
                  <w:r>
                    <w:rPr>
                      <w:rFonts w:hint="eastAsia"/>
                      <w:b/>
                      <w:color w:val="auto"/>
                      <w:sz w:val="21"/>
                      <w:szCs w:val="21"/>
                      <w:lang w:val="en-US" w:eastAsia="zh-CN"/>
                    </w:rPr>
                    <w:t>审批产能</w:t>
                  </w:r>
                </w:p>
              </w:tc>
              <w:tc>
                <w:tcPr>
                  <w:tcW w:w="1504" w:type="dxa"/>
                  <w:vAlign w:val="center"/>
                </w:tcPr>
                <w:p>
                  <w:pPr>
                    <w:pStyle w:val="116"/>
                    <w:rPr>
                      <w:rFonts w:hint="default" w:eastAsia="宋体"/>
                      <w:b/>
                      <w:color w:val="auto"/>
                      <w:sz w:val="21"/>
                      <w:szCs w:val="21"/>
                      <w:lang w:val="en-US" w:eastAsia="zh-CN"/>
                    </w:rPr>
                  </w:pPr>
                  <w:r>
                    <w:rPr>
                      <w:rFonts w:hint="eastAsia"/>
                      <w:b/>
                      <w:color w:val="auto"/>
                      <w:sz w:val="21"/>
                      <w:szCs w:val="21"/>
                      <w:lang w:val="en-US" w:eastAsia="zh-CN"/>
                    </w:rPr>
                    <w:t>已验收产能</w:t>
                  </w:r>
                </w:p>
              </w:tc>
              <w:tc>
                <w:tcPr>
                  <w:tcW w:w="2102" w:type="dxa"/>
                  <w:vAlign w:val="center"/>
                </w:tcPr>
                <w:p>
                  <w:pPr>
                    <w:pStyle w:val="116"/>
                    <w:rPr>
                      <w:rFonts w:hint="default"/>
                      <w:b/>
                      <w:color w:val="auto"/>
                      <w:sz w:val="21"/>
                      <w:szCs w:val="21"/>
                      <w:lang w:val="en-US" w:eastAsia="zh-CN"/>
                    </w:rPr>
                  </w:pPr>
                  <w:r>
                    <w:rPr>
                      <w:rFonts w:hint="eastAsia"/>
                      <w:b/>
                      <w:color w:val="auto"/>
                      <w:sz w:val="21"/>
                      <w:szCs w:val="21"/>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tblHeader/>
                <w:jc w:val="center"/>
              </w:trPr>
              <w:tc>
                <w:tcPr>
                  <w:tcW w:w="759" w:type="dxa"/>
                  <w:vAlign w:val="center"/>
                </w:tcPr>
                <w:p>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503" w:type="dxa"/>
                  <w:vAlign w:val="center"/>
                </w:tcPr>
                <w:p>
                  <w:pPr>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螺旋埋弧焊管</w:t>
                  </w:r>
                </w:p>
              </w:tc>
              <w:tc>
                <w:tcPr>
                  <w:tcW w:w="1503" w:type="dxa"/>
                  <w:vAlign w:val="center"/>
                </w:tcPr>
                <w:p>
                  <w:pPr>
                    <w:pStyle w:val="116"/>
                    <w:rPr>
                      <w:rFonts w:hint="default" w:eastAsia="宋体"/>
                      <w:color w:val="auto"/>
                      <w:sz w:val="21"/>
                      <w:szCs w:val="21"/>
                      <w:lang w:val="en-US" w:eastAsia="zh-CN"/>
                    </w:rPr>
                  </w:pPr>
                  <w:r>
                    <w:rPr>
                      <w:rFonts w:hint="eastAsia" w:eastAsia="宋体" w:cs="Times New Roman"/>
                      <w:color w:val="auto"/>
                      <w:sz w:val="21"/>
                      <w:szCs w:val="21"/>
                      <w:lang w:val="en-US" w:eastAsia="zh-CN"/>
                    </w:rPr>
                    <w:t>5万吨</w:t>
                  </w:r>
                </w:p>
              </w:tc>
              <w:tc>
                <w:tcPr>
                  <w:tcW w:w="1504" w:type="dxa"/>
                  <w:vAlign w:val="center"/>
                </w:tcPr>
                <w:p>
                  <w:pPr>
                    <w:pStyle w:val="116"/>
                    <w:rPr>
                      <w:rFonts w:hint="default"/>
                      <w:color w:val="auto"/>
                      <w:sz w:val="21"/>
                      <w:szCs w:val="21"/>
                      <w:lang w:val="en-US"/>
                    </w:rPr>
                  </w:pPr>
                  <w:r>
                    <w:rPr>
                      <w:rFonts w:hint="eastAsia" w:eastAsia="宋体" w:cs="Times New Roman"/>
                      <w:color w:val="auto"/>
                      <w:sz w:val="21"/>
                      <w:szCs w:val="21"/>
                      <w:lang w:val="en-US" w:eastAsia="zh-CN"/>
                    </w:rPr>
                    <w:t>5万吨</w:t>
                  </w:r>
                </w:p>
              </w:tc>
              <w:tc>
                <w:tcPr>
                  <w:tcW w:w="2102" w:type="dxa"/>
                  <w:vAlign w:val="center"/>
                </w:tcPr>
                <w:p>
                  <w:pPr>
                    <w:pStyle w:val="116"/>
                    <w:rPr>
                      <w:rFonts w:hint="default" w:cs="Times New Roman"/>
                      <w:color w:val="auto"/>
                      <w:sz w:val="21"/>
                      <w:szCs w:val="21"/>
                      <w:lang w:val="en-US" w:eastAsia="zh-CN"/>
                    </w:rPr>
                  </w:pPr>
                  <w:r>
                    <w:rPr>
                      <w:rFonts w:hint="eastAsia"/>
                      <w:color w:val="auto"/>
                      <w:sz w:val="21"/>
                      <w:szCs w:val="21"/>
                      <w:lang w:val="en-US" w:eastAsia="zh-CN"/>
                    </w:rPr>
                    <w:t>其中防腐涂装产能为3.57万吨</w:t>
                  </w:r>
                </w:p>
              </w:tc>
            </w:tr>
          </w:tbl>
          <w:p>
            <w:pPr>
              <w:pStyle w:val="14"/>
              <w:keepNext w:val="0"/>
              <w:keepLines w:val="0"/>
              <w:pageBreakBefore w:val="0"/>
              <w:widowControl/>
              <w:kinsoku/>
              <w:wordWrap/>
              <w:overflowPunct/>
              <w:topLinePunct w:val="0"/>
              <w:autoSpaceDE/>
              <w:autoSpaceDN/>
              <w:bidi w:val="0"/>
              <w:adjustRightInd/>
              <w:snapToGrid w:val="0"/>
              <w:spacing w:line="240" w:lineRule="auto"/>
              <w:ind w:right="113"/>
              <w:textAlignment w:val="auto"/>
              <w:rPr>
                <w:color w:val="FF0000"/>
              </w:rPr>
            </w:pPr>
          </w:p>
          <w:p>
            <w:pPr>
              <w:rPr>
                <w:color w:val="FF0000"/>
              </w:rPr>
            </w:pPr>
          </w:p>
          <w:p>
            <w:pPr>
              <w:pStyle w:val="40"/>
              <w:rPr>
                <w:color w:val="FF0000"/>
              </w:rPr>
            </w:pPr>
          </w:p>
          <w:p>
            <w:pPr>
              <w:spacing w:line="360" w:lineRule="auto"/>
              <w:jc w:val="left"/>
              <w:rPr>
                <w:rFonts w:hint="eastAsia"/>
                <w:b/>
                <w:color w:val="auto"/>
                <w:szCs w:val="24"/>
              </w:rPr>
            </w:pPr>
            <w:r>
              <w:rPr>
                <w:rFonts w:hint="eastAsia"/>
                <w:b/>
                <w:color w:val="auto"/>
                <w:szCs w:val="24"/>
              </w:rPr>
              <w:t>2.</w:t>
            </w:r>
            <w:r>
              <w:rPr>
                <w:rFonts w:hint="eastAsia"/>
                <w:b/>
                <w:color w:val="auto"/>
                <w:szCs w:val="24"/>
                <w:lang w:val="en-US" w:eastAsia="zh-CN"/>
              </w:rPr>
              <w:t>1</w:t>
            </w:r>
            <w:r>
              <w:rPr>
                <w:rFonts w:hint="eastAsia"/>
                <w:b/>
                <w:color w:val="auto"/>
                <w:szCs w:val="24"/>
              </w:rPr>
              <w:t>2.</w:t>
            </w:r>
            <w:r>
              <w:rPr>
                <w:rFonts w:hint="eastAsia"/>
                <w:b/>
                <w:color w:val="auto"/>
                <w:szCs w:val="24"/>
                <w:lang w:val="en-US" w:eastAsia="zh-CN"/>
              </w:rPr>
              <w:t>4</w:t>
            </w:r>
            <w:r>
              <w:rPr>
                <w:rFonts w:hint="eastAsia"/>
                <w:b/>
                <w:color w:val="auto"/>
                <w:szCs w:val="24"/>
              </w:rPr>
              <w:t>原有项目生产工艺</w:t>
            </w:r>
          </w:p>
          <w:p>
            <w:pPr>
              <w:spacing w:line="360" w:lineRule="auto"/>
              <w:jc w:val="left"/>
              <w:rPr>
                <w:rFonts w:hint="eastAsia" w:ascii="Times New Roman" w:hAnsi="Times New Roman" w:cs="Times New Roman"/>
                <w:b/>
                <w:color w:val="FF0000"/>
                <w:szCs w:val="24"/>
                <w:lang w:val="en-US" w:eastAsia="zh-CN"/>
              </w:rPr>
            </w:pPr>
            <w:r>
              <w:rPr>
                <w:rFonts w:hint="eastAsia" w:ascii="Times New Roman" w:hAnsi="Times New Roman" w:cs="Times New Roman"/>
                <w:b/>
                <w:color w:val="FF0000"/>
                <w:szCs w:val="24"/>
                <w:lang w:val="en-US" w:eastAsia="zh-CN"/>
              </w:rPr>
              <w:drawing>
                <wp:inline distT="0" distB="0" distL="114300" distR="114300">
                  <wp:extent cx="4720590" cy="4287520"/>
                  <wp:effectExtent l="0" t="0" r="3810" b="5080"/>
                  <wp:docPr id="1" name="图片 1" descr="171629911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6299119668"/>
                          <pic:cNvPicPr>
                            <a:picLocks noChangeAspect="1"/>
                          </pic:cNvPicPr>
                        </pic:nvPicPr>
                        <pic:blipFill>
                          <a:blip r:embed="rId12"/>
                          <a:stretch>
                            <a:fillRect/>
                          </a:stretch>
                        </pic:blipFill>
                        <pic:spPr>
                          <a:xfrm>
                            <a:off x="0" y="0"/>
                            <a:ext cx="4720590" cy="4287520"/>
                          </a:xfrm>
                          <a:prstGeom prst="rect">
                            <a:avLst/>
                          </a:prstGeom>
                        </pic:spPr>
                      </pic:pic>
                    </a:graphicData>
                  </a:graphic>
                </wp:inline>
              </w:drawing>
            </w:r>
          </w:p>
          <w:p>
            <w:pPr>
              <w:spacing w:line="360" w:lineRule="auto"/>
              <w:jc w:val="center"/>
              <w:rPr>
                <w:rFonts w:hint="eastAsia" w:ascii="Times New Roman" w:hAnsi="Times New Roman" w:cs="Times New Roman"/>
                <w:b/>
                <w:color w:val="auto"/>
                <w:szCs w:val="24"/>
                <w:lang w:val="en-US" w:eastAsia="zh-CN"/>
              </w:rPr>
            </w:pPr>
            <w:r>
              <w:rPr>
                <w:rFonts w:hint="default" w:ascii="Times New Roman" w:hAnsi="Times New Roman" w:eastAsia="宋体" w:cs="Times New Roman"/>
                <w:b/>
                <w:bCs/>
                <w:color w:val="auto"/>
                <w:szCs w:val="24"/>
                <w:u w:val="single"/>
              </w:rPr>
              <w:t>图</w:t>
            </w:r>
            <w:r>
              <w:rPr>
                <w:rFonts w:hint="eastAsia" w:ascii="Times New Roman" w:hAnsi="Times New Roman" w:eastAsia="宋体" w:cs="Times New Roman"/>
                <w:b/>
                <w:bCs/>
                <w:color w:val="auto"/>
                <w:szCs w:val="24"/>
                <w:u w:val="single"/>
                <w:lang w:val="en-US" w:eastAsia="zh-CN"/>
              </w:rPr>
              <w:t>2</w:t>
            </w:r>
            <w:r>
              <w:rPr>
                <w:rFonts w:hint="default" w:ascii="Times New Roman" w:hAnsi="Times New Roman" w:eastAsia="宋体" w:cs="Times New Roman"/>
                <w:b/>
                <w:bCs/>
                <w:color w:val="auto"/>
                <w:szCs w:val="24"/>
                <w:u w:val="single"/>
              </w:rPr>
              <w:t>-</w:t>
            </w:r>
            <w:r>
              <w:rPr>
                <w:rFonts w:hint="eastAsia" w:ascii="Times New Roman" w:hAnsi="Times New Roman" w:eastAsia="宋体" w:cs="Times New Roman"/>
                <w:b/>
                <w:bCs/>
                <w:color w:val="auto"/>
                <w:szCs w:val="24"/>
                <w:u w:val="single"/>
                <w:lang w:val="en-US" w:eastAsia="zh-CN"/>
              </w:rPr>
              <w:t>5</w:t>
            </w:r>
            <w:r>
              <w:rPr>
                <w:rFonts w:hint="default" w:ascii="Times New Roman" w:hAnsi="Times New Roman" w:eastAsia="宋体" w:cs="Times New Roman"/>
                <w:b/>
                <w:bCs/>
                <w:color w:val="auto"/>
                <w:szCs w:val="24"/>
                <w:u w:val="single"/>
              </w:rPr>
              <w:t xml:space="preserve">  </w:t>
            </w:r>
            <w:r>
              <w:rPr>
                <w:rFonts w:hint="eastAsia" w:cs="Times New Roman"/>
                <w:b/>
                <w:bCs/>
                <w:color w:val="auto"/>
                <w:szCs w:val="24"/>
                <w:u w:val="single"/>
                <w:lang w:val="en-US" w:eastAsia="zh-CN"/>
              </w:rPr>
              <w:t>螺旋埋弧焊管</w:t>
            </w:r>
            <w:r>
              <w:rPr>
                <w:rFonts w:hint="default" w:ascii="Times New Roman" w:hAnsi="Times New Roman" w:eastAsia="宋体" w:cs="Times New Roman"/>
                <w:b/>
                <w:bCs/>
                <w:color w:val="auto"/>
                <w:szCs w:val="24"/>
                <w:u w:val="single"/>
              </w:rPr>
              <w:t>生产工艺流程</w:t>
            </w:r>
            <w:r>
              <w:rPr>
                <w:rFonts w:hint="eastAsia" w:ascii="Times New Roman" w:hAnsi="Times New Roman" w:eastAsia="宋体" w:cs="Times New Roman"/>
                <w:b/>
                <w:bCs/>
                <w:color w:val="auto"/>
                <w:szCs w:val="24"/>
                <w:u w:val="single"/>
              </w:rPr>
              <w:t>及产污环节</w:t>
            </w:r>
            <w:r>
              <w:rPr>
                <w:rFonts w:hint="default" w:ascii="Times New Roman" w:hAnsi="Times New Roman" w:eastAsia="宋体" w:cs="Times New Roman"/>
                <w:b/>
                <w:bCs/>
                <w:color w:val="auto"/>
                <w:szCs w:val="24"/>
                <w:u w:val="single"/>
              </w:rPr>
              <w:t>示意图</w:t>
            </w:r>
          </w:p>
          <w:p>
            <w:pPr>
              <w:spacing w:line="360" w:lineRule="auto"/>
              <w:jc w:val="center"/>
              <w:rPr>
                <w:rFonts w:hint="eastAsia" w:ascii="Times New Roman" w:hAnsi="Times New Roman" w:cs="Times New Roman"/>
                <w:b/>
                <w:color w:val="FF0000"/>
                <w:szCs w:val="24"/>
                <w:lang w:val="en-US" w:eastAsia="zh-CN"/>
              </w:rPr>
            </w:pPr>
            <w:r>
              <w:rPr>
                <w:rFonts w:hint="eastAsia" w:ascii="Times New Roman" w:hAnsi="Times New Roman" w:cs="Times New Roman"/>
                <w:b/>
                <w:color w:val="FF0000"/>
                <w:szCs w:val="24"/>
                <w:lang w:val="en-US" w:eastAsia="zh-CN"/>
              </w:rPr>
              <w:drawing>
                <wp:inline distT="0" distB="0" distL="114300" distR="114300">
                  <wp:extent cx="3815080" cy="3535045"/>
                  <wp:effectExtent l="0" t="0" r="7620" b="8255"/>
                  <wp:docPr id="18" name="图片 18" descr="1716299497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16299497864"/>
                          <pic:cNvPicPr>
                            <a:picLocks noChangeAspect="1"/>
                          </pic:cNvPicPr>
                        </pic:nvPicPr>
                        <pic:blipFill>
                          <a:blip r:embed="rId13"/>
                          <a:stretch>
                            <a:fillRect/>
                          </a:stretch>
                        </pic:blipFill>
                        <pic:spPr>
                          <a:xfrm>
                            <a:off x="0" y="0"/>
                            <a:ext cx="3815080" cy="3535045"/>
                          </a:xfrm>
                          <a:prstGeom prst="rect">
                            <a:avLst/>
                          </a:prstGeom>
                        </pic:spPr>
                      </pic:pic>
                    </a:graphicData>
                  </a:graphic>
                </wp:inline>
              </w:drawing>
            </w:r>
          </w:p>
          <w:p>
            <w:pPr>
              <w:spacing w:line="360" w:lineRule="auto"/>
              <w:jc w:val="center"/>
              <w:rPr>
                <w:rFonts w:hint="eastAsia" w:ascii="Times New Roman" w:hAnsi="Times New Roman" w:cs="Times New Roman"/>
                <w:b/>
                <w:color w:val="auto"/>
                <w:szCs w:val="24"/>
                <w:lang w:val="en-US" w:eastAsia="zh-CN"/>
              </w:rPr>
            </w:pPr>
            <w:r>
              <w:rPr>
                <w:rFonts w:hint="default" w:ascii="Times New Roman" w:hAnsi="Times New Roman" w:eastAsia="宋体" w:cs="Times New Roman"/>
                <w:b/>
                <w:bCs/>
                <w:color w:val="auto"/>
                <w:szCs w:val="24"/>
                <w:u w:val="single"/>
              </w:rPr>
              <w:t>图</w:t>
            </w:r>
            <w:r>
              <w:rPr>
                <w:rFonts w:hint="eastAsia" w:ascii="Times New Roman" w:hAnsi="Times New Roman" w:eastAsia="宋体" w:cs="Times New Roman"/>
                <w:b/>
                <w:bCs/>
                <w:color w:val="auto"/>
                <w:szCs w:val="24"/>
                <w:u w:val="single"/>
                <w:lang w:val="en-US" w:eastAsia="zh-CN"/>
              </w:rPr>
              <w:t>2</w:t>
            </w:r>
            <w:r>
              <w:rPr>
                <w:rFonts w:hint="default" w:ascii="Times New Roman" w:hAnsi="Times New Roman" w:eastAsia="宋体" w:cs="Times New Roman"/>
                <w:b/>
                <w:bCs/>
                <w:color w:val="auto"/>
                <w:szCs w:val="24"/>
                <w:u w:val="single"/>
              </w:rPr>
              <w:t>-</w:t>
            </w:r>
            <w:r>
              <w:rPr>
                <w:rFonts w:hint="eastAsia" w:cs="Times New Roman"/>
                <w:b/>
                <w:bCs/>
                <w:color w:val="auto"/>
                <w:szCs w:val="24"/>
                <w:u w:val="single"/>
                <w:lang w:val="en-US" w:eastAsia="zh-CN"/>
              </w:rPr>
              <w:t>6</w:t>
            </w:r>
            <w:r>
              <w:rPr>
                <w:rFonts w:hint="default" w:ascii="Times New Roman" w:hAnsi="Times New Roman" w:eastAsia="宋体" w:cs="Times New Roman"/>
                <w:b/>
                <w:bCs/>
                <w:color w:val="auto"/>
                <w:szCs w:val="24"/>
                <w:u w:val="single"/>
              </w:rPr>
              <w:t xml:space="preserve">  </w:t>
            </w:r>
            <w:r>
              <w:rPr>
                <w:rFonts w:hint="eastAsia" w:cs="Times New Roman"/>
                <w:b/>
                <w:bCs/>
                <w:color w:val="auto"/>
                <w:szCs w:val="24"/>
                <w:u w:val="single"/>
                <w:lang w:val="en-US" w:eastAsia="zh-CN"/>
              </w:rPr>
              <w:t>涂装</w:t>
            </w:r>
            <w:r>
              <w:rPr>
                <w:rFonts w:hint="default" w:ascii="Times New Roman" w:hAnsi="Times New Roman" w:eastAsia="宋体" w:cs="Times New Roman"/>
                <w:b/>
                <w:bCs/>
                <w:color w:val="auto"/>
                <w:szCs w:val="24"/>
                <w:u w:val="single"/>
              </w:rPr>
              <w:t>生产工艺流程</w:t>
            </w:r>
            <w:r>
              <w:rPr>
                <w:rFonts w:hint="eastAsia" w:ascii="Times New Roman" w:hAnsi="Times New Roman" w:eastAsia="宋体" w:cs="Times New Roman"/>
                <w:b/>
                <w:bCs/>
                <w:color w:val="auto"/>
                <w:szCs w:val="24"/>
                <w:u w:val="single"/>
              </w:rPr>
              <w:t>及产污环节</w:t>
            </w:r>
            <w:r>
              <w:rPr>
                <w:rFonts w:hint="default" w:ascii="Times New Roman" w:hAnsi="Times New Roman" w:eastAsia="宋体" w:cs="Times New Roman"/>
                <w:b/>
                <w:bCs/>
                <w:color w:val="auto"/>
                <w:szCs w:val="24"/>
                <w:u w:val="single"/>
              </w:rPr>
              <w:t>示意图</w:t>
            </w:r>
          </w:p>
          <w:p>
            <w:pPr>
              <w:snapToGrid w:val="0"/>
              <w:spacing w:line="360" w:lineRule="auto"/>
              <w:ind w:firstLine="482"/>
              <w:jc w:val="left"/>
              <w:rPr>
                <w:rFonts w:hint="eastAsia"/>
                <w:sz w:val="24"/>
              </w:rPr>
            </w:pPr>
            <w:r>
              <w:rPr>
                <w:rFonts w:hint="eastAsia"/>
                <w:sz w:val="24"/>
                <w:lang w:val="en-US" w:eastAsia="zh-CN"/>
              </w:rPr>
              <w:t>原有</w:t>
            </w:r>
            <w:r>
              <w:rPr>
                <w:rFonts w:hint="eastAsia"/>
                <w:sz w:val="24"/>
              </w:rPr>
              <w:t>项目以宽685mm-1500mm、壁厚为5mm-20mm的钢带作为原料，首先利用拆卷机对钢带进行开卷，然后通过剪板接板一体机进行剪接以使钢带能够满足下步生产要求。再用超声波探伤仪探测钢板分层缺陷，再进行铣边将钢带边加工成一定角度坡口，经预弯曲后即可辊压成型，然后通过埋弧焊工艺进行焊接，进行X射线检查合格后利用龙门定型机组合横向剪切头尾，然后再进行超声波探伤，接下去进行单边倒角加工（平头），最后经检查补焊后进行水压试验、再经探伤检查、标记后即可成品。</w:t>
            </w:r>
          </w:p>
          <w:p>
            <w:pPr>
              <w:pStyle w:val="40"/>
              <w:numPr>
                <w:ilvl w:val="0"/>
                <w:numId w:val="1"/>
              </w:numPr>
              <w:spacing w:line="36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开卷：利用拆卷机对钢带进行开卷，其作用是对钢带进行校平；</w:t>
            </w:r>
          </w:p>
          <w:p>
            <w:pPr>
              <w:pStyle w:val="40"/>
              <w:numPr>
                <w:ilvl w:val="0"/>
                <w:numId w:val="1"/>
              </w:numPr>
              <w:spacing w:line="36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剪接：通过剪板接板一体机进行剪接以使钢带能够满足下步生产要求，其中剪板采用气割工艺，接板采用埋弧焊接。</w:t>
            </w:r>
          </w:p>
          <w:p>
            <w:pPr>
              <w:pStyle w:val="40"/>
              <w:numPr>
                <w:ilvl w:val="0"/>
                <w:numId w:val="1"/>
              </w:numPr>
              <w:spacing w:line="36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铣边：通过铣边组合设备将钢带边加工成一定角度坡口，以保证接下去良好的均匀焊缝。</w:t>
            </w:r>
          </w:p>
          <w:p>
            <w:pPr>
              <w:pStyle w:val="40"/>
              <w:numPr>
                <w:ilvl w:val="0"/>
                <w:numId w:val="1"/>
              </w:numPr>
              <w:spacing w:line="36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内焊、外焊：通过埋弧焊机进行焊接。</w:t>
            </w:r>
          </w:p>
          <w:p>
            <w:pPr>
              <w:pStyle w:val="40"/>
              <w:numPr>
                <w:ilvl w:val="0"/>
                <w:numId w:val="1"/>
              </w:numPr>
              <w:spacing w:line="36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补焊：在水压试验前需进行手动补焊，焊过程使用二氧化碳保护焊。</w:t>
            </w:r>
          </w:p>
          <w:p>
            <w:pPr>
              <w:pStyle w:val="40"/>
              <w:numPr>
                <w:ilvl w:val="0"/>
                <w:numId w:val="1"/>
              </w:numPr>
              <w:spacing w:line="36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水压试验：利用大型水压机完成水压试验，水压试验在一个18m×3m×1.5m的水池中进行，该水循环使用，不外排，只定期添加损耗即可。</w:t>
            </w:r>
          </w:p>
          <w:p>
            <w:pPr>
              <w:pStyle w:val="40"/>
              <w:numPr>
                <w:ilvl w:val="0"/>
                <w:numId w:val="1"/>
              </w:numPr>
              <w:spacing w:line="360" w:lineRule="auto"/>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埋弧焊简介：埋弧焊也是利用电弧作为热源的</w:t>
            </w:r>
            <w:r>
              <w:rPr>
                <w:rFonts w:hint="eastAsia" w:ascii="Times New Roman" w:hAnsi="Times New Roman" w:cs="Times New Roman"/>
                <w:color w:val="auto"/>
                <w:lang w:val="en-US" w:eastAsia="zh-CN"/>
              </w:rPr>
              <w:fldChar w:fldCharType="begin"/>
            </w:r>
            <w:r>
              <w:rPr>
                <w:rFonts w:hint="eastAsia" w:ascii="Times New Roman" w:hAnsi="Times New Roman" w:cs="Times New Roman"/>
                <w:color w:val="auto"/>
                <w:lang w:val="en-US" w:eastAsia="zh-CN"/>
              </w:rPr>
              <w:instrText xml:space="preserve"> HYPERLINK "http://baike.so.com/doc/2654911.html" \t "_blank" </w:instrText>
            </w:r>
            <w:r>
              <w:rPr>
                <w:rFonts w:hint="eastAsia" w:ascii="Times New Roman" w:hAnsi="Times New Roman" w:cs="Times New Roman"/>
                <w:color w:val="auto"/>
                <w:lang w:val="en-US" w:eastAsia="zh-CN"/>
              </w:rPr>
              <w:fldChar w:fldCharType="separate"/>
            </w:r>
            <w:r>
              <w:rPr>
                <w:rFonts w:hint="eastAsia" w:ascii="Times New Roman" w:hAnsi="Times New Roman" w:cs="Times New Roman"/>
                <w:color w:val="auto"/>
                <w:lang w:val="en-US" w:eastAsia="zh-CN"/>
              </w:rPr>
              <w:t>焊接</w:t>
            </w:r>
            <w:r>
              <w:rPr>
                <w:rFonts w:hint="eastAsia" w:ascii="Times New Roman" w:hAnsi="Times New Roman" w:cs="Times New Roman"/>
                <w:color w:val="auto"/>
                <w:lang w:val="en-US" w:eastAsia="zh-CN"/>
              </w:rPr>
              <w:fldChar w:fldCharType="end"/>
            </w:r>
            <w:r>
              <w:rPr>
                <w:rFonts w:hint="eastAsia" w:ascii="Times New Roman" w:hAnsi="Times New Roman" w:cs="Times New Roman"/>
                <w:color w:val="auto"/>
                <w:lang w:val="en-US" w:eastAsia="zh-CN"/>
              </w:rPr>
              <w:t>方法，是当今生产效率较高的机械化焊接方法之一。埋弧焊时电弧是在一层颗粒状的可熔化焊剂覆盖下燃烧，电弧光不外露。埋弧焊焊接质量稳定、焊接生产率高、无弧光及烟尘很少等优点，使其成为压力容器、管段制造、箱型梁柱等重要钢结构制作中的主要</w:t>
            </w:r>
            <w:r>
              <w:rPr>
                <w:rFonts w:hint="eastAsia" w:ascii="Times New Roman" w:hAnsi="Times New Roman" w:cs="Times New Roman"/>
                <w:color w:val="auto"/>
                <w:lang w:val="en-US" w:eastAsia="zh-CN"/>
              </w:rPr>
              <w:fldChar w:fldCharType="begin"/>
            </w:r>
            <w:r>
              <w:rPr>
                <w:rFonts w:hint="eastAsia" w:ascii="Times New Roman" w:hAnsi="Times New Roman" w:cs="Times New Roman"/>
                <w:color w:val="auto"/>
                <w:lang w:val="en-US" w:eastAsia="zh-CN"/>
              </w:rPr>
              <w:instrText xml:space="preserve"> HYPERLINK "http://baike.so.com/doc/5578634.html" \t "_blank" </w:instrText>
            </w:r>
            <w:r>
              <w:rPr>
                <w:rFonts w:hint="eastAsia" w:ascii="Times New Roman" w:hAnsi="Times New Roman" w:cs="Times New Roman"/>
                <w:color w:val="auto"/>
                <w:lang w:val="en-US" w:eastAsia="zh-CN"/>
              </w:rPr>
              <w:fldChar w:fldCharType="separate"/>
            </w:r>
            <w:r>
              <w:rPr>
                <w:rFonts w:hint="eastAsia" w:ascii="Times New Roman" w:hAnsi="Times New Roman" w:cs="Times New Roman"/>
                <w:color w:val="auto"/>
                <w:lang w:val="en-US" w:eastAsia="zh-CN"/>
              </w:rPr>
              <w:t>焊接方法</w:t>
            </w:r>
            <w:r>
              <w:rPr>
                <w:rFonts w:hint="eastAsia" w:ascii="Times New Roman" w:hAnsi="Times New Roman" w:cs="Times New Roman"/>
                <w:color w:val="auto"/>
                <w:lang w:val="en-US" w:eastAsia="zh-CN"/>
              </w:rPr>
              <w:fldChar w:fldCharType="end"/>
            </w:r>
            <w:r>
              <w:rPr>
                <w:rFonts w:hint="eastAsia" w:ascii="Times New Roman" w:hAnsi="Times New Roman" w:cs="Times New Roman"/>
                <w:color w:val="auto"/>
                <w:lang w:val="en-US" w:eastAsia="zh-CN"/>
              </w:rPr>
              <w:t>。焊剂循环使用，不排放。</w:t>
            </w:r>
          </w:p>
          <w:p>
            <w:pPr>
              <w:spacing w:line="360" w:lineRule="auto"/>
              <w:ind w:firstLine="480" w:firstLineChars="200"/>
              <w:rPr>
                <w:rFonts w:hint="default" w:ascii="Times New Roman" w:hAnsi="Times New Roman" w:cs="Times New Roman"/>
                <w:color w:val="auto"/>
                <w:szCs w:val="24"/>
                <w:lang w:val="en-US" w:eastAsia="zh-CN"/>
              </w:rPr>
            </w:pPr>
            <w:r>
              <w:rPr>
                <w:rFonts w:hint="eastAsia" w:cs="Times New Roman"/>
                <w:color w:val="auto"/>
                <w:szCs w:val="24"/>
                <w:lang w:val="en-US" w:eastAsia="zh-CN"/>
              </w:rPr>
              <w:t>原有项目部分钢管需进行表面防腐处理，防腐表面处理前需对钢管表面进行抛丸加工，抛丸后</w:t>
            </w:r>
            <w:r>
              <w:rPr>
                <w:rFonts w:hint="eastAsia"/>
                <w:color w:val="auto"/>
                <w:szCs w:val="24"/>
                <w:lang w:val="en-US" w:eastAsia="zh-CN"/>
              </w:rPr>
              <w:t>根据客户需要选择油漆或喷塑，完成后即可成品。</w:t>
            </w:r>
          </w:p>
          <w:p>
            <w:pPr>
              <w:pStyle w:val="40"/>
              <w:numPr>
                <w:ilvl w:val="0"/>
                <w:numId w:val="1"/>
              </w:numPr>
              <w:spacing w:line="360" w:lineRule="auto"/>
              <w:rPr>
                <w:rFonts w:hint="default" w:ascii="Times New Roman" w:hAnsi="Times New Roman" w:cs="Times New Roman"/>
                <w:color w:val="auto"/>
                <w:szCs w:val="24"/>
                <w:lang w:val="en-US" w:eastAsia="zh-CN"/>
              </w:rPr>
            </w:pPr>
            <w:r>
              <w:rPr>
                <w:rFonts w:hint="eastAsia" w:ascii="Times New Roman" w:hAnsi="Times New Roman" w:cs="Times New Roman"/>
                <w:color w:val="auto"/>
                <w:lang w:val="en-US" w:eastAsia="zh-CN"/>
              </w:rPr>
              <w:t>抛丸</w:t>
            </w:r>
            <w:r>
              <w:rPr>
                <w:rFonts w:hint="default" w:ascii="Times New Roman" w:hAnsi="Times New Roman" w:cs="Times New Roman"/>
                <w:color w:val="auto"/>
              </w:rPr>
              <w:t>：</w:t>
            </w:r>
            <w:r>
              <w:rPr>
                <w:rFonts w:hint="default" w:ascii="Times New Roman" w:hAnsi="Times New Roman" w:eastAsia="宋体" w:cs="Times New Roman"/>
                <w:color w:val="auto"/>
              </w:rPr>
              <w:t>钢管经传动线进入抛丸机内，抛丸</w:t>
            </w:r>
            <w:r>
              <w:rPr>
                <w:rFonts w:hint="eastAsia" w:ascii="Times New Roman" w:hAnsi="Times New Roman" w:cs="Times New Roman"/>
                <w:color w:val="auto"/>
                <w:lang w:val="en-US" w:eastAsia="zh-CN"/>
              </w:rPr>
              <w:t>机</w:t>
            </w:r>
            <w:r>
              <w:rPr>
                <w:rFonts w:hint="default" w:ascii="Times New Roman" w:hAnsi="Times New Roman" w:eastAsia="宋体" w:cs="Times New Roman"/>
                <w:color w:val="auto"/>
              </w:rPr>
              <w:t>将钢丸抛出打击钢管表面进行</w:t>
            </w:r>
            <w:r>
              <w:rPr>
                <w:rFonts w:hint="eastAsia" w:ascii="Times New Roman" w:hAnsi="Times New Roman" w:cs="Times New Roman"/>
                <w:color w:val="auto"/>
                <w:lang w:val="en-US" w:eastAsia="zh-CN"/>
              </w:rPr>
              <w:t>抛丸</w:t>
            </w:r>
            <w:r>
              <w:rPr>
                <w:rFonts w:hint="default" w:ascii="Times New Roman" w:hAnsi="Times New Roman" w:eastAsia="宋体" w:cs="Times New Roman"/>
                <w:color w:val="auto"/>
              </w:rPr>
              <w:t>除锈</w:t>
            </w:r>
            <w:r>
              <w:rPr>
                <w:rFonts w:hint="default" w:ascii="Times New Roman" w:hAnsi="Times New Roman" w:cs="Times New Roman"/>
                <w:color w:val="auto"/>
                <w:szCs w:val="24"/>
                <w:lang w:val="en-US" w:eastAsia="zh-CN"/>
              </w:rPr>
              <w:t>。</w:t>
            </w:r>
          </w:p>
          <w:p>
            <w:pPr>
              <w:pStyle w:val="40"/>
              <w:numPr>
                <w:ilvl w:val="0"/>
                <w:numId w:val="1"/>
              </w:numPr>
              <w:spacing w:line="360" w:lineRule="auto"/>
              <w:rPr>
                <w:rFonts w:hint="default" w:ascii="Times New Roman" w:hAnsi="Times New Roman" w:eastAsia="宋体" w:cs="Times New Roman"/>
                <w:color w:val="auto"/>
              </w:rPr>
            </w:pPr>
            <w:r>
              <w:rPr>
                <w:rFonts w:hint="eastAsia" w:ascii="Times New Roman" w:hAnsi="Times New Roman" w:cs="Times New Roman"/>
                <w:color w:val="auto"/>
                <w:szCs w:val="24"/>
                <w:lang w:val="en-US" w:eastAsia="zh-CN"/>
              </w:rPr>
              <w:t>油漆</w:t>
            </w:r>
            <w:r>
              <w:rPr>
                <w:rFonts w:hint="default" w:ascii="Times New Roman" w:hAnsi="Times New Roman" w:cs="Times New Roman"/>
                <w:color w:val="auto"/>
                <w:szCs w:val="24"/>
                <w:lang w:val="en-US" w:eastAsia="zh-CN"/>
              </w:rPr>
              <w:t>：</w:t>
            </w:r>
            <w:r>
              <w:rPr>
                <w:rFonts w:hint="eastAsia" w:ascii="Times New Roman" w:hAnsi="Times New Roman" w:cs="Times New Roman"/>
                <w:color w:val="auto"/>
                <w:szCs w:val="24"/>
                <w:lang w:val="en-US" w:eastAsia="zh-CN"/>
              </w:rPr>
              <w:t>进入刷漆房，由工人手动刷漆，管壁内外均需油漆，刷漆后管道在刷漆房内自然晾干</w:t>
            </w:r>
            <w:r>
              <w:rPr>
                <w:rFonts w:hint="default" w:ascii="Times New Roman" w:hAnsi="Times New Roman" w:cs="Times New Roman"/>
                <w:color w:val="auto"/>
                <w:szCs w:val="24"/>
                <w:lang w:val="en-US" w:eastAsia="zh-CN"/>
              </w:rPr>
              <w:t>。</w:t>
            </w:r>
          </w:p>
          <w:p>
            <w:pPr>
              <w:pStyle w:val="40"/>
              <w:numPr>
                <w:ilvl w:val="0"/>
                <w:numId w:val="1"/>
              </w:numPr>
              <w:spacing w:line="360" w:lineRule="auto"/>
              <w:rPr>
                <w:rFonts w:hint="default" w:ascii="Times New Roman" w:hAnsi="Times New Roman" w:eastAsia="宋体" w:cs="Times New Roman"/>
                <w:color w:val="auto"/>
              </w:rPr>
            </w:pPr>
            <w:r>
              <w:rPr>
                <w:rFonts w:hint="default" w:ascii="Times New Roman" w:hAnsi="Times New Roman" w:cs="Times New Roman"/>
                <w:color w:val="auto"/>
                <w:lang w:val="en-US" w:eastAsia="zh-CN"/>
              </w:rPr>
              <w:t>中频炉加热</w:t>
            </w:r>
            <w:r>
              <w:rPr>
                <w:rFonts w:hint="eastAsia" w:ascii="Times New Roman" w:hAnsi="Times New Roman" w:cs="Times New Roman"/>
                <w:color w:val="auto"/>
                <w:lang w:val="en-US" w:eastAsia="zh-CN"/>
              </w:rPr>
              <w:t>：</w:t>
            </w:r>
            <w:r>
              <w:rPr>
                <w:rFonts w:hint="default" w:ascii="Times New Roman" w:hAnsi="Times New Roman" w:cs="Times New Roman"/>
                <w:color w:val="auto"/>
                <w:lang w:val="en-US" w:eastAsia="zh-CN"/>
              </w:rPr>
              <w:t>在</w:t>
            </w:r>
            <w:r>
              <w:rPr>
                <w:rFonts w:hint="eastAsia" w:ascii="Times New Roman" w:hAnsi="Times New Roman" w:cs="Times New Roman"/>
                <w:color w:val="auto"/>
                <w:lang w:val="en-US" w:eastAsia="zh-CN"/>
              </w:rPr>
              <w:t>塑粉</w:t>
            </w:r>
            <w:r>
              <w:rPr>
                <w:rFonts w:hint="default" w:ascii="Times New Roman" w:hAnsi="Times New Roman" w:cs="Times New Roman"/>
                <w:color w:val="auto"/>
                <w:lang w:val="en-US" w:eastAsia="zh-CN"/>
              </w:rPr>
              <w:t>喷涂前将钢管经过中频感应炉进行加热。采用中频感应电加热方式，快速均匀地将管体加热到220℃左右。该设备配有温度自动监测系统、启动频率自动跟踪系统以及冷却水自动循环换热装置。</w:t>
            </w:r>
          </w:p>
          <w:p>
            <w:pPr>
              <w:pStyle w:val="40"/>
              <w:numPr>
                <w:ilvl w:val="0"/>
                <w:numId w:val="1"/>
              </w:numPr>
              <w:spacing w:line="360" w:lineRule="auto"/>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喷塑粉</w:t>
            </w:r>
            <w:r>
              <w:rPr>
                <w:rFonts w:hint="default" w:ascii="Times New Roman" w:hAnsi="Times New Roman" w:cs="Times New Roman"/>
                <w:color w:val="auto"/>
                <w:lang w:val="en-US" w:eastAsia="zh-CN"/>
              </w:rPr>
              <w:t>：加热后的钢管通过传动线进入</w:t>
            </w:r>
            <w:r>
              <w:rPr>
                <w:rFonts w:hint="eastAsia" w:ascii="Times New Roman" w:hAnsi="Times New Roman" w:cs="Times New Roman"/>
                <w:color w:val="auto"/>
                <w:lang w:val="en-US" w:eastAsia="zh-CN"/>
              </w:rPr>
              <w:t>粉末涂覆线</w:t>
            </w:r>
            <w:r>
              <w:rPr>
                <w:rFonts w:hint="default" w:ascii="Times New Roman" w:hAnsi="Times New Roman" w:cs="Times New Roman"/>
                <w:color w:val="auto"/>
                <w:lang w:val="en-US" w:eastAsia="zh-CN"/>
              </w:rPr>
              <w:t>，附有静电的</w:t>
            </w:r>
            <w:r>
              <w:rPr>
                <w:rFonts w:hint="eastAsia" w:ascii="Times New Roman" w:hAnsi="Times New Roman" w:cs="Times New Roman"/>
                <w:color w:val="auto"/>
                <w:lang w:val="en-US" w:eastAsia="zh-CN"/>
              </w:rPr>
              <w:t>塑粉</w:t>
            </w:r>
            <w:r>
              <w:rPr>
                <w:rFonts w:hint="default" w:ascii="Times New Roman" w:hAnsi="Times New Roman" w:cs="Times New Roman"/>
                <w:color w:val="auto"/>
                <w:lang w:val="en-US" w:eastAsia="zh-CN"/>
              </w:rPr>
              <w:t>均匀地喷涂在钢管表面上，并在20秒内胶化达到涂敷要求。</w:t>
            </w:r>
            <w:r>
              <w:rPr>
                <w:rFonts w:hint="eastAsia" w:ascii="Times New Roman" w:hAnsi="Times New Roman" w:cs="Times New Roman"/>
                <w:color w:val="auto"/>
                <w:lang w:val="en-US" w:eastAsia="zh-CN"/>
              </w:rPr>
              <w:t>钢管内外壁喷塑采用不同的喷涂方式，外壁喷塑采用</w:t>
            </w:r>
            <w:r>
              <w:rPr>
                <w:rFonts w:hint="eastAsia"/>
                <w:color w:val="auto"/>
                <w:lang w:val="en-US" w:eastAsia="zh-CN"/>
              </w:rPr>
              <w:t>固定密闭式的喷塑房（仅设圆形进出口供管道通过），即“管道动、喷塑设备不动”的方式，内喷系统为移动式的喷塑设备，在管道内部相对密闭的空间内通过设备移动完成喷塑，即“</w:t>
            </w:r>
            <w:r>
              <w:rPr>
                <w:rFonts w:hint="eastAsia" w:ascii="Times New Roman" w:hAnsi="Times New Roman" w:cs="Times New Roman"/>
                <w:color w:val="auto"/>
                <w:lang w:val="en-US" w:eastAsia="zh-CN"/>
              </w:rPr>
              <w:t>喷塑设备动、管道不动”的方式。</w:t>
            </w:r>
          </w:p>
          <w:p>
            <w:pPr>
              <w:pStyle w:val="40"/>
              <w:numPr>
                <w:ilvl w:val="0"/>
                <w:numId w:val="1"/>
              </w:numPr>
              <w:spacing w:line="360" w:lineRule="auto"/>
              <w:rPr>
                <w:rFonts w:hint="eastAsia" w:ascii="Times New Roman" w:hAnsi="Times New Roman" w:cs="Times New Roman"/>
                <w:b/>
                <w:color w:val="auto"/>
                <w:szCs w:val="24"/>
                <w:lang w:val="en-US" w:eastAsia="zh-CN"/>
              </w:rPr>
            </w:pPr>
            <w:r>
              <w:rPr>
                <w:rFonts w:hint="eastAsia" w:ascii="Times New Roman" w:hAnsi="Times New Roman" w:cs="Times New Roman"/>
                <w:color w:val="auto"/>
                <w:lang w:val="en-US" w:eastAsia="zh-CN"/>
              </w:rPr>
              <w:t>冷却</w:t>
            </w:r>
            <w:r>
              <w:rPr>
                <w:rFonts w:hint="default" w:ascii="Times New Roman" w:hAnsi="Times New Roman" w:cs="Times New Roman"/>
                <w:color w:val="auto"/>
                <w:lang w:val="en-US" w:eastAsia="zh-CN"/>
              </w:rPr>
              <w:t>：</w:t>
            </w:r>
            <w:r>
              <w:rPr>
                <w:rFonts w:hint="eastAsia" w:ascii="Times New Roman" w:hAnsi="Times New Roman" w:cs="Times New Roman"/>
                <w:color w:val="auto"/>
                <w:lang w:val="en-US" w:eastAsia="zh-CN"/>
              </w:rPr>
              <w:t>喷塑</w:t>
            </w:r>
            <w:r>
              <w:rPr>
                <w:rFonts w:hint="default" w:ascii="Times New Roman" w:hAnsi="Times New Roman" w:cs="Times New Roman"/>
                <w:color w:val="auto"/>
                <w:lang w:val="en-US" w:eastAsia="zh-CN"/>
              </w:rPr>
              <w:t>好的钢管进入</w:t>
            </w:r>
            <w:r>
              <w:rPr>
                <w:rFonts w:hint="eastAsia" w:ascii="Times New Roman" w:hAnsi="Times New Roman" w:cs="Times New Roman"/>
                <w:color w:val="auto"/>
                <w:lang w:val="en-US" w:eastAsia="zh-CN"/>
              </w:rPr>
              <w:t>粉末涂覆线自带的</w:t>
            </w:r>
            <w:r>
              <w:rPr>
                <w:rFonts w:hint="default" w:ascii="Times New Roman" w:hAnsi="Times New Roman" w:cs="Times New Roman"/>
                <w:color w:val="auto"/>
                <w:lang w:val="en-US" w:eastAsia="zh-CN"/>
              </w:rPr>
              <w:t>水冷却传动线部分。冷却水均匀喷洒在涂敷管表面使涂层逐渐冷却变硬，使出口温度达到标准要求。</w:t>
            </w:r>
          </w:p>
          <w:p>
            <w:pPr>
              <w:spacing w:line="240" w:lineRule="auto"/>
              <w:jc w:val="left"/>
              <w:rPr>
                <w:rFonts w:hint="eastAsia" w:ascii="Times New Roman" w:hAnsi="Times New Roman" w:cs="Times New Roman"/>
                <w:b/>
                <w:color w:val="auto"/>
                <w:szCs w:val="24"/>
                <w:lang w:val="en-US" w:eastAsia="zh-CN"/>
              </w:rPr>
            </w:pPr>
          </w:p>
          <w:p>
            <w:pPr>
              <w:spacing w:line="360" w:lineRule="auto"/>
              <w:jc w:val="left"/>
              <w:rPr>
                <w:b/>
                <w:color w:val="auto"/>
                <w:szCs w:val="24"/>
              </w:rPr>
            </w:pPr>
            <w:r>
              <w:rPr>
                <w:rFonts w:hint="eastAsia"/>
                <w:b/>
                <w:color w:val="auto"/>
                <w:szCs w:val="24"/>
              </w:rPr>
              <w:t>2.</w:t>
            </w:r>
            <w:r>
              <w:rPr>
                <w:rFonts w:hint="eastAsia"/>
                <w:b/>
                <w:color w:val="auto"/>
                <w:szCs w:val="24"/>
                <w:lang w:val="en-US" w:eastAsia="zh-CN"/>
              </w:rPr>
              <w:t>1</w:t>
            </w:r>
            <w:r>
              <w:rPr>
                <w:rFonts w:hint="eastAsia"/>
                <w:b/>
                <w:color w:val="auto"/>
                <w:szCs w:val="24"/>
              </w:rPr>
              <w:t>2</w:t>
            </w:r>
            <w:r>
              <w:rPr>
                <w:rFonts w:hint="eastAsia"/>
                <w:b/>
                <w:color w:val="auto"/>
                <w:szCs w:val="24"/>
                <w:lang w:val="en-US" w:eastAsia="zh-CN"/>
              </w:rPr>
              <w:t>.5原有项目</w:t>
            </w:r>
            <w:r>
              <w:rPr>
                <w:b/>
                <w:color w:val="auto"/>
                <w:szCs w:val="24"/>
              </w:rPr>
              <w:t>设备和原辅材料清单</w:t>
            </w:r>
          </w:p>
          <w:p>
            <w:pPr>
              <w:pStyle w:val="40"/>
              <w:spacing w:line="360" w:lineRule="auto"/>
              <w:ind w:firstLine="480" w:firstLineChars="200"/>
              <w:rPr>
                <w:rFonts w:ascii="Times New Roman"/>
                <w:color w:val="auto"/>
              </w:rPr>
            </w:pPr>
            <w:r>
              <w:rPr>
                <w:rFonts w:ascii="Times New Roman"/>
                <w:color w:val="auto"/>
              </w:rPr>
              <w:t>（</w:t>
            </w:r>
            <w:r>
              <w:rPr>
                <w:rFonts w:ascii="Times New Roman" w:hAnsi="Times New Roman"/>
                <w:color w:val="auto"/>
              </w:rPr>
              <w:t>1</w:t>
            </w:r>
            <w:r>
              <w:rPr>
                <w:rFonts w:ascii="Times New Roman"/>
                <w:color w:val="auto"/>
              </w:rPr>
              <w:t>）</w:t>
            </w:r>
            <w:r>
              <w:rPr>
                <w:rFonts w:hint="eastAsia" w:ascii="Times New Roman"/>
                <w:color w:val="auto"/>
              </w:rPr>
              <w:t>生产设备</w:t>
            </w:r>
          </w:p>
          <w:p>
            <w:pPr>
              <w:spacing w:line="360" w:lineRule="auto"/>
              <w:jc w:val="center"/>
              <w:rPr>
                <w:rFonts w:ascii="Times New Roman" w:hAnsi="Times New Roman" w:eastAsia="宋体" w:cs="Times New Roman"/>
                <w:b/>
                <w:bCs/>
                <w:color w:val="auto"/>
              </w:rPr>
            </w:pPr>
            <w:r>
              <w:rPr>
                <w:rFonts w:ascii="Times New Roman" w:hAnsi="Times New Roman" w:eastAsia="宋体" w:cs="Times New Roman"/>
                <w:b/>
                <w:bCs/>
                <w:color w:val="auto"/>
              </w:rPr>
              <w:t>表2-</w:t>
            </w:r>
            <w:r>
              <w:rPr>
                <w:rFonts w:hint="eastAsia" w:ascii="Times New Roman" w:hAnsi="Times New Roman" w:eastAsia="宋体" w:cs="Times New Roman"/>
                <w:b/>
                <w:bCs/>
                <w:color w:val="auto"/>
              </w:rPr>
              <w:t>1</w:t>
            </w:r>
            <w:r>
              <w:rPr>
                <w:rFonts w:hint="eastAsia" w:cs="Times New Roman"/>
                <w:b/>
                <w:bCs/>
                <w:color w:val="auto"/>
                <w:lang w:val="en-US" w:eastAsia="zh-CN"/>
              </w:rPr>
              <w:t>5</w:t>
            </w:r>
            <w:r>
              <w:rPr>
                <w:rFonts w:hint="eastAsia" w:ascii="Times New Roman" w:hAnsi="Times New Roman" w:eastAsia="宋体" w:cs="Times New Roman"/>
                <w:b/>
                <w:bCs/>
                <w:color w:val="auto"/>
              </w:rPr>
              <w:t xml:space="preserve">  </w:t>
            </w:r>
            <w:r>
              <w:rPr>
                <w:rFonts w:hint="eastAsia" w:cs="Times New Roman"/>
                <w:b/>
                <w:bCs/>
                <w:color w:val="auto"/>
                <w:lang w:val="en-US" w:eastAsia="zh-CN"/>
              </w:rPr>
              <w:t>原有</w:t>
            </w:r>
            <w:r>
              <w:rPr>
                <w:rFonts w:ascii="Times New Roman" w:hAnsi="Times New Roman" w:eastAsia="宋体" w:cs="Times New Roman"/>
                <w:b/>
                <w:bCs/>
                <w:color w:val="auto"/>
              </w:rPr>
              <w:t>项目设备清单</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
              <w:gridCol w:w="2466"/>
              <w:gridCol w:w="1274"/>
              <w:gridCol w:w="1275"/>
              <w:gridCol w:w="1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jc w:val="center"/>
                    <w:rPr>
                      <w:b/>
                      <w:color w:val="auto"/>
                      <w:sz w:val="21"/>
                      <w:szCs w:val="21"/>
                    </w:rPr>
                  </w:pPr>
                  <w:r>
                    <w:rPr>
                      <w:b/>
                      <w:color w:val="auto"/>
                      <w:sz w:val="21"/>
                      <w:szCs w:val="21"/>
                    </w:rPr>
                    <w:t>序号</w:t>
                  </w:r>
                </w:p>
              </w:tc>
              <w:tc>
                <w:tcPr>
                  <w:tcW w:w="2466" w:type="dxa"/>
                  <w:vAlign w:val="center"/>
                </w:tcPr>
                <w:p>
                  <w:pPr>
                    <w:jc w:val="center"/>
                    <w:rPr>
                      <w:b/>
                      <w:color w:val="auto"/>
                      <w:sz w:val="21"/>
                      <w:szCs w:val="21"/>
                    </w:rPr>
                  </w:pPr>
                  <w:r>
                    <w:rPr>
                      <w:b/>
                      <w:color w:val="auto"/>
                      <w:sz w:val="21"/>
                      <w:szCs w:val="21"/>
                    </w:rPr>
                    <w:t>设备名称</w:t>
                  </w:r>
                </w:p>
              </w:tc>
              <w:tc>
                <w:tcPr>
                  <w:tcW w:w="1274" w:type="dxa"/>
                  <w:vAlign w:val="center"/>
                </w:tcPr>
                <w:p>
                  <w:pPr>
                    <w:jc w:val="center"/>
                    <w:rPr>
                      <w:rFonts w:hint="eastAsia" w:eastAsia="宋体"/>
                      <w:b/>
                      <w:color w:val="auto"/>
                      <w:sz w:val="21"/>
                      <w:szCs w:val="21"/>
                      <w:lang w:eastAsia="zh-CN"/>
                    </w:rPr>
                  </w:pPr>
                  <w:r>
                    <w:rPr>
                      <w:b/>
                      <w:color w:val="auto"/>
                      <w:sz w:val="21"/>
                      <w:szCs w:val="21"/>
                    </w:rPr>
                    <w:t>环评报批数量</w:t>
                  </w:r>
                  <w:r>
                    <w:rPr>
                      <w:rFonts w:hint="eastAsia"/>
                      <w:b/>
                      <w:color w:val="auto"/>
                      <w:sz w:val="21"/>
                      <w:szCs w:val="21"/>
                      <w:lang w:eastAsia="zh-CN"/>
                    </w:rPr>
                    <w:t>（</w:t>
                  </w:r>
                  <w:r>
                    <w:rPr>
                      <w:rFonts w:hint="eastAsia"/>
                      <w:b/>
                      <w:color w:val="auto"/>
                      <w:sz w:val="21"/>
                      <w:szCs w:val="21"/>
                      <w:lang w:val="en-US" w:eastAsia="zh-CN"/>
                    </w:rPr>
                    <w:t>台</w:t>
                  </w:r>
                  <w:r>
                    <w:rPr>
                      <w:rFonts w:hint="eastAsia"/>
                      <w:b/>
                      <w:color w:val="auto"/>
                      <w:sz w:val="21"/>
                      <w:szCs w:val="21"/>
                      <w:lang w:eastAsia="zh-CN"/>
                    </w:rPr>
                    <w:t>）</w:t>
                  </w:r>
                </w:p>
              </w:tc>
              <w:tc>
                <w:tcPr>
                  <w:tcW w:w="1275" w:type="dxa"/>
                  <w:vAlign w:val="center"/>
                </w:tcPr>
                <w:p>
                  <w:pPr>
                    <w:jc w:val="center"/>
                    <w:rPr>
                      <w:b/>
                      <w:color w:val="auto"/>
                      <w:sz w:val="21"/>
                      <w:szCs w:val="21"/>
                    </w:rPr>
                  </w:pPr>
                  <w:r>
                    <w:rPr>
                      <w:b/>
                      <w:color w:val="auto"/>
                      <w:sz w:val="21"/>
                      <w:szCs w:val="21"/>
                    </w:rPr>
                    <w:t>验收时</w:t>
                  </w:r>
                </w:p>
                <w:p>
                  <w:pPr>
                    <w:jc w:val="center"/>
                    <w:rPr>
                      <w:b/>
                      <w:color w:val="auto"/>
                      <w:sz w:val="21"/>
                      <w:szCs w:val="21"/>
                    </w:rPr>
                  </w:pPr>
                  <w:r>
                    <w:rPr>
                      <w:b/>
                      <w:color w:val="auto"/>
                      <w:sz w:val="21"/>
                      <w:szCs w:val="21"/>
                    </w:rPr>
                    <w:t>数量</w:t>
                  </w:r>
                  <w:r>
                    <w:rPr>
                      <w:rFonts w:hint="eastAsia"/>
                      <w:b/>
                      <w:color w:val="auto"/>
                      <w:sz w:val="21"/>
                      <w:szCs w:val="21"/>
                      <w:lang w:eastAsia="zh-CN"/>
                    </w:rPr>
                    <w:t>（</w:t>
                  </w:r>
                  <w:r>
                    <w:rPr>
                      <w:rFonts w:hint="eastAsia"/>
                      <w:b/>
                      <w:color w:val="auto"/>
                      <w:sz w:val="21"/>
                      <w:szCs w:val="21"/>
                      <w:lang w:val="en-US" w:eastAsia="zh-CN"/>
                    </w:rPr>
                    <w:t>台</w:t>
                  </w:r>
                  <w:r>
                    <w:rPr>
                      <w:rFonts w:hint="eastAsia"/>
                      <w:b/>
                      <w:color w:val="auto"/>
                      <w:sz w:val="21"/>
                      <w:szCs w:val="21"/>
                      <w:lang w:eastAsia="zh-CN"/>
                    </w:rPr>
                    <w:t>）</w:t>
                  </w:r>
                </w:p>
              </w:tc>
              <w:tc>
                <w:tcPr>
                  <w:tcW w:w="1497" w:type="dxa"/>
                  <w:vAlign w:val="center"/>
                </w:tcPr>
                <w:p>
                  <w:pPr>
                    <w:jc w:val="center"/>
                    <w:rPr>
                      <w:b/>
                      <w:color w:val="auto"/>
                      <w:sz w:val="21"/>
                      <w:szCs w:val="21"/>
                    </w:rPr>
                  </w:pPr>
                  <w:r>
                    <w:rPr>
                      <w:rFonts w:hint="eastAsia"/>
                      <w:b/>
                      <w:color w:val="auto"/>
                      <w:sz w:val="21"/>
                      <w:szCs w:val="21"/>
                    </w:rPr>
                    <w:t>与</w:t>
                  </w:r>
                  <w:r>
                    <w:rPr>
                      <w:b/>
                      <w:color w:val="auto"/>
                      <w:sz w:val="21"/>
                      <w:szCs w:val="21"/>
                    </w:rPr>
                    <w:t>验收时比较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7370" w:type="dxa"/>
                  <w:gridSpan w:val="5"/>
                  <w:vAlign w:val="center"/>
                </w:tcPr>
                <w:p>
                  <w:pPr>
                    <w:jc w:val="center"/>
                    <w:rPr>
                      <w:rFonts w:hint="default" w:eastAsia="宋体"/>
                      <w:b/>
                      <w:color w:val="auto"/>
                      <w:sz w:val="21"/>
                      <w:szCs w:val="21"/>
                      <w:lang w:val="en-US" w:eastAsia="zh-CN"/>
                    </w:rPr>
                  </w:pPr>
                  <w:r>
                    <w:rPr>
                      <w:rFonts w:hint="eastAsia"/>
                      <w:b/>
                      <w:color w:val="auto"/>
                      <w:sz w:val="21"/>
                      <w:szCs w:val="21"/>
                      <w:lang w:val="en-US" w:eastAsia="zh-CN"/>
                    </w:rPr>
                    <w:t>埋弧焊管生产车间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tabs>
                      <w:tab w:val="left" w:pos="420"/>
                      <w:tab w:val="clear" w:pos="0"/>
                    </w:tabs>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eastAsia" w:cs="Times New Roman"/>
                      <w:color w:val="auto"/>
                      <w:sz w:val="21"/>
                      <w:szCs w:val="21"/>
                      <w:lang w:val="en-US" w:eastAsia="zh-CN"/>
                    </w:rPr>
                  </w:pPr>
                  <w:r>
                    <w:rPr>
                      <w:rFonts w:hint="eastAsia" w:cs="Times New Roman"/>
                      <w:color w:val="auto"/>
                      <w:sz w:val="21"/>
                      <w:szCs w:val="21"/>
                      <w:lang w:val="en-US" w:eastAsia="zh-CN"/>
                    </w:rPr>
                    <w:t>存放钢板平台</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restart"/>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tabs>
                      <w:tab w:val="left" w:pos="420"/>
                      <w:tab w:val="clear" w:pos="0"/>
                    </w:tabs>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拆卷机</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五辊机器</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剪板接板一体机</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五辊开平压平机</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铣边组合设备</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卷管成型机</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埋弧焊机</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龙门定型机组合</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3台</w:t>
                  </w:r>
                </w:p>
              </w:tc>
              <w:tc>
                <w:tcPr>
                  <w:tcW w:w="1275" w:type="dxa"/>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补焊设备</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2台</w:t>
                  </w:r>
                </w:p>
              </w:tc>
              <w:tc>
                <w:tcPr>
                  <w:tcW w:w="1275" w:type="dxa"/>
                  <w:vAlign w:val="center"/>
                </w:tcPr>
                <w:p>
                  <w:pPr>
                    <w:ind w:left="-120" w:leftChars="-50" w:right="-120" w:rightChars="-5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小机器平口机</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2台</w:t>
                  </w:r>
                </w:p>
              </w:tc>
              <w:tc>
                <w:tcPr>
                  <w:tcW w:w="1275" w:type="dxa"/>
                  <w:vAlign w:val="center"/>
                </w:tcPr>
                <w:p>
                  <w:pPr>
                    <w:ind w:left="-120" w:leftChars="-50" w:right="-120" w:rightChars="-5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大型水压机</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1台</w:t>
                  </w:r>
                </w:p>
              </w:tc>
              <w:tc>
                <w:tcPr>
                  <w:tcW w:w="1275" w:type="dxa"/>
                  <w:vAlign w:val="center"/>
                </w:tcPr>
                <w:p>
                  <w:pPr>
                    <w:ind w:left="-120" w:leftChars="-50" w:right="-120" w:rightChars="-5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火焰平口组合</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1台</w:t>
                  </w:r>
                </w:p>
              </w:tc>
              <w:tc>
                <w:tcPr>
                  <w:tcW w:w="1275" w:type="dxa"/>
                  <w:vAlign w:val="center"/>
                </w:tcPr>
                <w:p>
                  <w:pPr>
                    <w:ind w:left="-120" w:leftChars="-50" w:right="-120" w:rightChars="-5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858" w:type="dxa"/>
                  <w:vAlign w:val="center"/>
                </w:tcPr>
                <w:p>
                  <w:pPr>
                    <w:numPr>
                      <w:ilvl w:val="0"/>
                      <w:numId w:val="2"/>
                    </w:numPr>
                    <w:spacing w:line="300" w:lineRule="exact"/>
                    <w:ind w:left="0" w:leftChars="0" w:firstLine="0" w:firstLineChars="0"/>
                    <w:jc w:val="center"/>
                    <w:rPr>
                      <w:rFonts w:hint="default" w:ascii="Times New Roman" w:hAnsi="Times New Roman" w:eastAsia="宋体" w:cs="Times New Roman"/>
                      <w:bCs/>
                      <w:color w:val="auto"/>
                      <w:kern w:val="2"/>
                      <w:sz w:val="21"/>
                      <w:szCs w:val="21"/>
                      <w:lang w:val="en-US" w:eastAsia="zh-CN" w:bidi="ar-SA"/>
                    </w:rPr>
                  </w:pPr>
                </w:p>
              </w:tc>
              <w:tc>
                <w:tcPr>
                  <w:tcW w:w="2466"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检测设备</w:t>
                  </w:r>
                </w:p>
              </w:tc>
              <w:tc>
                <w:tcPr>
                  <w:tcW w:w="1274" w:type="dxa"/>
                  <w:vAlign w:val="center"/>
                </w:tcPr>
                <w:p>
                  <w:pPr>
                    <w:ind w:left="-120" w:leftChars="-50" w:right="-120" w:rightChars="-50"/>
                    <w:jc w:val="center"/>
                    <w:rPr>
                      <w:rFonts w:hint="default" w:cs="Times New Roman"/>
                      <w:color w:val="auto"/>
                      <w:sz w:val="21"/>
                      <w:szCs w:val="21"/>
                      <w:lang w:val="en-US" w:eastAsia="zh-CN"/>
                    </w:rPr>
                  </w:pPr>
                  <w:r>
                    <w:rPr>
                      <w:rFonts w:hint="eastAsia" w:cs="Times New Roman"/>
                      <w:color w:val="auto"/>
                      <w:sz w:val="21"/>
                      <w:szCs w:val="21"/>
                      <w:lang w:val="en-US" w:eastAsia="zh-CN"/>
                    </w:rPr>
                    <w:t>23台</w:t>
                  </w:r>
                </w:p>
              </w:tc>
              <w:tc>
                <w:tcPr>
                  <w:tcW w:w="1275" w:type="dxa"/>
                  <w:vAlign w:val="center"/>
                </w:tcPr>
                <w:p>
                  <w:pPr>
                    <w:ind w:left="-120" w:leftChars="-50" w:right="-120" w:rightChars="-5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23台</w:t>
                  </w:r>
                </w:p>
              </w:tc>
              <w:tc>
                <w:tcPr>
                  <w:tcW w:w="1497" w:type="dxa"/>
                  <w:vMerge w:val="continue"/>
                  <w:vAlign w:val="center"/>
                </w:tcPr>
                <w:p>
                  <w:pPr>
                    <w:ind w:left="-120" w:leftChars="-50" w:right="-120" w:rightChars="-50"/>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7370" w:type="dxa"/>
                  <w:gridSpan w:val="5"/>
                  <w:vAlign w:val="center"/>
                </w:tcPr>
                <w:p>
                  <w:pPr>
                    <w:snapToGrid w:val="0"/>
                    <w:ind w:right="-12" w:rightChars="-5"/>
                    <w:jc w:val="center"/>
                    <w:rPr>
                      <w:rFonts w:hint="default" w:eastAsia="宋体"/>
                      <w:color w:val="auto"/>
                      <w:sz w:val="21"/>
                      <w:szCs w:val="21"/>
                      <w:lang w:val="en-US" w:eastAsia="zh-CN"/>
                    </w:rPr>
                  </w:pPr>
                  <w:r>
                    <w:rPr>
                      <w:rFonts w:hint="eastAsia"/>
                      <w:b/>
                      <w:bCs/>
                      <w:color w:val="auto"/>
                      <w:sz w:val="21"/>
                      <w:szCs w:val="21"/>
                      <w:lang w:val="en-US" w:eastAsia="zh-CN"/>
                    </w:rPr>
                    <w:t>涂装车间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0" w:type="auto"/>
                  <w:vAlign w:val="center"/>
                </w:tcPr>
                <w:p>
                  <w:pPr>
                    <w:numPr>
                      <w:ilvl w:val="0"/>
                      <w:numId w:val="2"/>
                    </w:numPr>
                    <w:spacing w:line="300" w:lineRule="exact"/>
                    <w:ind w:left="0" w:leftChars="0" w:firstLine="0" w:firstLineChars="0"/>
                    <w:jc w:val="center"/>
                    <w:rPr>
                      <w:rFonts w:hint="eastAsia" w:ascii="Times New Roman" w:hAnsi="Times New Roman" w:eastAsia="宋体" w:cs="Times New Roman"/>
                      <w:bCs/>
                      <w:color w:val="auto"/>
                      <w:kern w:val="2"/>
                      <w:sz w:val="21"/>
                      <w:szCs w:val="21"/>
                      <w:lang w:val="en-US" w:eastAsia="zh-CN" w:bidi="ar-SA"/>
                    </w:rPr>
                  </w:pPr>
                </w:p>
              </w:tc>
              <w:tc>
                <w:tcPr>
                  <w:tcW w:w="0" w:type="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粉末涂覆线</w:t>
                  </w:r>
                </w:p>
              </w:tc>
              <w:tc>
                <w:tcPr>
                  <w:tcW w:w="0" w:type="auto"/>
                  <w:vAlign w:val="center"/>
                </w:tcPr>
                <w:p>
                  <w:pPr>
                    <w:ind w:left="-120" w:leftChars="-50" w:right="-120" w:rightChars="-5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497" w:type="dxa"/>
                  <w:vMerge w:val="restart"/>
                  <w:vAlign w:val="center"/>
                </w:tcPr>
                <w:p>
                  <w:pPr>
                    <w:snapToGrid w:val="0"/>
                    <w:ind w:right="-12" w:rightChars="-5"/>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0" w:type="auto"/>
                  <w:vAlign w:val="center"/>
                </w:tcPr>
                <w:p>
                  <w:pPr>
                    <w:numPr>
                      <w:ilvl w:val="0"/>
                      <w:numId w:val="2"/>
                    </w:numPr>
                    <w:spacing w:line="300" w:lineRule="exact"/>
                    <w:ind w:left="0" w:leftChars="0" w:firstLine="0" w:firstLineChars="0"/>
                    <w:jc w:val="center"/>
                    <w:rPr>
                      <w:rFonts w:hint="eastAsia" w:ascii="Times New Roman" w:hAnsi="Times New Roman" w:eastAsia="宋体" w:cs="Times New Roman"/>
                      <w:bCs/>
                      <w:color w:val="auto"/>
                      <w:kern w:val="2"/>
                      <w:sz w:val="21"/>
                      <w:szCs w:val="21"/>
                      <w:lang w:val="en-US" w:eastAsia="zh-CN" w:bidi="ar-SA"/>
                    </w:rPr>
                  </w:pPr>
                </w:p>
              </w:tc>
              <w:tc>
                <w:tcPr>
                  <w:tcW w:w="0" w:type="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水冷系统</w:t>
                  </w:r>
                </w:p>
              </w:tc>
              <w:tc>
                <w:tcPr>
                  <w:tcW w:w="0" w:type="auto"/>
                  <w:vAlign w:val="center"/>
                </w:tcPr>
                <w:p>
                  <w:pPr>
                    <w:ind w:left="-120" w:leftChars="-50" w:right="-120" w:rightChars="-5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497" w:type="dxa"/>
                  <w:vMerge w:val="continue"/>
                  <w:vAlign w:val="center"/>
                </w:tcPr>
                <w:p>
                  <w:pPr>
                    <w:snapToGrid w:val="0"/>
                    <w:ind w:right="-12" w:rightChars="-5"/>
                    <w:jc w:val="center"/>
                    <w:rPr>
                      <w:rFonts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0" w:type="auto"/>
                  <w:vAlign w:val="center"/>
                </w:tcPr>
                <w:p>
                  <w:pPr>
                    <w:numPr>
                      <w:ilvl w:val="0"/>
                      <w:numId w:val="2"/>
                    </w:numPr>
                    <w:spacing w:line="300" w:lineRule="exact"/>
                    <w:ind w:left="0" w:leftChars="0" w:firstLine="0" w:firstLineChars="0"/>
                    <w:jc w:val="center"/>
                    <w:rPr>
                      <w:rFonts w:hint="eastAsia" w:ascii="Times New Roman" w:hAnsi="Times New Roman" w:eastAsia="宋体" w:cs="Times New Roman"/>
                      <w:bCs/>
                      <w:color w:val="auto"/>
                      <w:kern w:val="2"/>
                      <w:sz w:val="21"/>
                      <w:szCs w:val="21"/>
                      <w:lang w:val="en-US" w:eastAsia="zh-CN" w:bidi="ar-SA"/>
                    </w:rPr>
                  </w:pPr>
                </w:p>
              </w:tc>
              <w:tc>
                <w:tcPr>
                  <w:tcW w:w="0" w:type="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抛丸机</w:t>
                  </w:r>
                </w:p>
              </w:tc>
              <w:tc>
                <w:tcPr>
                  <w:tcW w:w="0" w:type="auto"/>
                  <w:vAlign w:val="center"/>
                </w:tcPr>
                <w:p>
                  <w:pPr>
                    <w:ind w:left="-120" w:leftChars="-50" w:right="-120" w:rightChars="-5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497" w:type="dxa"/>
                  <w:vMerge w:val="continue"/>
                  <w:vAlign w:val="center"/>
                </w:tcPr>
                <w:p>
                  <w:pPr>
                    <w:snapToGrid w:val="0"/>
                    <w:ind w:right="-12" w:rightChars="-5"/>
                    <w:jc w:val="center"/>
                    <w:rPr>
                      <w:rFonts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0" w:type="auto"/>
                  <w:vAlign w:val="center"/>
                </w:tcPr>
                <w:p>
                  <w:pPr>
                    <w:numPr>
                      <w:ilvl w:val="0"/>
                      <w:numId w:val="2"/>
                    </w:numPr>
                    <w:spacing w:line="300" w:lineRule="exact"/>
                    <w:ind w:left="0" w:leftChars="0" w:firstLine="0" w:firstLineChars="0"/>
                    <w:jc w:val="center"/>
                    <w:rPr>
                      <w:rFonts w:hint="eastAsia" w:ascii="Times New Roman" w:hAnsi="Times New Roman" w:eastAsia="宋体" w:cs="Times New Roman"/>
                      <w:bCs/>
                      <w:color w:val="auto"/>
                      <w:kern w:val="2"/>
                      <w:sz w:val="21"/>
                      <w:szCs w:val="21"/>
                      <w:lang w:val="en-US" w:eastAsia="zh-CN" w:bidi="ar-SA"/>
                    </w:rPr>
                  </w:pPr>
                </w:p>
              </w:tc>
              <w:tc>
                <w:tcPr>
                  <w:tcW w:w="0" w:type="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打磨机</w:t>
                  </w:r>
                </w:p>
              </w:tc>
              <w:tc>
                <w:tcPr>
                  <w:tcW w:w="0" w:type="auto"/>
                  <w:vAlign w:val="center"/>
                </w:tcPr>
                <w:p>
                  <w:pPr>
                    <w:ind w:left="-120" w:leftChars="-50" w:right="-120" w:rightChars="-5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497" w:type="dxa"/>
                  <w:vMerge w:val="continue"/>
                  <w:vAlign w:val="center"/>
                </w:tcPr>
                <w:p>
                  <w:pPr>
                    <w:snapToGrid w:val="0"/>
                    <w:ind w:right="-12" w:rightChars="-5"/>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0" w:type="auto"/>
                  <w:vAlign w:val="center"/>
                </w:tcPr>
                <w:p>
                  <w:pPr>
                    <w:numPr>
                      <w:ilvl w:val="0"/>
                      <w:numId w:val="2"/>
                    </w:numPr>
                    <w:spacing w:line="300" w:lineRule="exact"/>
                    <w:ind w:left="0" w:leftChars="0" w:firstLine="0" w:firstLineChars="0"/>
                    <w:jc w:val="center"/>
                    <w:rPr>
                      <w:rFonts w:hint="eastAsia" w:ascii="Times New Roman" w:hAnsi="Times New Roman" w:eastAsia="宋体" w:cs="Times New Roman"/>
                      <w:bCs/>
                      <w:color w:val="auto"/>
                      <w:kern w:val="2"/>
                      <w:sz w:val="21"/>
                      <w:szCs w:val="21"/>
                      <w:lang w:val="en-US" w:eastAsia="zh-CN" w:bidi="ar-SA"/>
                    </w:rPr>
                  </w:pPr>
                </w:p>
              </w:tc>
              <w:tc>
                <w:tcPr>
                  <w:tcW w:w="0" w:type="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上</w:t>
                  </w:r>
                  <w:r>
                    <w:rPr>
                      <w:rFonts w:hint="eastAsia" w:ascii="Times New Roman" w:hAnsi="Times New Roman" w:eastAsia="宋体" w:cs="Times New Roman"/>
                      <w:color w:val="auto"/>
                      <w:sz w:val="21"/>
                      <w:szCs w:val="21"/>
                      <w:lang w:val="en-US" w:eastAsia="zh-CN"/>
                    </w:rPr>
                    <w:t>漆房</w:t>
                  </w:r>
                </w:p>
              </w:tc>
              <w:tc>
                <w:tcPr>
                  <w:tcW w:w="0" w:type="auto"/>
                  <w:vAlign w:val="center"/>
                </w:tcPr>
                <w:p>
                  <w:pPr>
                    <w:ind w:left="-120" w:leftChars="-50" w:right="-120" w:rightChars="-5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497" w:type="dxa"/>
                  <w:vMerge w:val="continue"/>
                  <w:vAlign w:val="center"/>
                </w:tcPr>
                <w:p>
                  <w:pPr>
                    <w:snapToGrid w:val="0"/>
                    <w:ind w:right="-12" w:rightChars="-5"/>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0" w:type="auto"/>
                  <w:vAlign w:val="center"/>
                </w:tcPr>
                <w:p>
                  <w:pPr>
                    <w:numPr>
                      <w:ilvl w:val="0"/>
                      <w:numId w:val="2"/>
                    </w:numPr>
                    <w:spacing w:line="300" w:lineRule="exact"/>
                    <w:ind w:left="0" w:leftChars="0" w:firstLine="0" w:firstLineChars="0"/>
                    <w:jc w:val="center"/>
                    <w:rPr>
                      <w:rFonts w:hint="eastAsia" w:ascii="Times New Roman" w:hAnsi="Times New Roman" w:eastAsia="宋体" w:cs="Times New Roman"/>
                      <w:bCs/>
                      <w:color w:val="auto"/>
                      <w:kern w:val="2"/>
                      <w:sz w:val="21"/>
                      <w:szCs w:val="21"/>
                      <w:lang w:val="en-US" w:eastAsia="zh-CN" w:bidi="ar-SA"/>
                    </w:rPr>
                  </w:pPr>
                </w:p>
              </w:tc>
              <w:tc>
                <w:tcPr>
                  <w:tcW w:w="2466" w:type="dxa"/>
                  <w:vAlign w:val="center"/>
                </w:tcPr>
                <w:p>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冷却塔</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0" w:type="auto"/>
                  <w:vAlign w:val="center"/>
                </w:tcPr>
                <w:p>
                  <w:pPr>
                    <w:ind w:left="-120" w:leftChars="-50" w:right="-120" w:rightChars="-5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w:t>
                  </w:r>
                </w:p>
              </w:tc>
              <w:tc>
                <w:tcPr>
                  <w:tcW w:w="1497" w:type="dxa"/>
                  <w:vMerge w:val="continue"/>
                  <w:vAlign w:val="center"/>
                </w:tcPr>
                <w:p>
                  <w:pPr>
                    <w:snapToGrid w:val="0"/>
                    <w:ind w:right="-12" w:rightChars="-5"/>
                    <w:jc w:val="center"/>
                    <w:rPr>
                      <w:rFonts w:hint="default"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0" w:type="auto"/>
                  <w:vAlign w:val="center"/>
                </w:tcPr>
                <w:p>
                  <w:pPr>
                    <w:numPr>
                      <w:ilvl w:val="0"/>
                      <w:numId w:val="2"/>
                    </w:numPr>
                    <w:spacing w:line="300" w:lineRule="exact"/>
                    <w:ind w:left="0" w:leftChars="0" w:firstLine="0" w:firstLineChars="0"/>
                    <w:jc w:val="center"/>
                    <w:rPr>
                      <w:rFonts w:hint="eastAsia" w:ascii="Times New Roman" w:hAnsi="Times New Roman" w:eastAsia="宋体" w:cs="Times New Roman"/>
                      <w:bCs/>
                      <w:color w:val="auto"/>
                      <w:kern w:val="2"/>
                      <w:sz w:val="21"/>
                      <w:szCs w:val="21"/>
                      <w:lang w:val="en-US" w:eastAsia="zh-CN" w:bidi="ar-SA"/>
                    </w:rPr>
                  </w:pPr>
                </w:p>
              </w:tc>
              <w:tc>
                <w:tcPr>
                  <w:tcW w:w="2466"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上下管系统</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w:t>
                  </w:r>
                </w:p>
              </w:tc>
              <w:tc>
                <w:tcPr>
                  <w:tcW w:w="0" w:type="auto"/>
                  <w:vAlign w:val="center"/>
                </w:tcPr>
                <w:p>
                  <w:pPr>
                    <w:ind w:left="-120" w:leftChars="-50" w:right="-120" w:rightChars="-5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w:t>
                  </w:r>
                </w:p>
              </w:tc>
              <w:tc>
                <w:tcPr>
                  <w:tcW w:w="1497" w:type="dxa"/>
                  <w:vMerge w:val="continue"/>
                  <w:vAlign w:val="center"/>
                </w:tcPr>
                <w:p>
                  <w:pPr>
                    <w:snapToGrid w:val="0"/>
                    <w:ind w:right="-12" w:rightChars="-5"/>
                    <w:jc w:val="center"/>
                    <w:rPr>
                      <w:rFonts w:hint="default" w:ascii="Times New Roman" w:hAnsi="Times New Roman" w:eastAsia="宋体" w:cs="Times New Roman"/>
                      <w:color w:val="auto"/>
                      <w:kern w:val="2"/>
                      <w:sz w:val="21"/>
                      <w:szCs w:val="21"/>
                      <w:lang w:val="en-US" w:eastAsia="zh-CN" w:bidi="ar-SA"/>
                    </w:rPr>
                  </w:pPr>
                </w:p>
              </w:tc>
            </w:tr>
          </w:tbl>
          <w:p>
            <w:pPr>
              <w:pStyle w:val="40"/>
              <w:spacing w:line="240" w:lineRule="auto"/>
              <w:ind w:firstLine="480" w:firstLineChars="200"/>
              <w:rPr>
                <w:rFonts w:ascii="Times New Roman"/>
                <w:color w:val="FF0000"/>
              </w:rPr>
            </w:pPr>
          </w:p>
          <w:p>
            <w:pPr>
              <w:pStyle w:val="40"/>
              <w:spacing w:line="360" w:lineRule="auto"/>
              <w:ind w:firstLine="480" w:firstLineChars="200"/>
              <w:rPr>
                <w:rFonts w:ascii="Times New Roman"/>
                <w:color w:val="auto"/>
              </w:rPr>
            </w:pPr>
            <w:r>
              <w:rPr>
                <w:rFonts w:ascii="Times New Roman"/>
                <w:color w:val="auto"/>
              </w:rPr>
              <w:t>（</w:t>
            </w:r>
            <w:r>
              <w:rPr>
                <w:rFonts w:hint="eastAsia" w:ascii="Times New Roman" w:hAnsi="Times New Roman"/>
                <w:color w:val="auto"/>
                <w:lang w:val="en-US" w:eastAsia="zh-CN"/>
              </w:rPr>
              <w:t>2</w:t>
            </w:r>
            <w:r>
              <w:rPr>
                <w:rFonts w:ascii="Times New Roman"/>
                <w:color w:val="auto"/>
              </w:rPr>
              <w:t>）</w:t>
            </w:r>
            <w:r>
              <w:rPr>
                <w:rFonts w:hint="eastAsia" w:ascii="Times New Roman"/>
                <w:color w:val="auto"/>
              </w:rPr>
              <w:t>原辅材料消耗</w:t>
            </w:r>
          </w:p>
          <w:p>
            <w:pPr>
              <w:spacing w:line="360" w:lineRule="auto"/>
              <w:jc w:val="center"/>
              <w:rPr>
                <w:rFonts w:ascii="Times New Roman" w:hAnsi="Times New Roman" w:eastAsia="宋体" w:cs="Times New Roman"/>
                <w:b/>
                <w:bCs/>
                <w:color w:val="auto"/>
              </w:rPr>
            </w:pPr>
            <w:r>
              <w:rPr>
                <w:rFonts w:ascii="Times New Roman" w:hAnsi="Times New Roman" w:eastAsia="宋体" w:cs="Times New Roman"/>
                <w:b/>
                <w:bCs/>
                <w:color w:val="auto"/>
              </w:rPr>
              <w:t>表2-</w:t>
            </w:r>
            <w:r>
              <w:rPr>
                <w:rFonts w:hint="eastAsia" w:ascii="Times New Roman" w:hAnsi="Times New Roman" w:eastAsia="宋体" w:cs="Times New Roman"/>
                <w:b/>
                <w:bCs/>
                <w:color w:val="auto"/>
              </w:rPr>
              <w:t>1</w:t>
            </w:r>
            <w:r>
              <w:rPr>
                <w:rFonts w:hint="eastAsia" w:cs="Times New Roman"/>
                <w:b/>
                <w:bCs/>
                <w:color w:val="auto"/>
                <w:lang w:val="en-US" w:eastAsia="zh-CN"/>
              </w:rPr>
              <w:t>6</w:t>
            </w:r>
            <w:r>
              <w:rPr>
                <w:rFonts w:hint="eastAsia" w:ascii="Times New Roman" w:hAnsi="Times New Roman" w:eastAsia="宋体" w:cs="Times New Roman"/>
                <w:b/>
                <w:bCs/>
                <w:color w:val="auto"/>
              </w:rPr>
              <w:t xml:space="preserve">  </w:t>
            </w:r>
            <w:r>
              <w:rPr>
                <w:rFonts w:hint="eastAsia" w:cs="Times New Roman"/>
                <w:b/>
                <w:bCs/>
                <w:color w:val="auto"/>
                <w:lang w:val="en-US" w:eastAsia="zh-CN"/>
              </w:rPr>
              <w:t>原有</w:t>
            </w:r>
            <w:r>
              <w:rPr>
                <w:rFonts w:ascii="Times New Roman" w:hAnsi="Times New Roman" w:eastAsia="宋体" w:cs="Times New Roman"/>
                <w:b/>
                <w:bCs/>
                <w:color w:val="auto"/>
              </w:rPr>
              <w:t>项目</w:t>
            </w:r>
            <w:r>
              <w:rPr>
                <w:rFonts w:hint="eastAsia" w:ascii="Times New Roman" w:hAnsi="Times New Roman" w:eastAsia="宋体" w:cs="Times New Roman"/>
                <w:b/>
                <w:bCs/>
                <w:color w:val="auto"/>
              </w:rPr>
              <w:t>主要</w:t>
            </w:r>
            <w:r>
              <w:rPr>
                <w:rFonts w:ascii="Times New Roman" w:hAnsi="Times New Roman" w:eastAsia="宋体" w:cs="Times New Roman"/>
                <w:b/>
                <w:bCs/>
                <w:color w:val="auto"/>
              </w:rPr>
              <w:t>原辅材料消耗</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
              <w:gridCol w:w="1873"/>
              <w:gridCol w:w="1780"/>
              <w:gridCol w:w="1552"/>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jc w:val="center"/>
                    <w:rPr>
                      <w:b/>
                      <w:bCs/>
                      <w:color w:val="auto"/>
                      <w:sz w:val="21"/>
                      <w:szCs w:val="21"/>
                    </w:rPr>
                  </w:pPr>
                  <w:r>
                    <w:rPr>
                      <w:b/>
                      <w:bCs/>
                      <w:color w:val="auto"/>
                      <w:sz w:val="21"/>
                      <w:szCs w:val="21"/>
                    </w:rPr>
                    <w:t>序号</w:t>
                  </w:r>
                </w:p>
              </w:tc>
              <w:tc>
                <w:tcPr>
                  <w:tcW w:w="1873" w:type="dxa"/>
                  <w:vAlign w:val="center"/>
                </w:tcPr>
                <w:p>
                  <w:pPr>
                    <w:jc w:val="center"/>
                    <w:rPr>
                      <w:b/>
                      <w:bCs/>
                      <w:color w:val="auto"/>
                      <w:sz w:val="21"/>
                      <w:szCs w:val="21"/>
                    </w:rPr>
                  </w:pPr>
                  <w:r>
                    <w:rPr>
                      <w:b/>
                      <w:bCs/>
                      <w:color w:val="auto"/>
                      <w:sz w:val="21"/>
                      <w:szCs w:val="21"/>
                    </w:rPr>
                    <w:t>原辅材料名称</w:t>
                  </w:r>
                </w:p>
              </w:tc>
              <w:tc>
                <w:tcPr>
                  <w:tcW w:w="1780" w:type="dxa"/>
                  <w:vAlign w:val="center"/>
                </w:tcPr>
                <w:p>
                  <w:pPr>
                    <w:jc w:val="center"/>
                    <w:rPr>
                      <w:b/>
                      <w:bCs/>
                      <w:color w:val="auto"/>
                      <w:sz w:val="21"/>
                      <w:szCs w:val="21"/>
                    </w:rPr>
                  </w:pPr>
                  <w:r>
                    <w:rPr>
                      <w:b/>
                      <w:bCs/>
                      <w:color w:val="auto"/>
                      <w:sz w:val="21"/>
                      <w:szCs w:val="21"/>
                    </w:rPr>
                    <w:t>原环评报批数量</w:t>
                  </w:r>
                </w:p>
              </w:tc>
              <w:tc>
                <w:tcPr>
                  <w:tcW w:w="1552" w:type="dxa"/>
                  <w:vAlign w:val="center"/>
                </w:tcPr>
                <w:p>
                  <w:pPr>
                    <w:jc w:val="center"/>
                    <w:rPr>
                      <w:b/>
                      <w:bCs/>
                      <w:color w:val="auto"/>
                      <w:sz w:val="21"/>
                      <w:szCs w:val="21"/>
                    </w:rPr>
                  </w:pPr>
                  <w:r>
                    <w:rPr>
                      <w:rFonts w:hint="eastAsia"/>
                      <w:b/>
                      <w:bCs/>
                      <w:color w:val="auto"/>
                      <w:sz w:val="21"/>
                      <w:szCs w:val="21"/>
                    </w:rPr>
                    <w:t>验收时数量</w:t>
                  </w:r>
                </w:p>
              </w:tc>
              <w:tc>
                <w:tcPr>
                  <w:tcW w:w="1237" w:type="dxa"/>
                  <w:vAlign w:val="center"/>
                </w:tcPr>
                <w:p>
                  <w:pPr>
                    <w:jc w:val="center"/>
                    <w:rPr>
                      <w:b/>
                      <w:bCs/>
                      <w:color w:val="auto"/>
                      <w:sz w:val="21"/>
                      <w:szCs w:val="21"/>
                    </w:rPr>
                  </w:pPr>
                  <w:r>
                    <w:rPr>
                      <w:b/>
                      <w:bCs/>
                      <w:color w:val="auto"/>
                      <w:sz w:val="21"/>
                      <w:szCs w:val="21"/>
                    </w:rPr>
                    <w:t>变化情况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370" w:type="dxa"/>
                  <w:gridSpan w:val="5"/>
                  <w:vAlign w:val="center"/>
                </w:tcPr>
                <w:p>
                  <w:pPr>
                    <w:jc w:val="center"/>
                    <w:rPr>
                      <w:rFonts w:hint="default" w:eastAsia="宋体"/>
                      <w:b/>
                      <w:bCs/>
                      <w:color w:val="auto"/>
                      <w:sz w:val="21"/>
                      <w:szCs w:val="21"/>
                      <w:lang w:val="en-US" w:eastAsia="zh-CN"/>
                    </w:rPr>
                  </w:pPr>
                  <w:r>
                    <w:rPr>
                      <w:rFonts w:hint="eastAsia"/>
                      <w:b/>
                      <w:color w:val="auto"/>
                      <w:sz w:val="21"/>
                      <w:szCs w:val="21"/>
                      <w:lang w:val="en-US" w:eastAsia="zh-CN"/>
                    </w:rPr>
                    <w:t>埋弧焊管生产车间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ascii="Times New Roman" w:hAnsi="Times New Roman" w:eastAsia="宋体" w:cs="Times New Roman"/>
                      <w:color w:val="auto"/>
                      <w:sz w:val="21"/>
                      <w:szCs w:val="21"/>
                      <w:lang w:val="en-US" w:eastAsia="zh-CN"/>
                    </w:rPr>
                  </w:pPr>
                  <w:r>
                    <w:rPr>
                      <w:rFonts w:ascii="Times New Roman" w:hAnsi="Times New Roman" w:eastAsia="宋体" w:cs="Times New Roman"/>
                      <w:color w:val="auto"/>
                      <w:sz w:val="21"/>
                      <w:szCs w:val="21"/>
                    </w:rPr>
                    <w:t>1</w:t>
                  </w:r>
                </w:p>
              </w:tc>
              <w:tc>
                <w:tcPr>
                  <w:tcW w:w="187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钢带</w:t>
                  </w:r>
                </w:p>
              </w:tc>
              <w:tc>
                <w:tcPr>
                  <w:tcW w:w="1780"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50528.8t/a</w:t>
                  </w:r>
                </w:p>
              </w:tc>
              <w:tc>
                <w:tcPr>
                  <w:tcW w:w="1552"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50528.8t/a</w:t>
                  </w:r>
                </w:p>
              </w:tc>
              <w:tc>
                <w:tcPr>
                  <w:tcW w:w="1237" w:type="dxa"/>
                  <w:vMerge w:val="restart"/>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cs="Times New Roman"/>
                      <w:color w:val="auto"/>
                      <w:kern w:val="2"/>
                      <w:sz w:val="21"/>
                      <w:szCs w:val="21"/>
                      <w:lang w:val="en-US" w:eastAsia="zh-CN" w:bidi="ar-SA"/>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ascii="Times New Roman" w:hAnsi="Times New Roman" w:eastAsia="宋体" w:cs="Times New Roman"/>
                      <w:color w:val="auto"/>
                      <w:sz w:val="21"/>
                      <w:szCs w:val="21"/>
                      <w:lang w:val="en-US" w:eastAsia="zh-CN"/>
                    </w:rPr>
                  </w:pPr>
                  <w:r>
                    <w:rPr>
                      <w:rFonts w:ascii="Times New Roman" w:hAnsi="Times New Roman" w:eastAsia="宋体" w:cs="Times New Roman"/>
                      <w:color w:val="auto"/>
                      <w:sz w:val="21"/>
                      <w:szCs w:val="21"/>
                    </w:rPr>
                    <w:t>2</w:t>
                  </w:r>
                </w:p>
              </w:tc>
              <w:tc>
                <w:tcPr>
                  <w:tcW w:w="1873" w:type="dxa"/>
                  <w:vAlign w:val="center"/>
                </w:tcPr>
                <w:p>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无铅焊丝</w:t>
                  </w:r>
                </w:p>
              </w:tc>
              <w:tc>
                <w:tcPr>
                  <w:tcW w:w="17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56.3t/a</w:t>
                  </w:r>
                </w:p>
              </w:tc>
              <w:tc>
                <w:tcPr>
                  <w:tcW w:w="1552"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56.3t/a</w:t>
                  </w:r>
                </w:p>
              </w:tc>
              <w:tc>
                <w:tcPr>
                  <w:tcW w:w="1237" w:type="dxa"/>
                  <w:vMerge w:val="continue"/>
                  <w:vAlign w:val="center"/>
                </w:tcPr>
                <w:p>
                  <w:pPr>
                    <w:jc w:val="center"/>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3</w:t>
                  </w:r>
                </w:p>
              </w:tc>
              <w:tc>
                <w:tcPr>
                  <w:tcW w:w="187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焊剂</w:t>
                  </w:r>
                </w:p>
              </w:tc>
              <w:tc>
                <w:tcPr>
                  <w:tcW w:w="17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85.2t/a</w:t>
                  </w:r>
                </w:p>
              </w:tc>
              <w:tc>
                <w:tcPr>
                  <w:tcW w:w="1552"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85.2t/a</w:t>
                  </w:r>
                </w:p>
              </w:tc>
              <w:tc>
                <w:tcPr>
                  <w:tcW w:w="1237" w:type="dxa"/>
                  <w:vMerge w:val="continue"/>
                  <w:vAlign w:val="center"/>
                </w:tcPr>
                <w:p>
                  <w:pPr>
                    <w:jc w:val="center"/>
                    <w:rPr>
                      <w:rFonts w:ascii="Times New Roman" w:hAnsi="Times New Roman" w:eastAsia="宋体" w:cs="Times New Roman"/>
                      <w:bCs/>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4</w:t>
                  </w:r>
                </w:p>
              </w:tc>
              <w:tc>
                <w:tcPr>
                  <w:tcW w:w="1873" w:type="dxa"/>
                  <w:vAlign w:val="center"/>
                </w:tcPr>
                <w:p>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乙炔</w:t>
                  </w:r>
                </w:p>
              </w:tc>
              <w:tc>
                <w:tcPr>
                  <w:tcW w:w="17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21瓶/a</w:t>
                  </w:r>
                </w:p>
              </w:tc>
              <w:tc>
                <w:tcPr>
                  <w:tcW w:w="1552"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21瓶/a</w:t>
                  </w:r>
                </w:p>
              </w:tc>
              <w:tc>
                <w:tcPr>
                  <w:tcW w:w="1237" w:type="dxa"/>
                  <w:vMerge w:val="continue"/>
                  <w:vAlign w:val="center"/>
                </w:tcPr>
                <w:p>
                  <w:pPr>
                    <w:jc w:val="center"/>
                    <w:rPr>
                      <w:rFonts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1873" w:type="dxa"/>
                  <w:vAlign w:val="center"/>
                </w:tcPr>
                <w:p>
                  <w:pPr>
                    <w:jc w:val="center"/>
                    <w:rPr>
                      <w:rFonts w:hint="eastAsia" w:cs="Times New Roman"/>
                      <w:color w:val="auto"/>
                      <w:sz w:val="21"/>
                      <w:szCs w:val="21"/>
                      <w:lang w:val="en-US" w:eastAsia="zh-CN"/>
                    </w:rPr>
                  </w:pPr>
                  <w:r>
                    <w:rPr>
                      <w:rFonts w:hint="eastAsia" w:cs="Times New Roman"/>
                      <w:color w:val="auto"/>
                      <w:sz w:val="21"/>
                      <w:szCs w:val="21"/>
                      <w:lang w:val="en-US" w:eastAsia="zh-CN"/>
                    </w:rPr>
                    <w:t>氧气</w:t>
                  </w:r>
                </w:p>
              </w:tc>
              <w:tc>
                <w:tcPr>
                  <w:tcW w:w="17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21瓶/a</w:t>
                  </w:r>
                </w:p>
              </w:tc>
              <w:tc>
                <w:tcPr>
                  <w:tcW w:w="1552" w:type="dxa"/>
                  <w:vAlign w:val="center"/>
                </w:tcPr>
                <w:p>
                  <w:pPr>
                    <w:jc w:val="center"/>
                    <w:rPr>
                      <w:rFonts w:hint="eastAsia" w:cs="Times New Roman"/>
                      <w:color w:val="auto"/>
                      <w:sz w:val="21"/>
                      <w:szCs w:val="21"/>
                      <w:lang w:val="en-US" w:eastAsia="zh-CN"/>
                    </w:rPr>
                  </w:pPr>
                  <w:r>
                    <w:rPr>
                      <w:rFonts w:hint="eastAsia" w:cs="Times New Roman"/>
                      <w:color w:val="auto"/>
                      <w:sz w:val="21"/>
                      <w:szCs w:val="21"/>
                      <w:lang w:val="en-US" w:eastAsia="zh-CN"/>
                    </w:rPr>
                    <w:t>21瓶/a</w:t>
                  </w:r>
                </w:p>
              </w:tc>
              <w:tc>
                <w:tcPr>
                  <w:tcW w:w="1237" w:type="dxa"/>
                  <w:vMerge w:val="continue"/>
                  <w:vAlign w:val="center"/>
                </w:tcPr>
                <w:p>
                  <w:pPr>
                    <w:jc w:val="center"/>
                    <w:rPr>
                      <w:rFonts w:ascii="Times New Roman" w:hAnsi="Times New Roman" w:eastAsia="宋体" w:cs="Times New Roman"/>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w:t>
                  </w:r>
                </w:p>
              </w:tc>
              <w:tc>
                <w:tcPr>
                  <w:tcW w:w="1873" w:type="dxa"/>
                  <w:vAlign w:val="center"/>
                </w:tcPr>
                <w:p>
                  <w:pPr>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CO</w:t>
                  </w:r>
                  <w:r>
                    <w:rPr>
                      <w:rFonts w:hint="eastAsia" w:cs="Times New Roman"/>
                      <w:color w:val="auto"/>
                      <w:sz w:val="21"/>
                      <w:szCs w:val="21"/>
                      <w:vertAlign w:val="subscript"/>
                      <w:lang w:val="en-US" w:eastAsia="zh-CN"/>
                    </w:rPr>
                    <w:t>2</w:t>
                  </w:r>
                </w:p>
              </w:tc>
              <w:tc>
                <w:tcPr>
                  <w:tcW w:w="17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11瓶/a</w:t>
                  </w:r>
                </w:p>
              </w:tc>
              <w:tc>
                <w:tcPr>
                  <w:tcW w:w="1552"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11瓶/a</w:t>
                  </w:r>
                </w:p>
              </w:tc>
              <w:tc>
                <w:tcPr>
                  <w:tcW w:w="1237" w:type="dxa"/>
                  <w:vMerge w:val="continue"/>
                  <w:vAlign w:val="center"/>
                </w:tcPr>
                <w:p>
                  <w:pPr>
                    <w:jc w:val="center"/>
                    <w:rPr>
                      <w:rFonts w:ascii="Times New Roman" w:hAnsi="Times New Roman" w:eastAsia="宋体" w:cs="Times New Roman"/>
                      <w:bCs/>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370" w:type="dxa"/>
                  <w:gridSpan w:val="5"/>
                  <w:vAlign w:val="center"/>
                </w:tcPr>
                <w:p>
                  <w:pPr>
                    <w:jc w:val="center"/>
                    <w:rPr>
                      <w:rFonts w:hint="default" w:eastAsia="宋体"/>
                      <w:color w:val="FF0000"/>
                      <w:sz w:val="21"/>
                      <w:szCs w:val="21"/>
                      <w:lang w:val="en-US" w:eastAsia="zh-CN"/>
                    </w:rPr>
                  </w:pPr>
                  <w:r>
                    <w:rPr>
                      <w:rFonts w:hint="eastAsia"/>
                      <w:b/>
                      <w:bCs/>
                      <w:color w:val="auto"/>
                      <w:sz w:val="21"/>
                      <w:szCs w:val="21"/>
                      <w:lang w:val="en-US" w:eastAsia="zh-CN"/>
                    </w:rPr>
                    <w:t>涂装车间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7</w:t>
                  </w:r>
                </w:p>
              </w:tc>
              <w:tc>
                <w:tcPr>
                  <w:tcW w:w="187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塑粉</w:t>
                  </w:r>
                </w:p>
              </w:tc>
              <w:tc>
                <w:tcPr>
                  <w:tcW w:w="1780"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170t/a</w:t>
                  </w:r>
                </w:p>
              </w:tc>
              <w:tc>
                <w:tcPr>
                  <w:tcW w:w="1552" w:type="dxa"/>
                  <w:vAlign w:val="center"/>
                </w:tcPr>
                <w:p>
                  <w:pPr>
                    <w:widowControl/>
                    <w:jc w:val="center"/>
                    <w:textAlignment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170t/a</w:t>
                  </w:r>
                </w:p>
              </w:tc>
              <w:tc>
                <w:tcPr>
                  <w:tcW w:w="1237" w:type="dxa"/>
                  <w:vMerge w:val="restart"/>
                  <w:vAlign w:val="center"/>
                </w:tcPr>
                <w:p>
                  <w:pPr>
                    <w:jc w:val="center"/>
                    <w:rPr>
                      <w:rFonts w:hint="default" w:ascii="Times New Roman" w:hAnsi="Times New Roman" w:eastAsia="宋体" w:cs="Times New Roman"/>
                      <w:color w:val="FF0000"/>
                      <w:kern w:val="2"/>
                      <w:sz w:val="21"/>
                      <w:szCs w:val="21"/>
                      <w:lang w:val="en-US" w:eastAsia="zh-CN" w:bidi="ar-SA"/>
                    </w:rPr>
                  </w:pPr>
                  <w:r>
                    <w:rPr>
                      <w:rFonts w:hint="eastAsia" w:cs="Times New Roman"/>
                      <w:color w:val="auto"/>
                      <w:sz w:val="21"/>
                      <w:szCs w:val="21"/>
                      <w:lang w:val="en-US" w:eastAsia="zh-CN"/>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8</w:t>
                  </w:r>
                </w:p>
              </w:tc>
              <w:tc>
                <w:tcPr>
                  <w:tcW w:w="187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8710-2饮水涂料</w:t>
                  </w:r>
                </w:p>
              </w:tc>
              <w:tc>
                <w:tcPr>
                  <w:tcW w:w="1780"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2.99t/a</w:t>
                  </w:r>
                </w:p>
              </w:tc>
              <w:tc>
                <w:tcPr>
                  <w:tcW w:w="1552" w:type="dxa"/>
                  <w:vAlign w:val="center"/>
                </w:tcPr>
                <w:p>
                  <w:pPr>
                    <w:widowControl/>
                    <w:jc w:val="center"/>
                    <w:textAlignment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2.99t/a</w:t>
                  </w:r>
                </w:p>
              </w:tc>
              <w:tc>
                <w:tcPr>
                  <w:tcW w:w="1237" w:type="dxa"/>
                  <w:vMerge w:val="continue"/>
                  <w:vAlign w:val="center"/>
                </w:tcPr>
                <w:p>
                  <w:pPr>
                    <w:jc w:val="center"/>
                    <w:rPr>
                      <w:rFonts w:hint="eastAsia" w:ascii="Times New Roman" w:hAnsi="Times New Roman" w:eastAsia="宋体" w:cs="Times New Roman"/>
                      <w:color w:val="FF0000"/>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9</w:t>
                  </w:r>
                </w:p>
              </w:tc>
              <w:tc>
                <w:tcPr>
                  <w:tcW w:w="187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8710-3涂料</w:t>
                  </w:r>
                </w:p>
              </w:tc>
              <w:tc>
                <w:tcPr>
                  <w:tcW w:w="1780"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2.92t/a</w:t>
                  </w:r>
                </w:p>
              </w:tc>
              <w:tc>
                <w:tcPr>
                  <w:tcW w:w="1552" w:type="dxa"/>
                  <w:vAlign w:val="center"/>
                </w:tcPr>
                <w:p>
                  <w:pPr>
                    <w:widowControl/>
                    <w:jc w:val="center"/>
                    <w:textAlignment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2.92t/a</w:t>
                  </w:r>
                </w:p>
              </w:tc>
              <w:tc>
                <w:tcPr>
                  <w:tcW w:w="1237" w:type="dxa"/>
                  <w:vMerge w:val="continue"/>
                  <w:vAlign w:val="center"/>
                </w:tcPr>
                <w:p>
                  <w:pPr>
                    <w:jc w:val="center"/>
                    <w:rPr>
                      <w:rFonts w:hint="eastAsia" w:ascii="Times New Roman" w:hAnsi="Times New Roman" w:eastAsia="宋体" w:cs="Times New Roman"/>
                      <w:color w:val="FF0000"/>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10</w:t>
                  </w:r>
                </w:p>
              </w:tc>
              <w:tc>
                <w:tcPr>
                  <w:tcW w:w="187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乙酸丁酯</w:t>
                  </w:r>
                </w:p>
              </w:tc>
              <w:tc>
                <w:tcPr>
                  <w:tcW w:w="1780" w:type="dxa"/>
                  <w:vAlign w:val="center"/>
                </w:tcPr>
                <w:p>
                  <w:pPr>
                    <w:widowControl/>
                    <w:jc w:val="center"/>
                    <w:textAlignment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1.18t/a</w:t>
                  </w:r>
                </w:p>
              </w:tc>
              <w:tc>
                <w:tcPr>
                  <w:tcW w:w="1552" w:type="dxa"/>
                  <w:vAlign w:val="center"/>
                </w:tcPr>
                <w:p>
                  <w:pPr>
                    <w:widowControl/>
                    <w:jc w:val="center"/>
                    <w:textAlignment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1.18t/a</w:t>
                  </w:r>
                </w:p>
              </w:tc>
              <w:tc>
                <w:tcPr>
                  <w:tcW w:w="1237" w:type="dxa"/>
                  <w:vMerge w:val="continue"/>
                  <w:vAlign w:val="center"/>
                </w:tcPr>
                <w:p>
                  <w:pPr>
                    <w:jc w:val="center"/>
                    <w:rPr>
                      <w:rFonts w:hint="eastAsia" w:ascii="Times New Roman" w:hAnsi="Times New Roman" w:eastAsia="宋体" w:cs="Times New Roman"/>
                      <w:color w:val="FF0000"/>
                      <w:kern w:val="2"/>
                      <w:sz w:val="21"/>
                      <w:szCs w:val="21"/>
                      <w:lang w:val="en-US" w:eastAsia="zh-CN" w:bidi="ar-SA"/>
                    </w:rPr>
                  </w:pPr>
                </w:p>
              </w:tc>
            </w:tr>
          </w:tbl>
          <w:p>
            <w:pPr>
              <w:pStyle w:val="40"/>
              <w:spacing w:line="240" w:lineRule="auto"/>
              <w:rPr>
                <w:color w:val="FF0000"/>
              </w:rPr>
            </w:pPr>
          </w:p>
          <w:p>
            <w:pPr>
              <w:spacing w:line="240" w:lineRule="auto"/>
              <w:jc w:val="left"/>
              <w:rPr>
                <w:rFonts w:hint="eastAsia"/>
                <w:b/>
                <w:color w:val="FF0000"/>
                <w:szCs w:val="24"/>
              </w:rPr>
            </w:pPr>
          </w:p>
          <w:p>
            <w:pPr>
              <w:spacing w:line="360" w:lineRule="auto"/>
              <w:jc w:val="left"/>
              <w:rPr>
                <w:b/>
                <w:color w:val="auto"/>
                <w:szCs w:val="24"/>
              </w:rPr>
            </w:pPr>
            <w:r>
              <w:rPr>
                <w:rFonts w:hint="eastAsia"/>
                <w:b/>
                <w:color w:val="auto"/>
                <w:szCs w:val="24"/>
              </w:rPr>
              <w:t>2.</w:t>
            </w:r>
            <w:r>
              <w:rPr>
                <w:rFonts w:hint="eastAsia"/>
                <w:b/>
                <w:color w:val="auto"/>
                <w:szCs w:val="24"/>
                <w:lang w:val="en-US" w:eastAsia="zh-CN"/>
              </w:rPr>
              <w:t>1</w:t>
            </w:r>
            <w:r>
              <w:rPr>
                <w:rFonts w:hint="eastAsia"/>
                <w:b/>
                <w:color w:val="auto"/>
                <w:szCs w:val="24"/>
              </w:rPr>
              <w:t>2.</w:t>
            </w:r>
            <w:r>
              <w:rPr>
                <w:rFonts w:hint="eastAsia"/>
                <w:b/>
                <w:color w:val="auto"/>
                <w:szCs w:val="24"/>
                <w:lang w:val="en-US" w:eastAsia="zh-CN"/>
              </w:rPr>
              <w:t>6原有</w:t>
            </w:r>
            <w:r>
              <w:rPr>
                <w:rFonts w:hint="eastAsia"/>
                <w:b/>
                <w:color w:val="auto"/>
                <w:szCs w:val="24"/>
              </w:rPr>
              <w:t>项目主要污染物产排情况汇总</w:t>
            </w:r>
          </w:p>
          <w:p>
            <w:pPr>
              <w:pStyle w:val="40"/>
              <w:spacing w:line="360" w:lineRule="auto"/>
              <w:ind w:firstLine="480" w:firstLineChars="200"/>
              <w:rPr>
                <w:rFonts w:ascii="Times New Roman"/>
                <w:color w:val="auto"/>
              </w:rPr>
            </w:pPr>
            <w:r>
              <w:rPr>
                <w:rFonts w:ascii="Times New Roman"/>
                <w:color w:val="auto"/>
              </w:rPr>
              <w:t>（</w:t>
            </w:r>
            <w:r>
              <w:rPr>
                <w:rFonts w:ascii="Times New Roman" w:hAnsi="Times New Roman"/>
                <w:color w:val="auto"/>
              </w:rPr>
              <w:t>1</w:t>
            </w:r>
            <w:r>
              <w:rPr>
                <w:rFonts w:ascii="Times New Roman"/>
                <w:color w:val="auto"/>
              </w:rPr>
              <w:t>）</w:t>
            </w:r>
            <w:r>
              <w:rPr>
                <w:rFonts w:hint="eastAsia" w:ascii="Times New Roman"/>
                <w:color w:val="auto"/>
              </w:rPr>
              <w:t>废水</w:t>
            </w:r>
          </w:p>
          <w:p>
            <w:pPr>
              <w:spacing w:line="360" w:lineRule="auto"/>
              <w:ind w:firstLine="480" w:firstLineChars="200"/>
              <w:rPr>
                <w:color w:val="auto"/>
              </w:rPr>
            </w:pPr>
            <w:r>
              <w:rPr>
                <w:rFonts w:hint="eastAsia" w:cs="Times New Roman"/>
                <w:color w:val="auto"/>
                <w:kern w:val="0"/>
                <w:sz w:val="24"/>
                <w:szCs w:val="24"/>
                <w:lang w:val="en-US" w:eastAsia="zh-CN" w:bidi="ar"/>
              </w:rPr>
              <w:t>原有</w:t>
            </w:r>
            <w:r>
              <w:rPr>
                <w:rFonts w:hint="eastAsia" w:eastAsia="宋体" w:cs="Times New Roman"/>
                <w:color w:val="auto"/>
                <w:kern w:val="0"/>
                <w:sz w:val="24"/>
                <w:szCs w:val="24"/>
                <w:lang w:val="en-US" w:eastAsia="zh-CN" w:bidi="ar"/>
              </w:rPr>
              <w:t>项目产生的废水包括生活污水、中频炉循环冷却水、钢管冷却水、试压废水，其中中频炉循环冷却水、钢管冷却水、试压废水</w:t>
            </w:r>
            <w:r>
              <w:rPr>
                <w:rFonts w:hint="eastAsia" w:cs="Times New Roman"/>
                <w:color w:val="auto"/>
                <w:kern w:val="0"/>
                <w:sz w:val="24"/>
                <w:szCs w:val="24"/>
                <w:lang w:val="en-US" w:eastAsia="zh-CN" w:bidi="ar"/>
              </w:rPr>
              <w:t>均</w:t>
            </w:r>
            <w:r>
              <w:rPr>
                <w:rFonts w:hint="eastAsia" w:eastAsia="宋体" w:cs="Times New Roman"/>
                <w:color w:val="auto"/>
                <w:kern w:val="0"/>
                <w:sz w:val="24"/>
                <w:szCs w:val="24"/>
                <w:lang w:val="en-US" w:eastAsia="zh-CN" w:bidi="ar"/>
              </w:rPr>
              <w:t>循环使用</w:t>
            </w:r>
            <w:r>
              <w:rPr>
                <w:rFonts w:hint="eastAsia" w:cs="Times New Roman"/>
                <w:color w:val="auto"/>
                <w:kern w:val="0"/>
                <w:sz w:val="24"/>
                <w:szCs w:val="24"/>
                <w:lang w:val="en-US" w:eastAsia="zh-CN" w:bidi="ar"/>
              </w:rPr>
              <w:t>，</w:t>
            </w:r>
            <w:r>
              <w:rPr>
                <w:rFonts w:hint="eastAsia" w:eastAsia="宋体" w:cs="Times New Roman"/>
                <w:color w:val="auto"/>
                <w:kern w:val="0"/>
                <w:sz w:val="24"/>
                <w:szCs w:val="24"/>
                <w:lang w:val="en-US" w:eastAsia="zh-CN" w:bidi="ar"/>
              </w:rPr>
              <w:t>不排放；生活污水经化粪池预处理后纳管至德清县钟管科亮环保科技有限公司集中处理，达标排放。</w:t>
            </w:r>
            <w:r>
              <w:rPr>
                <w:rFonts w:hint="eastAsia"/>
                <w:bCs/>
                <w:color w:val="auto"/>
                <w:lang w:val="en-US" w:eastAsia="zh-CN"/>
              </w:rPr>
              <w:t>生活污水</w:t>
            </w:r>
            <w:r>
              <w:rPr>
                <w:bCs/>
                <w:color w:val="auto"/>
              </w:rPr>
              <w:t>具体说明详见表</w:t>
            </w:r>
            <w:r>
              <w:rPr>
                <w:rFonts w:hint="eastAsia"/>
                <w:bCs/>
                <w:color w:val="auto"/>
              </w:rPr>
              <w:t>2</w:t>
            </w:r>
            <w:r>
              <w:rPr>
                <w:bCs/>
                <w:color w:val="auto"/>
              </w:rPr>
              <w:t>-1</w:t>
            </w:r>
            <w:r>
              <w:rPr>
                <w:rFonts w:hint="eastAsia"/>
                <w:bCs/>
                <w:color w:val="auto"/>
                <w:lang w:val="en-US" w:eastAsia="zh-CN"/>
              </w:rPr>
              <w:t>7</w:t>
            </w:r>
            <w:r>
              <w:rPr>
                <w:bCs/>
                <w:color w:val="auto"/>
              </w:rPr>
              <w:t>。</w:t>
            </w:r>
          </w:p>
          <w:p>
            <w:pPr>
              <w:spacing w:line="360" w:lineRule="auto"/>
              <w:jc w:val="center"/>
              <w:rPr>
                <w:rFonts w:ascii="Times New Roman" w:hAnsi="Times New Roman" w:eastAsia="宋体" w:cs="Times New Roman"/>
                <w:b/>
                <w:bCs/>
                <w:color w:val="auto"/>
              </w:rPr>
            </w:pPr>
            <w:r>
              <w:rPr>
                <w:rFonts w:ascii="Times New Roman" w:hAnsi="Times New Roman" w:eastAsia="宋体" w:cs="Times New Roman"/>
                <w:b/>
                <w:bCs/>
                <w:color w:val="auto"/>
              </w:rPr>
              <w:t>表</w:t>
            </w:r>
            <w:r>
              <w:rPr>
                <w:rFonts w:hint="eastAsia" w:ascii="Times New Roman" w:hAnsi="Times New Roman" w:eastAsia="宋体" w:cs="Times New Roman"/>
                <w:b/>
                <w:bCs/>
                <w:color w:val="auto"/>
              </w:rPr>
              <w:t>2</w:t>
            </w:r>
            <w:r>
              <w:rPr>
                <w:rFonts w:ascii="Times New Roman" w:hAnsi="Times New Roman" w:eastAsia="宋体" w:cs="Times New Roman"/>
                <w:b/>
                <w:bCs/>
                <w:color w:val="auto"/>
              </w:rPr>
              <w:t>-1</w:t>
            </w:r>
            <w:r>
              <w:rPr>
                <w:rFonts w:hint="eastAsia" w:eastAsia="宋体" w:cs="Times New Roman"/>
                <w:b/>
                <w:bCs/>
                <w:color w:val="auto"/>
                <w:lang w:val="en-US" w:eastAsia="zh-CN"/>
              </w:rPr>
              <w:t>7</w:t>
            </w:r>
            <w:r>
              <w:rPr>
                <w:rFonts w:hint="eastAsia" w:ascii="Times New Roman" w:hAnsi="Times New Roman" w:eastAsia="宋体" w:cs="Times New Roman"/>
                <w:b/>
                <w:bCs/>
                <w:color w:val="auto"/>
              </w:rPr>
              <w:t xml:space="preserve">  </w:t>
            </w:r>
            <w:r>
              <w:rPr>
                <w:rFonts w:ascii="Times New Roman" w:hAnsi="Times New Roman" w:eastAsia="宋体" w:cs="Times New Roman"/>
                <w:b/>
                <w:bCs/>
                <w:color w:val="auto"/>
              </w:rPr>
              <w:t>项目废水说明一览表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6"/>
              <w:gridCol w:w="859"/>
              <w:gridCol w:w="679"/>
              <w:gridCol w:w="1093"/>
              <w:gridCol w:w="697"/>
              <w:gridCol w:w="889"/>
              <w:gridCol w:w="734"/>
              <w:gridCol w:w="749"/>
              <w:gridCol w:w="1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446" w:type="dxa"/>
                  <w:vAlign w:val="center"/>
                </w:tcPr>
                <w:p>
                  <w:pPr>
                    <w:jc w:val="center"/>
                    <w:rPr>
                      <w:b/>
                      <w:bCs/>
                      <w:color w:val="auto"/>
                      <w:sz w:val="21"/>
                      <w:szCs w:val="21"/>
                    </w:rPr>
                  </w:pPr>
                  <w:r>
                    <w:rPr>
                      <w:b/>
                      <w:bCs/>
                      <w:color w:val="auto"/>
                      <w:sz w:val="21"/>
                      <w:szCs w:val="21"/>
                    </w:rPr>
                    <w:t>序号</w:t>
                  </w:r>
                </w:p>
              </w:tc>
              <w:tc>
                <w:tcPr>
                  <w:tcW w:w="859" w:type="dxa"/>
                  <w:vAlign w:val="center"/>
                </w:tcPr>
                <w:p>
                  <w:pPr>
                    <w:jc w:val="center"/>
                    <w:rPr>
                      <w:b/>
                      <w:bCs/>
                      <w:color w:val="auto"/>
                      <w:sz w:val="21"/>
                      <w:szCs w:val="21"/>
                    </w:rPr>
                  </w:pPr>
                  <w:r>
                    <w:rPr>
                      <w:b/>
                      <w:bCs/>
                      <w:color w:val="auto"/>
                      <w:sz w:val="21"/>
                      <w:szCs w:val="21"/>
                    </w:rPr>
                    <w:t>废水类别</w:t>
                  </w:r>
                </w:p>
              </w:tc>
              <w:tc>
                <w:tcPr>
                  <w:tcW w:w="679" w:type="dxa"/>
                  <w:vAlign w:val="center"/>
                </w:tcPr>
                <w:p>
                  <w:pPr>
                    <w:adjustRightInd w:val="0"/>
                    <w:snapToGrid w:val="0"/>
                    <w:jc w:val="center"/>
                    <w:rPr>
                      <w:b/>
                      <w:bCs/>
                      <w:color w:val="auto"/>
                      <w:sz w:val="21"/>
                      <w:szCs w:val="21"/>
                    </w:rPr>
                  </w:pPr>
                  <w:r>
                    <w:rPr>
                      <w:b/>
                      <w:bCs/>
                      <w:color w:val="auto"/>
                      <w:sz w:val="21"/>
                      <w:szCs w:val="21"/>
                    </w:rPr>
                    <w:t>来源</w:t>
                  </w:r>
                </w:p>
              </w:tc>
              <w:tc>
                <w:tcPr>
                  <w:tcW w:w="1093" w:type="dxa"/>
                  <w:vAlign w:val="center"/>
                </w:tcPr>
                <w:p>
                  <w:pPr>
                    <w:adjustRightInd w:val="0"/>
                    <w:snapToGrid w:val="0"/>
                    <w:jc w:val="center"/>
                    <w:rPr>
                      <w:b/>
                      <w:bCs/>
                      <w:color w:val="auto"/>
                      <w:sz w:val="21"/>
                      <w:szCs w:val="21"/>
                    </w:rPr>
                  </w:pPr>
                  <w:r>
                    <w:rPr>
                      <w:b/>
                      <w:bCs/>
                      <w:color w:val="auto"/>
                      <w:sz w:val="21"/>
                      <w:szCs w:val="21"/>
                    </w:rPr>
                    <w:t>污染物种类</w:t>
                  </w:r>
                </w:p>
              </w:tc>
              <w:tc>
                <w:tcPr>
                  <w:tcW w:w="697" w:type="dxa"/>
                  <w:vAlign w:val="center"/>
                </w:tcPr>
                <w:p>
                  <w:pPr>
                    <w:adjustRightInd w:val="0"/>
                    <w:snapToGrid w:val="0"/>
                    <w:jc w:val="center"/>
                    <w:rPr>
                      <w:b/>
                      <w:bCs/>
                      <w:color w:val="auto"/>
                      <w:sz w:val="21"/>
                      <w:szCs w:val="21"/>
                    </w:rPr>
                  </w:pPr>
                  <w:r>
                    <w:rPr>
                      <w:b/>
                      <w:bCs/>
                      <w:color w:val="auto"/>
                      <w:sz w:val="21"/>
                      <w:szCs w:val="21"/>
                    </w:rPr>
                    <w:t>排放规律</w:t>
                  </w:r>
                </w:p>
              </w:tc>
              <w:tc>
                <w:tcPr>
                  <w:tcW w:w="889" w:type="dxa"/>
                  <w:vAlign w:val="center"/>
                </w:tcPr>
                <w:p>
                  <w:pPr>
                    <w:adjustRightInd w:val="0"/>
                    <w:snapToGrid w:val="0"/>
                    <w:jc w:val="center"/>
                    <w:rPr>
                      <w:b/>
                      <w:bCs/>
                      <w:color w:val="auto"/>
                      <w:sz w:val="21"/>
                      <w:szCs w:val="21"/>
                    </w:rPr>
                  </w:pPr>
                  <w:r>
                    <w:rPr>
                      <w:b/>
                      <w:bCs/>
                      <w:color w:val="auto"/>
                      <w:sz w:val="21"/>
                      <w:szCs w:val="21"/>
                    </w:rPr>
                    <w:t>排放量</w:t>
                  </w:r>
                </w:p>
              </w:tc>
              <w:tc>
                <w:tcPr>
                  <w:tcW w:w="734" w:type="dxa"/>
                  <w:vAlign w:val="center"/>
                </w:tcPr>
                <w:p>
                  <w:pPr>
                    <w:adjustRightInd w:val="0"/>
                    <w:snapToGrid w:val="0"/>
                    <w:jc w:val="center"/>
                    <w:rPr>
                      <w:b/>
                      <w:bCs/>
                      <w:color w:val="auto"/>
                      <w:sz w:val="21"/>
                      <w:szCs w:val="21"/>
                    </w:rPr>
                  </w:pPr>
                  <w:r>
                    <w:rPr>
                      <w:b/>
                      <w:bCs/>
                      <w:color w:val="auto"/>
                      <w:sz w:val="21"/>
                      <w:szCs w:val="21"/>
                    </w:rPr>
                    <w:t>治理设施</w:t>
                  </w:r>
                </w:p>
              </w:tc>
              <w:tc>
                <w:tcPr>
                  <w:tcW w:w="749" w:type="dxa"/>
                  <w:vAlign w:val="center"/>
                </w:tcPr>
                <w:p>
                  <w:pPr>
                    <w:adjustRightInd w:val="0"/>
                    <w:snapToGrid w:val="0"/>
                    <w:jc w:val="center"/>
                    <w:rPr>
                      <w:b/>
                      <w:bCs/>
                      <w:color w:val="auto"/>
                      <w:sz w:val="21"/>
                      <w:szCs w:val="21"/>
                    </w:rPr>
                  </w:pPr>
                  <w:r>
                    <w:rPr>
                      <w:b/>
                      <w:bCs/>
                      <w:color w:val="auto"/>
                      <w:sz w:val="21"/>
                      <w:szCs w:val="21"/>
                    </w:rPr>
                    <w:t>工艺</w:t>
                  </w:r>
                </w:p>
              </w:tc>
              <w:tc>
                <w:tcPr>
                  <w:tcW w:w="1225" w:type="dxa"/>
                  <w:vAlign w:val="center"/>
                </w:tcPr>
                <w:p>
                  <w:pPr>
                    <w:adjustRightInd w:val="0"/>
                    <w:snapToGrid w:val="0"/>
                    <w:jc w:val="center"/>
                    <w:rPr>
                      <w:b/>
                      <w:bCs/>
                      <w:color w:val="auto"/>
                      <w:sz w:val="21"/>
                      <w:szCs w:val="21"/>
                    </w:rPr>
                  </w:pPr>
                  <w:r>
                    <w:rPr>
                      <w:b/>
                      <w:bCs/>
                      <w:color w:val="auto"/>
                      <w:sz w:val="21"/>
                      <w:szCs w:val="21"/>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446" w:type="dxa"/>
                  <w:vAlign w:val="center"/>
                </w:tcPr>
                <w:p>
                  <w:pPr>
                    <w:jc w:val="center"/>
                    <w:rPr>
                      <w:bCs/>
                      <w:color w:val="auto"/>
                      <w:sz w:val="21"/>
                      <w:szCs w:val="21"/>
                    </w:rPr>
                  </w:pPr>
                  <w:r>
                    <w:rPr>
                      <w:bCs/>
                      <w:color w:val="auto"/>
                      <w:sz w:val="21"/>
                      <w:szCs w:val="21"/>
                    </w:rPr>
                    <w:t>1</w:t>
                  </w:r>
                </w:p>
              </w:tc>
              <w:tc>
                <w:tcPr>
                  <w:tcW w:w="859" w:type="dxa"/>
                  <w:vAlign w:val="center"/>
                </w:tcPr>
                <w:p>
                  <w:pPr>
                    <w:jc w:val="center"/>
                    <w:rPr>
                      <w:bCs/>
                      <w:color w:val="auto"/>
                      <w:sz w:val="21"/>
                      <w:szCs w:val="21"/>
                    </w:rPr>
                  </w:pPr>
                  <w:r>
                    <w:rPr>
                      <w:bCs/>
                      <w:color w:val="auto"/>
                      <w:sz w:val="21"/>
                      <w:szCs w:val="21"/>
                    </w:rPr>
                    <w:t>生活污水</w:t>
                  </w:r>
                </w:p>
              </w:tc>
              <w:tc>
                <w:tcPr>
                  <w:tcW w:w="679" w:type="dxa"/>
                  <w:vAlign w:val="center"/>
                </w:tcPr>
                <w:p>
                  <w:pPr>
                    <w:jc w:val="center"/>
                    <w:rPr>
                      <w:bCs/>
                      <w:color w:val="auto"/>
                      <w:sz w:val="21"/>
                      <w:szCs w:val="21"/>
                    </w:rPr>
                  </w:pPr>
                  <w:r>
                    <w:rPr>
                      <w:bCs/>
                      <w:color w:val="auto"/>
                      <w:sz w:val="21"/>
                      <w:szCs w:val="21"/>
                    </w:rPr>
                    <w:t>职工生活</w:t>
                  </w:r>
                </w:p>
              </w:tc>
              <w:tc>
                <w:tcPr>
                  <w:tcW w:w="1093" w:type="dxa"/>
                  <w:vAlign w:val="center"/>
                </w:tcPr>
                <w:p>
                  <w:pPr>
                    <w:jc w:val="center"/>
                    <w:rPr>
                      <w:bCs/>
                      <w:color w:val="auto"/>
                      <w:sz w:val="21"/>
                      <w:szCs w:val="21"/>
                    </w:rPr>
                  </w:pPr>
                  <w:r>
                    <w:rPr>
                      <w:bCs/>
                      <w:color w:val="auto"/>
                      <w:sz w:val="21"/>
                      <w:szCs w:val="21"/>
                    </w:rPr>
                    <w:t>化学需氧量、氨氮</w:t>
                  </w:r>
                </w:p>
              </w:tc>
              <w:tc>
                <w:tcPr>
                  <w:tcW w:w="697" w:type="dxa"/>
                  <w:vAlign w:val="center"/>
                </w:tcPr>
                <w:p>
                  <w:pPr>
                    <w:jc w:val="center"/>
                    <w:rPr>
                      <w:bCs/>
                      <w:color w:val="auto"/>
                      <w:sz w:val="21"/>
                      <w:szCs w:val="21"/>
                    </w:rPr>
                  </w:pPr>
                  <w:r>
                    <w:rPr>
                      <w:bCs/>
                      <w:color w:val="auto"/>
                      <w:sz w:val="21"/>
                      <w:szCs w:val="21"/>
                    </w:rPr>
                    <w:t>连续</w:t>
                  </w:r>
                </w:p>
              </w:tc>
              <w:tc>
                <w:tcPr>
                  <w:tcW w:w="889" w:type="dxa"/>
                  <w:vAlign w:val="center"/>
                </w:tcPr>
                <w:p>
                  <w:pPr>
                    <w:jc w:val="center"/>
                    <w:rPr>
                      <w:bCs/>
                      <w:color w:val="auto"/>
                      <w:sz w:val="21"/>
                      <w:szCs w:val="21"/>
                    </w:rPr>
                  </w:pPr>
                  <w:r>
                    <w:rPr>
                      <w:rFonts w:hint="eastAsia"/>
                      <w:bCs/>
                      <w:color w:val="auto"/>
                      <w:sz w:val="21"/>
                      <w:szCs w:val="21"/>
                      <w:lang w:val="en-US" w:eastAsia="zh-CN"/>
                    </w:rPr>
                    <w:t>1020</w:t>
                  </w:r>
                  <w:r>
                    <w:rPr>
                      <w:bCs/>
                      <w:color w:val="auto"/>
                      <w:sz w:val="21"/>
                      <w:szCs w:val="21"/>
                    </w:rPr>
                    <w:t>t/a</w:t>
                  </w:r>
                </w:p>
              </w:tc>
              <w:tc>
                <w:tcPr>
                  <w:tcW w:w="734" w:type="dxa"/>
                  <w:vAlign w:val="center"/>
                </w:tcPr>
                <w:p>
                  <w:pPr>
                    <w:jc w:val="center"/>
                    <w:rPr>
                      <w:bCs/>
                      <w:color w:val="auto"/>
                      <w:sz w:val="21"/>
                      <w:szCs w:val="21"/>
                    </w:rPr>
                  </w:pPr>
                  <w:r>
                    <w:rPr>
                      <w:bCs/>
                      <w:color w:val="auto"/>
                      <w:sz w:val="21"/>
                      <w:szCs w:val="21"/>
                    </w:rPr>
                    <w:t>化粪池</w:t>
                  </w:r>
                </w:p>
              </w:tc>
              <w:tc>
                <w:tcPr>
                  <w:tcW w:w="749" w:type="dxa"/>
                  <w:vAlign w:val="center"/>
                </w:tcPr>
                <w:p>
                  <w:pPr>
                    <w:jc w:val="center"/>
                    <w:rPr>
                      <w:bCs/>
                      <w:color w:val="auto"/>
                      <w:sz w:val="21"/>
                      <w:szCs w:val="21"/>
                    </w:rPr>
                  </w:pPr>
                  <w:r>
                    <w:rPr>
                      <w:bCs/>
                      <w:color w:val="auto"/>
                      <w:sz w:val="21"/>
                      <w:szCs w:val="21"/>
                    </w:rPr>
                    <w:t>厌氧处理</w:t>
                  </w:r>
                </w:p>
              </w:tc>
              <w:tc>
                <w:tcPr>
                  <w:tcW w:w="1225" w:type="dxa"/>
                  <w:vAlign w:val="center"/>
                </w:tcPr>
                <w:p>
                  <w:pPr>
                    <w:jc w:val="center"/>
                    <w:rPr>
                      <w:bCs/>
                      <w:color w:val="auto"/>
                      <w:sz w:val="21"/>
                      <w:szCs w:val="21"/>
                    </w:rPr>
                  </w:pPr>
                  <w:r>
                    <w:rPr>
                      <w:bCs/>
                      <w:color w:val="auto"/>
                      <w:sz w:val="21"/>
                      <w:szCs w:val="21"/>
                    </w:rPr>
                    <w:t>进入</w:t>
                  </w:r>
                  <w:r>
                    <w:rPr>
                      <w:rFonts w:hint="eastAsia"/>
                      <w:bCs/>
                      <w:color w:val="auto"/>
                      <w:sz w:val="21"/>
                      <w:szCs w:val="21"/>
                    </w:rPr>
                    <w:t>污水处理厂</w:t>
                  </w:r>
                </w:p>
              </w:tc>
            </w:tr>
          </w:tbl>
          <w:p>
            <w:pPr>
              <w:spacing w:line="240" w:lineRule="auto"/>
              <w:jc w:val="left"/>
              <w:rPr>
                <w:rFonts w:hint="eastAsia" w:ascii="Times New Roman" w:hAnsi="Times New Roman" w:cs="Times New Roman"/>
                <w:b/>
                <w:color w:val="FF0000"/>
                <w:szCs w:val="24"/>
                <w:lang w:val="en-US" w:eastAsia="zh-CN"/>
              </w:rPr>
            </w:pPr>
          </w:p>
          <w:p>
            <w:pPr>
              <w:spacing w:line="360" w:lineRule="auto"/>
              <w:ind w:firstLine="480" w:firstLineChars="200"/>
              <w:rPr>
                <w:bCs/>
                <w:color w:val="auto"/>
              </w:rPr>
            </w:pPr>
            <w:r>
              <w:rPr>
                <w:bCs/>
                <w:color w:val="auto"/>
              </w:rPr>
              <w:t>根据《</w:t>
            </w:r>
            <w:r>
              <w:rPr>
                <w:rFonts w:hint="eastAsia" w:eastAsia="宋体"/>
                <w:bCs/>
                <w:color w:val="auto"/>
                <w:lang w:eastAsia="zh-CN"/>
              </w:rPr>
              <w:t>浙江</w:t>
            </w:r>
            <w:r>
              <w:rPr>
                <w:rFonts w:hint="eastAsia" w:eastAsia="宋体"/>
                <w:bCs/>
                <w:color w:val="auto"/>
                <w:lang w:val="en-US" w:eastAsia="zh-CN"/>
              </w:rPr>
              <w:t>鑫桦钢管</w:t>
            </w:r>
            <w:r>
              <w:rPr>
                <w:rFonts w:hint="eastAsia" w:eastAsia="宋体"/>
                <w:bCs/>
                <w:color w:val="auto"/>
                <w:lang w:eastAsia="zh-CN"/>
              </w:rPr>
              <w:t>有限公司</w:t>
            </w:r>
            <w:r>
              <w:rPr>
                <w:rFonts w:hint="eastAsia" w:eastAsia="宋体"/>
                <w:bCs/>
                <w:color w:val="auto"/>
                <w:lang w:val="en-US" w:eastAsia="zh-CN"/>
              </w:rPr>
              <w:t>年产</w:t>
            </w:r>
            <w:r>
              <w:rPr>
                <w:rFonts w:hint="default" w:eastAsia="宋体"/>
                <w:bCs/>
                <w:color w:val="auto"/>
                <w:lang w:val="en-US" w:eastAsia="zh-CN"/>
              </w:rPr>
              <w:t>100</w:t>
            </w:r>
            <w:r>
              <w:rPr>
                <w:rFonts w:hint="eastAsia" w:eastAsia="宋体"/>
                <w:bCs/>
                <w:color w:val="auto"/>
                <w:lang w:val="en-US" w:eastAsia="zh-CN"/>
              </w:rPr>
              <w:t>万平方米内外环氧粉末、</w:t>
            </w:r>
            <w:r>
              <w:rPr>
                <w:rFonts w:hint="default" w:eastAsia="宋体"/>
                <w:bCs/>
                <w:color w:val="auto"/>
                <w:lang w:val="en-US" w:eastAsia="zh-CN"/>
              </w:rPr>
              <w:t>5.6</w:t>
            </w:r>
            <w:r>
              <w:rPr>
                <w:rFonts w:hint="eastAsia" w:eastAsia="宋体"/>
                <w:bCs/>
                <w:color w:val="auto"/>
                <w:lang w:val="en-US" w:eastAsia="zh-CN"/>
              </w:rPr>
              <w:t>万平方米内</w:t>
            </w:r>
            <w:r>
              <w:rPr>
                <w:rFonts w:hint="default" w:eastAsia="宋体"/>
                <w:bCs/>
                <w:color w:val="auto"/>
                <w:lang w:val="en-US" w:eastAsia="zh-CN"/>
              </w:rPr>
              <w:t>8710-2</w:t>
            </w:r>
            <w:r>
              <w:rPr>
                <w:rFonts w:hint="eastAsia" w:eastAsia="宋体"/>
                <w:bCs/>
                <w:color w:val="auto"/>
                <w:lang w:val="en-US" w:eastAsia="zh-CN"/>
              </w:rPr>
              <w:t>饮用水涂料外</w:t>
            </w:r>
            <w:r>
              <w:rPr>
                <w:rFonts w:hint="default" w:eastAsia="宋体"/>
                <w:bCs/>
                <w:color w:val="auto"/>
                <w:lang w:val="en-US" w:eastAsia="zh-CN"/>
              </w:rPr>
              <w:t>8710-3</w:t>
            </w:r>
            <w:r>
              <w:rPr>
                <w:rFonts w:hint="eastAsia" w:eastAsia="宋体"/>
                <w:bCs/>
                <w:color w:val="auto"/>
                <w:lang w:val="en-US" w:eastAsia="zh-CN"/>
              </w:rPr>
              <w:t>涂料喷涂钢管项目环境保护设施竣工验收监测与评价报告</w:t>
            </w:r>
            <w:r>
              <w:rPr>
                <w:rFonts w:hint="eastAsia" w:eastAsia="宋体"/>
                <w:bCs/>
                <w:color w:val="auto"/>
              </w:rPr>
              <w:t>》（以下简称</w:t>
            </w:r>
            <w:r>
              <w:rPr>
                <w:rFonts w:hint="eastAsia" w:eastAsia="宋体"/>
                <w:bCs/>
                <w:color w:val="auto"/>
                <w:lang w:val="en-US" w:eastAsia="zh-CN"/>
              </w:rPr>
              <w:t>鑫桦</w:t>
            </w:r>
            <w:r>
              <w:rPr>
                <w:rFonts w:hint="eastAsia" w:eastAsia="宋体" w:cs="Times New Roman"/>
                <w:bCs/>
                <w:color w:val="auto"/>
                <w:lang w:val="en-US" w:eastAsia="zh-CN"/>
              </w:rPr>
              <w:t>公司</w:t>
            </w:r>
            <w:r>
              <w:rPr>
                <w:rFonts w:hint="eastAsia"/>
                <w:bCs/>
                <w:color w:val="auto"/>
              </w:rPr>
              <w:t>验收监测报告，监测时间为</w:t>
            </w:r>
            <w:r>
              <w:rPr>
                <w:bCs/>
                <w:color w:val="auto"/>
              </w:rPr>
              <w:t>202</w:t>
            </w:r>
            <w:r>
              <w:rPr>
                <w:rFonts w:hint="eastAsia"/>
                <w:bCs/>
                <w:color w:val="auto"/>
                <w:lang w:val="en-US" w:eastAsia="zh-CN"/>
              </w:rPr>
              <w:t>1</w:t>
            </w:r>
            <w:r>
              <w:rPr>
                <w:rFonts w:hint="eastAsia"/>
                <w:bCs/>
                <w:color w:val="auto"/>
              </w:rPr>
              <w:t>年</w:t>
            </w:r>
            <w:r>
              <w:rPr>
                <w:rFonts w:hint="eastAsia"/>
                <w:bCs/>
                <w:color w:val="auto"/>
                <w:lang w:val="en-US" w:eastAsia="zh-CN"/>
              </w:rPr>
              <w:t>12</w:t>
            </w:r>
            <w:r>
              <w:rPr>
                <w:rFonts w:hint="eastAsia"/>
                <w:bCs/>
                <w:color w:val="auto"/>
              </w:rPr>
              <w:t>月</w:t>
            </w:r>
            <w:r>
              <w:rPr>
                <w:rFonts w:hint="eastAsia"/>
                <w:bCs/>
                <w:color w:val="auto"/>
                <w:lang w:val="en-US" w:eastAsia="zh-CN"/>
              </w:rPr>
              <w:t>8</w:t>
            </w:r>
            <w:r>
              <w:rPr>
                <w:rFonts w:hint="eastAsia"/>
                <w:bCs/>
                <w:color w:val="auto"/>
              </w:rPr>
              <w:t>日</w:t>
            </w:r>
            <w:r>
              <w:rPr>
                <w:rFonts w:hint="eastAsia"/>
                <w:bCs/>
                <w:color w:val="auto"/>
                <w:lang w:val="en-US" w:eastAsia="zh-CN"/>
              </w:rPr>
              <w:t>~12</w:t>
            </w:r>
            <w:r>
              <w:rPr>
                <w:rFonts w:hint="eastAsia"/>
                <w:bCs/>
                <w:color w:val="auto"/>
              </w:rPr>
              <w:t>月</w:t>
            </w:r>
            <w:r>
              <w:rPr>
                <w:rFonts w:hint="eastAsia"/>
                <w:bCs/>
                <w:color w:val="auto"/>
                <w:lang w:val="en-US" w:eastAsia="zh-CN"/>
              </w:rPr>
              <w:t>20</w:t>
            </w:r>
            <w:r>
              <w:rPr>
                <w:rFonts w:hint="eastAsia"/>
                <w:bCs/>
                <w:color w:val="auto"/>
              </w:rPr>
              <w:t>日），废水</w:t>
            </w:r>
            <w:r>
              <w:rPr>
                <w:bCs/>
                <w:color w:val="auto"/>
              </w:rPr>
              <w:t>监测结果</w:t>
            </w:r>
            <w:r>
              <w:rPr>
                <w:rFonts w:hint="eastAsia"/>
                <w:bCs/>
                <w:color w:val="auto"/>
              </w:rPr>
              <w:t>见</w:t>
            </w:r>
            <w:r>
              <w:rPr>
                <w:bCs/>
                <w:color w:val="auto"/>
              </w:rPr>
              <w:t>表</w:t>
            </w:r>
            <w:r>
              <w:rPr>
                <w:rFonts w:hint="eastAsia"/>
                <w:bCs/>
                <w:color w:val="auto"/>
              </w:rPr>
              <w:t>2-1</w:t>
            </w:r>
            <w:r>
              <w:rPr>
                <w:rFonts w:hint="eastAsia"/>
                <w:bCs/>
                <w:color w:val="auto"/>
                <w:lang w:val="en-US" w:eastAsia="zh-CN"/>
              </w:rPr>
              <w:t>8</w:t>
            </w:r>
            <w:r>
              <w:rPr>
                <w:bCs/>
                <w:color w:val="auto"/>
              </w:rPr>
              <w:t>。</w:t>
            </w:r>
            <w:r>
              <w:rPr>
                <w:color w:val="auto"/>
              </w:rPr>
              <w:t>监测结果显示：该公司生活污水排放口中pH值、化学需氧量浓度均符合《污水综合排放标准》中的三级标准</w:t>
            </w:r>
            <w:r>
              <w:rPr>
                <w:rFonts w:hint="eastAsia"/>
                <w:color w:val="auto"/>
              </w:rPr>
              <w:t>，氨氮满足</w:t>
            </w:r>
            <w:r>
              <w:rPr>
                <w:rFonts w:hAnsi="宋体"/>
                <w:color w:val="auto"/>
              </w:rPr>
              <w:t>《工业企业废水氮、磷污染物间接排放限值》（</w:t>
            </w:r>
            <w:r>
              <w:rPr>
                <w:color w:val="auto"/>
              </w:rPr>
              <w:t>DB33/887-2013</w:t>
            </w:r>
            <w:r>
              <w:rPr>
                <w:rFonts w:hAnsi="宋体"/>
                <w:color w:val="auto"/>
              </w:rPr>
              <w:t>）中的相关标准</w:t>
            </w:r>
            <w:r>
              <w:rPr>
                <w:rFonts w:hint="eastAsia" w:hAnsi="宋体"/>
                <w:color w:val="auto"/>
              </w:rPr>
              <w:t>。</w:t>
            </w:r>
          </w:p>
          <w:p>
            <w:pPr>
              <w:spacing w:line="360" w:lineRule="auto"/>
              <w:jc w:val="center"/>
              <w:rPr>
                <w:rFonts w:ascii="Times New Roman" w:hAnsi="Times New Roman" w:eastAsia="宋体" w:cs="Times New Roman"/>
                <w:b/>
                <w:bCs/>
                <w:color w:val="auto"/>
              </w:rPr>
            </w:pPr>
            <w:r>
              <w:rPr>
                <w:rFonts w:ascii="Times New Roman" w:hAnsi="Times New Roman" w:eastAsia="宋体" w:cs="Times New Roman"/>
                <w:b/>
                <w:bCs/>
                <w:color w:val="auto"/>
              </w:rPr>
              <w:t>表</w:t>
            </w:r>
            <w:r>
              <w:rPr>
                <w:rFonts w:hint="eastAsia" w:ascii="Times New Roman" w:hAnsi="Times New Roman" w:eastAsia="宋体" w:cs="Times New Roman"/>
                <w:b/>
                <w:bCs/>
                <w:color w:val="auto"/>
              </w:rPr>
              <w:t>2-1</w:t>
            </w:r>
            <w:r>
              <w:rPr>
                <w:rFonts w:hint="eastAsia" w:eastAsia="宋体" w:cs="Times New Roman"/>
                <w:b/>
                <w:bCs/>
                <w:color w:val="auto"/>
                <w:lang w:val="en-US" w:eastAsia="zh-CN"/>
              </w:rPr>
              <w:t>8</w:t>
            </w:r>
            <w:r>
              <w:rPr>
                <w:rFonts w:hint="eastAsia" w:ascii="Times New Roman" w:hAnsi="Times New Roman" w:eastAsia="宋体" w:cs="Times New Roman"/>
                <w:b/>
                <w:bCs/>
                <w:color w:val="auto"/>
              </w:rPr>
              <w:t xml:space="preserve">  废水</w:t>
            </w:r>
            <w:r>
              <w:rPr>
                <w:rFonts w:ascii="Times New Roman" w:hAnsi="Times New Roman" w:eastAsia="宋体" w:cs="Times New Roman"/>
                <w:b/>
                <w:bCs/>
                <w:color w:val="auto"/>
              </w:rPr>
              <w:t>检测结果表</w:t>
            </w:r>
          </w:p>
          <w:tbl>
            <w:tblPr>
              <w:tblStyle w:val="29"/>
              <w:tblW w:w="7370"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33"/>
              <w:gridCol w:w="754"/>
              <w:gridCol w:w="754"/>
              <w:gridCol w:w="754"/>
              <w:gridCol w:w="754"/>
              <w:gridCol w:w="2"/>
              <w:gridCol w:w="752"/>
              <w:gridCol w:w="754"/>
              <w:gridCol w:w="754"/>
              <w:gridCol w:w="759"/>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ascii="Times New Roman" w:hAnsi="Times New Roman" w:eastAsia="宋体" w:cs="Times New Roman"/>
                      <w:b/>
                      <w:bCs/>
                      <w:color w:val="auto"/>
                      <w:sz w:val="21"/>
                      <w:szCs w:val="21"/>
                    </w:rPr>
                  </w:pPr>
                  <w:r>
                    <w:rPr>
                      <w:rFonts w:ascii="Times New Roman" w:hAnsi="Times New Roman" w:eastAsia="宋体" w:cs="Times New Roman"/>
                      <w:b/>
                      <w:bCs/>
                      <w:color w:val="auto"/>
                      <w:sz w:val="21"/>
                      <w:szCs w:val="21"/>
                    </w:rPr>
                    <w:t>采样时间</w:t>
                  </w:r>
                </w:p>
              </w:tc>
              <w:tc>
                <w:tcPr>
                  <w:tcW w:w="3018" w:type="dxa"/>
                  <w:gridSpan w:val="5"/>
                  <w:noWrap w:val="0"/>
                  <w:vAlign w:val="center"/>
                </w:tcPr>
                <w:p>
                  <w:pPr>
                    <w:jc w:val="center"/>
                    <w:rPr>
                      <w:rFonts w:hint="default" w:ascii="Times New Roman" w:hAnsi="Times New Roman" w:eastAsia="宋体" w:cs="Times New Roman"/>
                      <w:b/>
                      <w:bCs/>
                      <w:color w:val="auto"/>
                      <w:sz w:val="21"/>
                      <w:szCs w:val="21"/>
                      <w:lang w:val="en-US" w:eastAsia="zh-CN"/>
                    </w:rPr>
                  </w:pPr>
                  <w:r>
                    <w:rPr>
                      <w:rFonts w:ascii="Times New Roman" w:hAnsi="Times New Roman" w:eastAsia="宋体" w:cs="Times New Roman"/>
                      <w:b/>
                      <w:bCs/>
                      <w:color w:val="auto"/>
                      <w:sz w:val="21"/>
                      <w:szCs w:val="21"/>
                    </w:rPr>
                    <w:t>202</w:t>
                  </w:r>
                  <w:r>
                    <w:rPr>
                      <w:rFonts w:hint="eastAsia" w:eastAsia="宋体" w:cs="Times New Roman"/>
                      <w:b/>
                      <w:bCs/>
                      <w:color w:val="auto"/>
                      <w:sz w:val="21"/>
                      <w:szCs w:val="21"/>
                      <w:lang w:val="en-US" w:eastAsia="zh-CN"/>
                    </w:rPr>
                    <w:t>1</w:t>
                  </w:r>
                  <w:r>
                    <w:rPr>
                      <w:rFonts w:ascii="Times New Roman" w:hAnsi="Times New Roman" w:eastAsia="宋体" w:cs="Times New Roman"/>
                      <w:b/>
                      <w:bCs/>
                      <w:color w:val="auto"/>
                      <w:sz w:val="21"/>
                      <w:szCs w:val="21"/>
                    </w:rPr>
                    <w:t>-</w:t>
                  </w:r>
                  <w:r>
                    <w:rPr>
                      <w:rFonts w:hint="eastAsia" w:ascii="Times New Roman" w:hAnsi="Times New Roman" w:eastAsia="宋体" w:cs="Times New Roman"/>
                      <w:b/>
                      <w:bCs/>
                      <w:color w:val="auto"/>
                      <w:sz w:val="21"/>
                      <w:szCs w:val="21"/>
                    </w:rPr>
                    <w:t>12</w:t>
                  </w:r>
                  <w:r>
                    <w:rPr>
                      <w:rFonts w:ascii="Times New Roman" w:hAnsi="Times New Roman" w:eastAsia="宋体" w:cs="Times New Roman"/>
                      <w:b/>
                      <w:bCs/>
                      <w:color w:val="auto"/>
                      <w:sz w:val="21"/>
                      <w:szCs w:val="21"/>
                    </w:rPr>
                    <w:t>-</w:t>
                  </w:r>
                  <w:r>
                    <w:rPr>
                      <w:rFonts w:hint="eastAsia" w:eastAsia="宋体" w:cs="Times New Roman"/>
                      <w:b/>
                      <w:bCs/>
                      <w:color w:val="auto"/>
                      <w:sz w:val="21"/>
                      <w:szCs w:val="21"/>
                      <w:lang w:val="en-US" w:eastAsia="zh-CN"/>
                    </w:rPr>
                    <w:t>08</w:t>
                  </w:r>
                </w:p>
              </w:tc>
              <w:tc>
                <w:tcPr>
                  <w:tcW w:w="3019" w:type="dxa"/>
                  <w:gridSpan w:val="4"/>
                  <w:tcBorders>
                    <w:right w:val="single" w:color="auto" w:sz="4" w:space="0"/>
                  </w:tcBorders>
                  <w:noWrap w:val="0"/>
                  <w:vAlign w:val="center"/>
                </w:tcPr>
                <w:p>
                  <w:pPr>
                    <w:jc w:val="center"/>
                    <w:rPr>
                      <w:rFonts w:hint="default" w:ascii="Times New Roman" w:hAnsi="Times New Roman" w:eastAsia="宋体" w:cs="Times New Roman"/>
                      <w:b/>
                      <w:bCs/>
                      <w:color w:val="auto"/>
                      <w:sz w:val="21"/>
                      <w:szCs w:val="21"/>
                      <w:lang w:val="en-US" w:eastAsia="zh-CN"/>
                    </w:rPr>
                  </w:pPr>
                  <w:r>
                    <w:rPr>
                      <w:rFonts w:ascii="Times New Roman" w:hAnsi="Times New Roman" w:eastAsia="宋体" w:cs="Times New Roman"/>
                      <w:b/>
                      <w:bCs/>
                      <w:color w:val="auto"/>
                      <w:sz w:val="21"/>
                      <w:szCs w:val="21"/>
                    </w:rPr>
                    <w:t>202</w:t>
                  </w:r>
                  <w:r>
                    <w:rPr>
                      <w:rFonts w:hint="eastAsia" w:eastAsia="宋体" w:cs="Times New Roman"/>
                      <w:b/>
                      <w:bCs/>
                      <w:color w:val="auto"/>
                      <w:sz w:val="21"/>
                      <w:szCs w:val="21"/>
                      <w:lang w:val="en-US" w:eastAsia="zh-CN"/>
                    </w:rPr>
                    <w:t>1</w:t>
                  </w:r>
                  <w:r>
                    <w:rPr>
                      <w:rFonts w:ascii="Times New Roman" w:hAnsi="Times New Roman" w:eastAsia="宋体" w:cs="Times New Roman"/>
                      <w:b/>
                      <w:bCs/>
                      <w:color w:val="auto"/>
                      <w:sz w:val="21"/>
                      <w:szCs w:val="21"/>
                    </w:rPr>
                    <w:t>-</w:t>
                  </w:r>
                  <w:r>
                    <w:rPr>
                      <w:rFonts w:hint="eastAsia" w:ascii="Times New Roman" w:hAnsi="Times New Roman" w:eastAsia="宋体" w:cs="Times New Roman"/>
                      <w:b/>
                      <w:bCs/>
                      <w:color w:val="auto"/>
                      <w:sz w:val="21"/>
                      <w:szCs w:val="21"/>
                    </w:rPr>
                    <w:t>12</w:t>
                  </w:r>
                  <w:r>
                    <w:rPr>
                      <w:rFonts w:ascii="Times New Roman" w:hAnsi="Times New Roman" w:eastAsia="宋体" w:cs="Times New Roman"/>
                      <w:b/>
                      <w:bCs/>
                      <w:color w:val="auto"/>
                      <w:sz w:val="21"/>
                      <w:szCs w:val="21"/>
                    </w:rPr>
                    <w:t>-</w:t>
                  </w:r>
                  <w:r>
                    <w:rPr>
                      <w:rFonts w:hint="eastAsia" w:eastAsia="宋体" w:cs="Times New Roman"/>
                      <w:b/>
                      <w:bCs/>
                      <w:color w:val="auto"/>
                      <w:sz w:val="21"/>
                      <w:szCs w:val="21"/>
                      <w:lang w:val="en-US" w:eastAsia="zh-CN"/>
                    </w:rPr>
                    <w:t>09</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ascii="Times New Roman" w:hAnsi="Times New Roman" w:eastAsia="宋体" w:cs="Times New Roman"/>
                      <w:b w:val="0"/>
                      <w:bCs w:val="0"/>
                      <w:color w:val="auto"/>
                      <w:sz w:val="21"/>
                      <w:szCs w:val="21"/>
                    </w:rPr>
                  </w:pPr>
                  <w:r>
                    <w:rPr>
                      <w:rFonts w:ascii="Times New Roman" w:hAnsi="Times New Roman" w:eastAsia="宋体" w:cs="Times New Roman"/>
                      <w:b w:val="0"/>
                      <w:bCs w:val="0"/>
                      <w:color w:val="auto"/>
                      <w:sz w:val="21"/>
                      <w:szCs w:val="21"/>
                    </w:rPr>
                    <w:t>采样点位</w:t>
                  </w:r>
                </w:p>
              </w:tc>
              <w:tc>
                <w:tcPr>
                  <w:tcW w:w="3018" w:type="dxa"/>
                  <w:gridSpan w:val="5"/>
                  <w:noWrap w:val="0"/>
                  <w:vAlign w:val="center"/>
                </w:tcPr>
                <w:p>
                  <w:pPr>
                    <w:jc w:val="center"/>
                    <w:rPr>
                      <w:rFonts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化粪池</w:t>
                  </w:r>
                  <w:r>
                    <w:rPr>
                      <w:rFonts w:ascii="Times New Roman" w:hAnsi="Times New Roman" w:eastAsia="宋体" w:cs="Times New Roman"/>
                      <w:b w:val="0"/>
                      <w:bCs w:val="0"/>
                      <w:color w:val="auto"/>
                      <w:sz w:val="21"/>
                      <w:szCs w:val="21"/>
                    </w:rPr>
                    <w:t>排放口</w:t>
                  </w:r>
                </w:p>
              </w:tc>
              <w:tc>
                <w:tcPr>
                  <w:tcW w:w="3019" w:type="dxa"/>
                  <w:gridSpan w:val="4"/>
                  <w:tcBorders>
                    <w:right w:val="single" w:color="auto" w:sz="4" w:space="0"/>
                  </w:tcBorders>
                  <w:noWrap w:val="0"/>
                  <w:vAlign w:val="center"/>
                </w:tcPr>
                <w:p>
                  <w:pPr>
                    <w:jc w:val="center"/>
                    <w:rPr>
                      <w:rFonts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化粪池</w:t>
                  </w:r>
                  <w:r>
                    <w:rPr>
                      <w:rFonts w:ascii="Times New Roman" w:hAnsi="Times New Roman" w:eastAsia="宋体" w:cs="Times New Roman"/>
                      <w:b w:val="0"/>
                      <w:bCs w:val="0"/>
                      <w:color w:val="auto"/>
                      <w:sz w:val="21"/>
                      <w:szCs w:val="21"/>
                    </w:rPr>
                    <w:t>排放口</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hint="eastAsia" w:ascii="Times New Roman" w:hAnsi="Times New Roman" w:eastAsia="宋体" w:cs="Times New Roman"/>
                      <w:b w:val="0"/>
                      <w:bCs w:val="0"/>
                      <w:color w:val="auto"/>
                      <w:sz w:val="21"/>
                      <w:szCs w:val="21"/>
                    </w:rPr>
                  </w:pPr>
                  <w:r>
                    <w:rPr>
                      <w:rFonts w:hint="eastAsia" w:ascii="Times New Roman" w:hAnsi="Times New Roman" w:eastAsia="宋体" w:cs="Times New Roman"/>
                      <w:b w:val="0"/>
                      <w:bCs w:val="0"/>
                      <w:color w:val="auto"/>
                      <w:sz w:val="21"/>
                      <w:szCs w:val="21"/>
                    </w:rPr>
                    <w:t>样品性状</w:t>
                  </w:r>
                </w:p>
              </w:tc>
              <w:tc>
                <w:tcPr>
                  <w:tcW w:w="3018" w:type="dxa"/>
                  <w:gridSpan w:val="5"/>
                  <w:noWrap w:val="0"/>
                  <w:vAlign w:val="center"/>
                </w:tcPr>
                <w:p>
                  <w:pPr>
                    <w:jc w:val="center"/>
                    <w:rPr>
                      <w:rFonts w:hint="eastAsia"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淡</w:t>
                  </w:r>
                  <w:r>
                    <w:rPr>
                      <w:rFonts w:hint="eastAsia" w:ascii="Times New Roman" w:hAnsi="Times New Roman" w:eastAsia="宋体" w:cs="Times New Roman"/>
                      <w:b w:val="0"/>
                      <w:bCs w:val="0"/>
                      <w:color w:val="auto"/>
                      <w:sz w:val="21"/>
                      <w:szCs w:val="21"/>
                    </w:rPr>
                    <w:t>黄、微</w:t>
                  </w:r>
                  <w:r>
                    <w:rPr>
                      <w:rFonts w:hint="eastAsia" w:eastAsia="宋体" w:cs="Times New Roman"/>
                      <w:b w:val="0"/>
                      <w:bCs w:val="0"/>
                      <w:color w:val="auto"/>
                      <w:sz w:val="21"/>
                      <w:szCs w:val="21"/>
                      <w:lang w:val="en-US" w:eastAsia="zh-CN"/>
                    </w:rPr>
                    <w:t>浑</w:t>
                  </w:r>
                </w:p>
              </w:tc>
              <w:tc>
                <w:tcPr>
                  <w:tcW w:w="3019" w:type="dxa"/>
                  <w:gridSpan w:val="4"/>
                  <w:tcBorders>
                    <w:right w:val="single" w:color="auto" w:sz="4" w:space="0"/>
                  </w:tcBorders>
                  <w:noWrap w:val="0"/>
                  <w:vAlign w:val="center"/>
                </w:tcPr>
                <w:p>
                  <w:pPr>
                    <w:jc w:val="center"/>
                    <w:rPr>
                      <w:rFonts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淡</w:t>
                  </w:r>
                  <w:r>
                    <w:rPr>
                      <w:rFonts w:hint="eastAsia" w:ascii="Times New Roman" w:hAnsi="Times New Roman" w:eastAsia="宋体" w:cs="Times New Roman"/>
                      <w:b w:val="0"/>
                      <w:bCs w:val="0"/>
                      <w:color w:val="auto"/>
                      <w:sz w:val="21"/>
                      <w:szCs w:val="21"/>
                    </w:rPr>
                    <w:t>黄、微</w:t>
                  </w:r>
                  <w:r>
                    <w:rPr>
                      <w:rFonts w:hint="eastAsia" w:eastAsia="宋体" w:cs="Times New Roman"/>
                      <w:b w:val="0"/>
                      <w:bCs w:val="0"/>
                      <w:color w:val="auto"/>
                      <w:sz w:val="21"/>
                      <w:szCs w:val="21"/>
                      <w:lang w:val="en-US" w:eastAsia="zh-CN"/>
                    </w:rPr>
                    <w:t>浑</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ascii="Times New Roman" w:hAnsi="Times New Roman" w:eastAsia="宋体" w:cs="Times New Roman"/>
                      <w:b w:val="0"/>
                      <w:bCs w:val="0"/>
                      <w:color w:val="auto"/>
                      <w:sz w:val="21"/>
                      <w:szCs w:val="21"/>
                    </w:rPr>
                  </w:pPr>
                  <w:r>
                    <w:rPr>
                      <w:rFonts w:ascii="Times New Roman" w:hAnsi="Times New Roman" w:eastAsia="宋体" w:cs="Times New Roman"/>
                      <w:b w:val="0"/>
                      <w:bCs w:val="0"/>
                      <w:color w:val="auto"/>
                      <w:sz w:val="21"/>
                      <w:szCs w:val="21"/>
                    </w:rPr>
                    <w:t>pH值</w:t>
                  </w:r>
                </w:p>
              </w:tc>
              <w:tc>
                <w:tcPr>
                  <w:tcW w:w="754" w:type="dxa"/>
                  <w:noWrap w:val="0"/>
                  <w:vAlign w:val="center"/>
                </w:tcPr>
                <w:p>
                  <w:pPr>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7.2</w:t>
                  </w:r>
                </w:p>
              </w:tc>
              <w:tc>
                <w:tcPr>
                  <w:tcW w:w="754" w:type="dxa"/>
                  <w:noWrap w:val="0"/>
                  <w:vAlign w:val="center"/>
                </w:tcPr>
                <w:p>
                  <w:pPr>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7.1</w:t>
                  </w:r>
                </w:p>
              </w:tc>
              <w:tc>
                <w:tcPr>
                  <w:tcW w:w="754" w:type="dxa"/>
                  <w:noWrap w:val="0"/>
                  <w:vAlign w:val="center"/>
                </w:tcPr>
                <w:p>
                  <w:pPr>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7.2</w:t>
                  </w:r>
                </w:p>
              </w:tc>
              <w:tc>
                <w:tcPr>
                  <w:tcW w:w="754" w:type="dxa"/>
                  <w:noWrap w:val="0"/>
                  <w:vAlign w:val="center"/>
                </w:tcPr>
                <w:p>
                  <w:pPr>
                    <w:jc w:val="center"/>
                    <w:rPr>
                      <w:rFonts w:hint="default"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7.1</w:t>
                  </w:r>
                </w:p>
              </w:tc>
              <w:tc>
                <w:tcPr>
                  <w:tcW w:w="754" w:type="dxa"/>
                  <w:gridSpan w:val="2"/>
                  <w:noWrap w:val="0"/>
                  <w:vAlign w:val="center"/>
                </w:tcPr>
                <w:p>
                  <w:pPr>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7.1</w:t>
                  </w:r>
                </w:p>
              </w:tc>
              <w:tc>
                <w:tcPr>
                  <w:tcW w:w="754" w:type="dxa"/>
                  <w:noWrap w:val="0"/>
                  <w:vAlign w:val="center"/>
                </w:tcPr>
                <w:p>
                  <w:pPr>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7.2</w:t>
                  </w:r>
                </w:p>
              </w:tc>
              <w:tc>
                <w:tcPr>
                  <w:tcW w:w="754" w:type="dxa"/>
                  <w:tcBorders>
                    <w:right w:val="single" w:color="auto" w:sz="4" w:space="0"/>
                  </w:tcBorders>
                  <w:noWrap w:val="0"/>
                  <w:vAlign w:val="center"/>
                </w:tcPr>
                <w:p>
                  <w:pPr>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7.1</w:t>
                  </w:r>
                </w:p>
              </w:tc>
              <w:tc>
                <w:tcPr>
                  <w:tcW w:w="759" w:type="dxa"/>
                  <w:tcBorders>
                    <w:right w:val="single" w:color="auto" w:sz="4" w:space="0"/>
                  </w:tcBorders>
                  <w:noWrap w:val="0"/>
                  <w:vAlign w:val="center"/>
                </w:tcPr>
                <w:p>
                  <w:pPr>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7.2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hint="eastAsia"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悬浮物</w:t>
                  </w:r>
                </w:p>
              </w:tc>
              <w:tc>
                <w:tcPr>
                  <w:tcW w:w="3018" w:type="dxa"/>
                  <w:gridSpan w:val="5"/>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23.</w:t>
                  </w:r>
                  <w:r>
                    <w:rPr>
                      <w:rFonts w:hint="eastAsia" w:ascii="Times New Roman" w:hAnsi="Times New Roman" w:eastAsia="宋体" w:cs="Times New Roman"/>
                      <w:b w:val="0"/>
                      <w:bCs w:val="0"/>
                      <w:color w:val="auto"/>
                      <w:sz w:val="21"/>
                      <w:szCs w:val="21"/>
                    </w:rPr>
                    <w:t>5</w:t>
                  </w:r>
                  <w:r>
                    <w:rPr>
                      <w:rFonts w:ascii="Times New Roman" w:hAnsi="Times New Roman" w:eastAsia="宋体" w:cs="Times New Roman"/>
                      <w:b w:val="0"/>
                      <w:bCs w:val="0"/>
                      <w:color w:val="auto"/>
                      <w:sz w:val="21"/>
                      <w:szCs w:val="21"/>
                    </w:rPr>
                    <w:t>mg/L</w:t>
                  </w:r>
                </w:p>
              </w:tc>
              <w:tc>
                <w:tcPr>
                  <w:tcW w:w="3019" w:type="dxa"/>
                  <w:gridSpan w:val="4"/>
                  <w:tcBorders>
                    <w:right w:val="single" w:color="auto" w:sz="4" w:space="0"/>
                  </w:tcBorders>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20.75</w:t>
                  </w:r>
                  <w:r>
                    <w:rPr>
                      <w:rFonts w:ascii="Times New Roman" w:hAnsi="Times New Roman" w:eastAsia="宋体" w:cs="Times New Roman"/>
                      <w:b w:val="0"/>
                      <w:bCs w:val="0"/>
                      <w:color w:val="auto"/>
                      <w:sz w:val="21"/>
                      <w:szCs w:val="21"/>
                    </w:rPr>
                    <w:t>mg/L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ascii="Times New Roman" w:hAnsi="Times New Roman" w:eastAsia="宋体" w:cs="Times New Roman"/>
                      <w:b w:val="0"/>
                      <w:bCs w:val="0"/>
                      <w:color w:val="auto"/>
                      <w:sz w:val="21"/>
                      <w:szCs w:val="21"/>
                    </w:rPr>
                  </w:pPr>
                  <w:r>
                    <w:rPr>
                      <w:rFonts w:ascii="Times New Roman" w:hAnsi="Times New Roman" w:eastAsia="宋体" w:cs="Times New Roman"/>
                      <w:b w:val="0"/>
                      <w:bCs w:val="0"/>
                      <w:color w:val="auto"/>
                      <w:sz w:val="21"/>
                      <w:szCs w:val="21"/>
                    </w:rPr>
                    <w:t>化学需氧量</w:t>
                  </w:r>
                </w:p>
              </w:tc>
              <w:tc>
                <w:tcPr>
                  <w:tcW w:w="3018" w:type="dxa"/>
                  <w:gridSpan w:val="5"/>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24.75</w:t>
                  </w:r>
                  <w:r>
                    <w:rPr>
                      <w:rFonts w:ascii="Times New Roman" w:hAnsi="Times New Roman" w:eastAsia="宋体" w:cs="Times New Roman"/>
                      <w:b w:val="0"/>
                      <w:bCs w:val="0"/>
                      <w:color w:val="auto"/>
                      <w:sz w:val="21"/>
                      <w:szCs w:val="21"/>
                    </w:rPr>
                    <w:t>mg/L</w:t>
                  </w:r>
                </w:p>
              </w:tc>
              <w:tc>
                <w:tcPr>
                  <w:tcW w:w="3019" w:type="dxa"/>
                  <w:gridSpan w:val="4"/>
                  <w:tcBorders>
                    <w:right w:val="single" w:color="auto" w:sz="4" w:space="0"/>
                  </w:tcBorders>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26.25</w:t>
                  </w:r>
                  <w:r>
                    <w:rPr>
                      <w:rFonts w:ascii="Times New Roman" w:hAnsi="Times New Roman" w:eastAsia="宋体" w:cs="Times New Roman"/>
                      <w:b w:val="0"/>
                      <w:bCs w:val="0"/>
                      <w:color w:val="auto"/>
                      <w:sz w:val="21"/>
                      <w:szCs w:val="21"/>
                    </w:rPr>
                    <w:t>mg/L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ascii="Times New Roman" w:hAnsi="Times New Roman" w:eastAsia="宋体" w:cs="Times New Roman"/>
                      <w:b w:val="0"/>
                      <w:bCs w:val="0"/>
                      <w:color w:val="auto"/>
                      <w:sz w:val="21"/>
                      <w:szCs w:val="21"/>
                    </w:rPr>
                  </w:pPr>
                  <w:r>
                    <w:rPr>
                      <w:rFonts w:ascii="Times New Roman" w:hAnsi="Times New Roman" w:eastAsia="宋体" w:cs="Times New Roman"/>
                      <w:b w:val="0"/>
                      <w:bCs w:val="0"/>
                      <w:color w:val="auto"/>
                      <w:sz w:val="21"/>
                      <w:szCs w:val="21"/>
                    </w:rPr>
                    <w:t>氨氮</w:t>
                  </w:r>
                </w:p>
              </w:tc>
              <w:tc>
                <w:tcPr>
                  <w:tcW w:w="3018" w:type="dxa"/>
                  <w:gridSpan w:val="5"/>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2.39</w:t>
                  </w:r>
                  <w:r>
                    <w:rPr>
                      <w:rFonts w:ascii="Times New Roman" w:hAnsi="Times New Roman" w:eastAsia="宋体" w:cs="Times New Roman"/>
                      <w:b w:val="0"/>
                      <w:bCs w:val="0"/>
                      <w:color w:val="auto"/>
                      <w:sz w:val="21"/>
                      <w:szCs w:val="21"/>
                    </w:rPr>
                    <w:t>mg/L</w:t>
                  </w:r>
                </w:p>
              </w:tc>
              <w:tc>
                <w:tcPr>
                  <w:tcW w:w="3019" w:type="dxa"/>
                  <w:gridSpan w:val="4"/>
                  <w:tcBorders>
                    <w:right w:val="single" w:color="auto" w:sz="4" w:space="0"/>
                  </w:tcBorders>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2.37</w:t>
                  </w:r>
                  <w:r>
                    <w:rPr>
                      <w:rFonts w:ascii="Times New Roman" w:hAnsi="Times New Roman" w:eastAsia="宋体" w:cs="Times New Roman"/>
                      <w:b w:val="0"/>
                      <w:bCs w:val="0"/>
                      <w:color w:val="auto"/>
                      <w:sz w:val="21"/>
                      <w:szCs w:val="21"/>
                    </w:rPr>
                    <w:t>mg/L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1333" w:type="dxa"/>
                  <w:tcBorders>
                    <w:left w:val="single" w:color="auto" w:sz="4" w:space="0"/>
                  </w:tcBorders>
                  <w:noWrap w:val="0"/>
                  <w:vAlign w:val="center"/>
                </w:tcPr>
                <w:p>
                  <w:pPr>
                    <w:jc w:val="center"/>
                    <w:rPr>
                      <w:rFonts w:ascii="Times New Roman" w:hAnsi="Times New Roman" w:eastAsia="宋体" w:cs="Times New Roman"/>
                      <w:b w:val="0"/>
                      <w:bCs w:val="0"/>
                      <w:color w:val="auto"/>
                      <w:sz w:val="21"/>
                      <w:szCs w:val="21"/>
                    </w:rPr>
                  </w:pPr>
                  <w:r>
                    <w:rPr>
                      <w:rFonts w:ascii="Times New Roman" w:hAnsi="Times New Roman" w:eastAsia="宋体" w:cs="Times New Roman"/>
                      <w:b w:val="0"/>
                      <w:bCs w:val="0"/>
                      <w:color w:val="auto"/>
                      <w:sz w:val="21"/>
                      <w:szCs w:val="21"/>
                    </w:rPr>
                    <w:t>总磷</w:t>
                  </w:r>
                </w:p>
              </w:tc>
              <w:tc>
                <w:tcPr>
                  <w:tcW w:w="3018" w:type="dxa"/>
                  <w:gridSpan w:val="5"/>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0.14</w:t>
                  </w:r>
                  <w:r>
                    <w:rPr>
                      <w:rFonts w:ascii="Times New Roman" w:hAnsi="Times New Roman" w:eastAsia="宋体" w:cs="Times New Roman"/>
                      <w:b w:val="0"/>
                      <w:bCs w:val="0"/>
                      <w:color w:val="auto"/>
                      <w:sz w:val="21"/>
                      <w:szCs w:val="21"/>
                    </w:rPr>
                    <w:t>mg/L</w:t>
                  </w:r>
                </w:p>
              </w:tc>
              <w:tc>
                <w:tcPr>
                  <w:tcW w:w="3019" w:type="dxa"/>
                  <w:gridSpan w:val="4"/>
                  <w:tcBorders>
                    <w:right w:val="single" w:color="auto" w:sz="4" w:space="0"/>
                  </w:tcBorders>
                  <w:noWrap w:val="0"/>
                  <w:vAlign w:val="center"/>
                </w:tcPr>
                <w:p>
                  <w:pPr>
                    <w:jc w:val="center"/>
                    <w:rPr>
                      <w:rFonts w:hint="eastAsia" w:ascii="Times New Roman" w:hAnsi="Times New Roman" w:eastAsia="宋体" w:cs="Times New Roman"/>
                      <w:b w:val="0"/>
                      <w:bCs w:val="0"/>
                      <w:color w:val="auto"/>
                      <w:sz w:val="21"/>
                      <w:szCs w:val="21"/>
                    </w:rPr>
                  </w:pPr>
                  <w:r>
                    <w:rPr>
                      <w:rFonts w:hint="eastAsia" w:eastAsia="宋体" w:cs="Times New Roman"/>
                      <w:b w:val="0"/>
                      <w:bCs w:val="0"/>
                      <w:color w:val="auto"/>
                      <w:sz w:val="21"/>
                      <w:szCs w:val="21"/>
                      <w:lang w:val="en-US" w:eastAsia="zh-CN"/>
                    </w:rPr>
                    <w:t>0.12</w:t>
                  </w:r>
                  <w:r>
                    <w:rPr>
                      <w:rFonts w:ascii="Times New Roman" w:hAnsi="Times New Roman" w:eastAsia="宋体" w:cs="Times New Roman"/>
                      <w:b w:val="0"/>
                      <w:bCs w:val="0"/>
                      <w:color w:val="auto"/>
                      <w:sz w:val="21"/>
                      <w:szCs w:val="21"/>
                    </w:rPr>
                    <w:t>mg/L</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blHeader/>
                <w:jc w:val="center"/>
              </w:trPr>
              <w:tc>
                <w:tcPr>
                  <w:tcW w:w="7370" w:type="dxa"/>
                  <w:gridSpan w:val="10"/>
                  <w:tcBorders>
                    <w:left w:val="single" w:color="auto" w:sz="4" w:space="0"/>
                    <w:right w:val="single" w:color="auto" w:sz="4" w:space="0"/>
                  </w:tcBorders>
                  <w:noWrap w:val="0"/>
                  <w:vAlign w:val="center"/>
                </w:tcPr>
                <w:p>
                  <w:pPr>
                    <w:jc w:val="center"/>
                    <w:rPr>
                      <w:rFonts w:hint="eastAsia" w:ascii="Times New Roman" w:hAnsi="Times New Roman" w:eastAsia="宋体" w:cs="Times New Roman"/>
                      <w:b w:val="0"/>
                      <w:bCs w:val="0"/>
                      <w:color w:val="auto"/>
                      <w:sz w:val="21"/>
                      <w:szCs w:val="21"/>
                    </w:rPr>
                  </w:pPr>
                  <w:r>
                    <w:rPr>
                      <w:rFonts w:ascii="Times New Roman" w:hAnsi="Times New Roman" w:eastAsia="宋体" w:cs="Times New Roman"/>
                      <w:b w:val="0"/>
                      <w:bCs w:val="0"/>
                      <w:color w:val="auto"/>
                      <w:sz w:val="21"/>
                      <w:szCs w:val="21"/>
                    </w:rPr>
                    <w:t>备注：</w:t>
                  </w:r>
                  <w:r>
                    <w:rPr>
                      <w:rFonts w:hint="eastAsia" w:ascii="Times New Roman" w:hAnsi="Times New Roman" w:eastAsia="宋体" w:cs="Times New Roman"/>
                      <w:b w:val="0"/>
                      <w:bCs w:val="0"/>
                      <w:color w:val="auto"/>
                      <w:sz w:val="21"/>
                      <w:szCs w:val="21"/>
                    </w:rPr>
                    <w:t>除</w:t>
                  </w:r>
                  <w:r>
                    <w:rPr>
                      <w:rFonts w:ascii="Times New Roman" w:hAnsi="Times New Roman" w:eastAsia="宋体" w:cs="Times New Roman"/>
                      <w:b w:val="0"/>
                      <w:bCs w:val="0"/>
                      <w:color w:val="auto"/>
                      <w:sz w:val="21"/>
                      <w:szCs w:val="21"/>
                    </w:rPr>
                    <w:t>pH值</w:t>
                  </w:r>
                  <w:r>
                    <w:rPr>
                      <w:rFonts w:hint="eastAsia" w:ascii="Times New Roman" w:hAnsi="Times New Roman" w:eastAsia="宋体" w:cs="Times New Roman"/>
                      <w:b w:val="0"/>
                      <w:bCs w:val="0"/>
                      <w:color w:val="auto"/>
                      <w:sz w:val="21"/>
                      <w:szCs w:val="21"/>
                    </w:rPr>
                    <w:t>外，其余</w:t>
                  </w:r>
                  <w:r>
                    <w:rPr>
                      <w:rFonts w:ascii="Times New Roman" w:hAnsi="Times New Roman" w:eastAsia="宋体" w:cs="Times New Roman"/>
                      <w:b w:val="0"/>
                      <w:bCs w:val="0"/>
                      <w:color w:val="auto"/>
                      <w:sz w:val="21"/>
                      <w:szCs w:val="21"/>
                    </w:rPr>
                    <w:t>检测结果为</w:t>
                  </w:r>
                  <w:r>
                    <w:rPr>
                      <w:rFonts w:hint="eastAsia" w:ascii="Times New Roman" w:hAnsi="Times New Roman" w:eastAsia="宋体" w:cs="Times New Roman"/>
                      <w:b w:val="0"/>
                      <w:bCs w:val="0"/>
                      <w:color w:val="auto"/>
                      <w:sz w:val="21"/>
                      <w:szCs w:val="21"/>
                    </w:rPr>
                    <w:t>4</w:t>
                  </w:r>
                  <w:r>
                    <w:rPr>
                      <w:rFonts w:ascii="Times New Roman" w:hAnsi="Times New Roman" w:eastAsia="宋体" w:cs="Times New Roman"/>
                      <w:b w:val="0"/>
                      <w:bCs w:val="0"/>
                      <w:color w:val="auto"/>
                      <w:sz w:val="21"/>
                      <w:szCs w:val="21"/>
                    </w:rPr>
                    <w:t>次的平均值。</w:t>
                  </w:r>
                </w:p>
              </w:tc>
            </w:tr>
          </w:tbl>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Times New Roman" w:hAnsi="Times New Roman" w:cs="Times New Roman"/>
                <w:b/>
                <w:color w:val="FF0000"/>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Times New Roman" w:hAnsi="Times New Roman" w:cs="Times New Roman"/>
                <w:b/>
                <w:color w:val="FF0000"/>
                <w:szCs w:val="24"/>
                <w:lang w:val="en-US" w:eastAsia="zh-CN"/>
              </w:rPr>
            </w:pPr>
          </w:p>
          <w:p>
            <w:pPr>
              <w:pStyle w:val="40"/>
              <w:spacing w:line="360" w:lineRule="auto"/>
              <w:ind w:firstLine="480" w:firstLineChars="200"/>
              <w:rPr>
                <w:rFonts w:hint="eastAsia" w:ascii="Times New Roman" w:eastAsia="宋体"/>
                <w:color w:val="auto"/>
                <w:lang w:eastAsia="zh-CN"/>
              </w:rPr>
            </w:pPr>
            <w:r>
              <w:rPr>
                <w:rFonts w:ascii="Times New Roman"/>
                <w:color w:val="auto"/>
              </w:rPr>
              <w:t>（</w:t>
            </w:r>
            <w:r>
              <w:rPr>
                <w:rFonts w:hint="eastAsia" w:ascii="Times New Roman" w:hAnsi="Times New Roman"/>
                <w:color w:val="auto"/>
                <w:lang w:val="en-US" w:eastAsia="zh-CN"/>
              </w:rPr>
              <w:t>2</w:t>
            </w:r>
            <w:r>
              <w:rPr>
                <w:rFonts w:ascii="Times New Roman"/>
                <w:color w:val="auto"/>
              </w:rPr>
              <w:t>）</w:t>
            </w:r>
            <w:r>
              <w:rPr>
                <w:rFonts w:hint="eastAsia" w:ascii="Times New Roman"/>
                <w:color w:val="auto"/>
              </w:rPr>
              <w:t>废</w:t>
            </w:r>
            <w:r>
              <w:rPr>
                <w:rFonts w:hint="eastAsia" w:ascii="Times New Roman"/>
                <w:color w:val="auto"/>
                <w:lang w:val="en-US" w:eastAsia="zh-CN"/>
              </w:rPr>
              <w:t>气</w:t>
            </w: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原有</w:t>
            </w:r>
            <w:r>
              <w:rPr>
                <w:rFonts w:hint="eastAsia" w:eastAsia="宋体"/>
                <w:bCs/>
                <w:color w:val="auto"/>
              </w:rPr>
              <w:t>项目生产过程中产生的废气主要为</w:t>
            </w:r>
            <w:r>
              <w:rPr>
                <w:rFonts w:hint="eastAsia" w:eastAsia="宋体"/>
                <w:bCs/>
                <w:color w:val="auto"/>
                <w:lang w:val="en-US" w:eastAsia="zh-CN"/>
              </w:rPr>
              <w:t>焊接废气、切割废气、抛丸粉尘、喷塑废气、油漆废气</w:t>
            </w:r>
            <w:r>
              <w:rPr>
                <w:rFonts w:hint="eastAsia" w:eastAsia="宋体"/>
                <w:bCs/>
                <w:color w:val="auto"/>
              </w:rPr>
              <w:t>。</w:t>
            </w:r>
          </w:p>
          <w:p>
            <w:pPr>
              <w:spacing w:line="360" w:lineRule="auto"/>
              <w:ind w:firstLine="480" w:firstLineChars="200"/>
              <w:rPr>
                <w:rFonts w:hint="eastAsia" w:eastAsia="宋体"/>
                <w:bCs/>
                <w:color w:val="auto"/>
                <w:lang w:val="en-US" w:eastAsia="zh-CN"/>
              </w:rPr>
            </w:pPr>
            <w:r>
              <w:rPr>
                <w:rFonts w:hint="eastAsia" w:eastAsia="宋体"/>
                <w:bCs/>
                <w:color w:val="auto"/>
              </w:rPr>
              <w:t>a）</w:t>
            </w:r>
            <w:r>
              <w:rPr>
                <w:rFonts w:hint="eastAsia" w:eastAsia="宋体"/>
                <w:bCs/>
                <w:color w:val="auto"/>
                <w:lang w:val="en-US" w:eastAsia="zh-CN"/>
              </w:rPr>
              <w:t>焊接废气</w:t>
            </w: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原有项目在生产过程中主要采用埋弧焊工艺进行焊接，极少量的补焊工艺采用二氧化碳保护焊，焊接过程会有极少量的烟尘以无组织形式排放。</w:t>
            </w:r>
          </w:p>
          <w:p>
            <w:pPr>
              <w:pStyle w:val="40"/>
              <w:rPr>
                <w:rFonts w:hint="default"/>
                <w:lang w:val="en-US" w:eastAsia="zh-CN"/>
              </w:rPr>
            </w:pP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b）切割废气</w:t>
            </w: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原有项目在切割过程会有少量的含尘废气产生，以无组织形式排放。</w:t>
            </w:r>
          </w:p>
          <w:p>
            <w:pPr>
              <w:pStyle w:val="40"/>
              <w:rPr>
                <w:rFonts w:hint="default"/>
                <w:lang w:val="en-US" w:eastAsia="zh-CN"/>
              </w:rPr>
            </w:pP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c）抛丸粉尘（DA002）</w:t>
            </w:r>
          </w:p>
          <w:p>
            <w:pPr>
              <w:spacing w:line="360" w:lineRule="auto"/>
              <w:ind w:firstLine="480" w:firstLineChars="200"/>
              <w:rPr>
                <w:rFonts w:ascii="Times New Roman" w:hAnsi="Times New Roman" w:eastAsia="宋体" w:cs="Times New Roman"/>
                <w:color w:val="auto"/>
              </w:rPr>
            </w:pPr>
            <w:r>
              <w:rPr>
                <w:rFonts w:hint="eastAsia" w:cs="Times New Roman"/>
                <w:color w:val="auto"/>
                <w:lang w:val="en-US" w:eastAsia="zh-CN"/>
              </w:rPr>
              <w:t>原有项目抛丸过程中会有金属粉尘产生，抛丸机自带有脉冲布袋除尘器，粉尘经收集处理后通过一根15m高的DA002排气筒高空排放。根据</w:t>
            </w:r>
            <w:r>
              <w:rPr>
                <w:rFonts w:hint="eastAsia" w:eastAsia="宋体"/>
                <w:bCs/>
                <w:color w:val="auto"/>
                <w:lang w:val="en-US" w:eastAsia="zh-CN"/>
              </w:rPr>
              <w:t>鑫桦</w:t>
            </w:r>
            <w:r>
              <w:rPr>
                <w:rFonts w:hint="eastAsia" w:eastAsia="宋体" w:cs="Times New Roman"/>
                <w:bCs/>
                <w:color w:val="auto"/>
                <w:lang w:val="en-US" w:eastAsia="zh-CN"/>
              </w:rPr>
              <w:t>公司</w:t>
            </w:r>
            <w:r>
              <w:rPr>
                <w:rFonts w:hint="eastAsia"/>
                <w:bCs/>
                <w:color w:val="auto"/>
              </w:rPr>
              <w:t>验收监测报告</w:t>
            </w:r>
            <w:r>
              <w:rPr>
                <w:rFonts w:hint="eastAsia"/>
                <w:bCs/>
                <w:color w:val="auto"/>
                <w:lang w:eastAsia="zh-CN"/>
              </w:rPr>
              <w:t>，</w:t>
            </w:r>
            <w:r>
              <w:rPr>
                <w:rFonts w:hint="eastAsia"/>
                <w:bCs/>
                <w:color w:val="auto"/>
                <w:lang w:val="en-US" w:eastAsia="zh-CN"/>
              </w:rPr>
              <w:t>其</w:t>
            </w:r>
            <w:r>
              <w:rPr>
                <w:rFonts w:hint="eastAsia"/>
                <w:color w:val="auto"/>
                <w:lang w:val="en-US" w:eastAsia="zh-CN"/>
              </w:rPr>
              <w:t>DA002排气筒中颗粒物排放浓度能够</w:t>
            </w:r>
            <w:r>
              <w:rPr>
                <w:rFonts w:hint="eastAsia" w:ascii="Times New Roman" w:hAnsi="Times New Roman" w:eastAsia="宋体" w:cs="Times New Roman"/>
                <w:color w:val="auto"/>
                <w:lang w:val="en-US" w:eastAsia="zh-CN"/>
              </w:rPr>
              <w:t>达到</w:t>
            </w:r>
            <w:r>
              <w:rPr>
                <w:rFonts w:hint="eastAsia"/>
                <w:color w:val="auto"/>
                <w:szCs w:val="24"/>
              </w:rPr>
              <w:t>《工业涂装工序大气污染物排放标准》（DB33</w:t>
            </w:r>
            <w:r>
              <w:rPr>
                <w:rFonts w:hint="eastAsia"/>
                <w:color w:val="auto"/>
                <w:szCs w:val="24"/>
                <w:lang w:val="en-US" w:eastAsia="zh-CN"/>
              </w:rPr>
              <w:t>/</w:t>
            </w:r>
            <w:r>
              <w:rPr>
                <w:rFonts w:hint="eastAsia"/>
                <w:color w:val="auto"/>
                <w:szCs w:val="24"/>
              </w:rPr>
              <w:t>2146-2018）中的“表</w:t>
            </w:r>
            <w:r>
              <w:rPr>
                <w:rFonts w:hint="eastAsia"/>
                <w:color w:val="auto"/>
                <w:szCs w:val="24"/>
                <w:lang w:val="en-US" w:eastAsia="zh-CN"/>
              </w:rPr>
              <w:t>2</w:t>
            </w:r>
            <w:r>
              <w:rPr>
                <w:rFonts w:hint="eastAsia"/>
                <w:color w:val="auto"/>
                <w:szCs w:val="24"/>
              </w:rPr>
              <w:t>大气污染物</w:t>
            </w:r>
            <w:r>
              <w:rPr>
                <w:rFonts w:hint="eastAsia"/>
                <w:color w:val="auto"/>
                <w:szCs w:val="24"/>
                <w:lang w:val="en-US" w:eastAsia="zh-CN"/>
              </w:rPr>
              <w:t>特别</w:t>
            </w:r>
            <w:r>
              <w:rPr>
                <w:rFonts w:hint="eastAsia"/>
                <w:color w:val="auto"/>
                <w:szCs w:val="24"/>
              </w:rPr>
              <w:t>排放限值”</w:t>
            </w:r>
            <w:r>
              <w:rPr>
                <w:rFonts w:hint="eastAsia" w:ascii="Times New Roman" w:hAnsi="Times New Roman" w:eastAsia="宋体" w:cs="Times New Roman"/>
                <w:color w:val="auto"/>
                <w:lang w:val="en-US" w:eastAsia="zh-CN"/>
              </w:rPr>
              <w:t>，监</w:t>
            </w:r>
            <w:r>
              <w:rPr>
                <w:color w:val="auto"/>
              </w:rPr>
              <w:t>测结果</w:t>
            </w:r>
            <w:r>
              <w:rPr>
                <w:rFonts w:hint="eastAsia"/>
                <w:color w:val="auto"/>
              </w:rPr>
              <w:t>见</w:t>
            </w:r>
            <w:r>
              <w:rPr>
                <w:color w:val="auto"/>
              </w:rPr>
              <w:t>表</w:t>
            </w:r>
            <w:r>
              <w:rPr>
                <w:rFonts w:hint="eastAsia"/>
                <w:color w:val="auto"/>
              </w:rPr>
              <w:t>2-</w:t>
            </w:r>
            <w:r>
              <w:rPr>
                <w:rFonts w:hint="eastAsia"/>
                <w:color w:val="auto"/>
                <w:lang w:val="en-US" w:eastAsia="zh-CN"/>
              </w:rPr>
              <w:t>19</w:t>
            </w:r>
            <w:r>
              <w:rPr>
                <w:color w:val="auto"/>
              </w:rPr>
              <w:t>。</w:t>
            </w: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表2-</w:t>
            </w:r>
            <w:r>
              <w:rPr>
                <w:rFonts w:hint="eastAsia" w:cs="Times New Roman"/>
                <w:b/>
                <w:bCs/>
                <w:color w:val="auto"/>
                <w:lang w:val="en-US" w:eastAsia="zh-CN"/>
              </w:rPr>
              <w:t>19</w:t>
            </w:r>
            <w:r>
              <w:rPr>
                <w:rFonts w:hint="eastAsia" w:ascii="Times New Roman" w:hAnsi="Times New Roman" w:eastAsia="宋体" w:cs="Times New Roman"/>
                <w:b/>
                <w:bCs/>
                <w:color w:val="auto"/>
              </w:rPr>
              <w:t xml:space="preserve">  </w:t>
            </w:r>
            <w:r>
              <w:rPr>
                <w:rFonts w:hint="eastAsia" w:cs="Times New Roman"/>
                <w:b/>
                <w:bCs/>
                <w:color w:val="auto"/>
                <w:lang w:val="en-US" w:eastAsia="zh-CN"/>
              </w:rPr>
              <w:t>DA002排气筒颗粒物</w:t>
            </w:r>
            <w:r>
              <w:rPr>
                <w:rFonts w:hint="eastAsia" w:ascii="Times New Roman" w:hAnsi="Times New Roman" w:eastAsia="宋体" w:cs="Times New Roman"/>
                <w:b/>
                <w:bCs/>
                <w:color w:val="auto"/>
              </w:rPr>
              <w:t>（有组织排放）检测结果表</w:t>
            </w:r>
          </w:p>
          <w:tbl>
            <w:tblPr>
              <w:tblStyle w:val="29"/>
              <w:tblW w:w="7370"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80"/>
              <w:gridCol w:w="1905"/>
              <w:gridCol w:w="1146"/>
              <w:gridCol w:w="1146"/>
              <w:gridCol w:w="1146"/>
              <w:gridCol w:w="1147"/>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工艺设备名称及型号</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抛丸</w:t>
                  </w:r>
                  <w:r>
                    <w:rPr>
                      <w:rFonts w:hint="default" w:cs="Times New Roman" w:eastAsiaTheme="minorEastAsia"/>
                      <w:color w:val="auto"/>
                      <w:sz w:val="21"/>
                      <w:szCs w:val="21"/>
                      <w:lang w:val="en-US" w:eastAsia="zh-CN"/>
                    </w:rPr>
                    <w:t>工序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净化器名称及型号</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脉冲布袋除尘器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lang w:val="en-US" w:eastAsia="zh-CN"/>
                    </w:rPr>
                  </w:pPr>
                  <w:r>
                    <w:rPr>
                      <w:rFonts w:hint="eastAsia" w:cs="Times New Roman" w:eastAsiaTheme="minorEastAsia"/>
                      <w:b/>
                      <w:color w:val="auto"/>
                      <w:sz w:val="21"/>
                      <w:szCs w:val="21"/>
                      <w:lang w:val="en-US" w:eastAsia="zh-CN"/>
                    </w:rPr>
                    <w:t>采样位置</w:t>
                  </w:r>
                </w:p>
              </w:tc>
              <w:tc>
                <w:tcPr>
                  <w:tcW w:w="4585" w:type="dxa"/>
                  <w:gridSpan w:val="4"/>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ascii="Times New Roman" w:hAnsi="Times New Roman" w:cs="Times New Roman" w:eastAsiaTheme="minorEastAsia"/>
                      <w:color w:val="auto"/>
                      <w:sz w:val="21"/>
                      <w:szCs w:val="21"/>
                      <w:lang w:val="en-US" w:eastAsia="zh-CN"/>
                    </w:rPr>
                    <w:t>DA00</w:t>
                  </w:r>
                  <w:r>
                    <w:rPr>
                      <w:rFonts w:hint="eastAsia" w:cs="Times New Roman" w:eastAsiaTheme="minorEastAsia"/>
                      <w:color w:val="auto"/>
                      <w:sz w:val="21"/>
                      <w:szCs w:val="21"/>
                      <w:lang w:val="en-US" w:eastAsia="zh-CN"/>
                    </w:rPr>
                    <w:t>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采样日期</w:t>
                  </w:r>
                </w:p>
              </w:tc>
              <w:tc>
                <w:tcPr>
                  <w:tcW w:w="2292" w:type="dxa"/>
                  <w:gridSpan w:val="2"/>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w:t>
                  </w:r>
                  <w:r>
                    <w:rPr>
                      <w:rFonts w:hint="default" w:ascii="Times New Roman" w:hAnsi="Times New Roman" w:cs="Times New Roman" w:eastAsiaTheme="minorEastAsia"/>
                      <w:color w:val="auto"/>
                      <w:sz w:val="21"/>
                      <w:szCs w:val="21"/>
                    </w:rPr>
                    <w:t>年</w:t>
                  </w:r>
                  <w:r>
                    <w:rPr>
                      <w:rFonts w:hint="eastAsia" w:cs="Times New Roman" w:eastAsiaTheme="minorEastAsia"/>
                      <w:color w:val="auto"/>
                      <w:sz w:val="21"/>
                      <w:szCs w:val="21"/>
                      <w:lang w:val="en-US" w:eastAsia="zh-CN"/>
                    </w:rPr>
                    <w:t>12</w:t>
                  </w:r>
                  <w:r>
                    <w:rPr>
                      <w:rFonts w:hint="default" w:ascii="Times New Roman" w:hAnsi="Times New Roman" w:cs="Times New Roman" w:eastAsiaTheme="minorEastAsia"/>
                      <w:color w:val="auto"/>
                      <w:sz w:val="21"/>
                      <w:szCs w:val="21"/>
                    </w:rPr>
                    <w:t>月</w:t>
                  </w:r>
                  <w:r>
                    <w:rPr>
                      <w:rFonts w:hint="eastAsia" w:cs="Times New Roman" w:eastAsiaTheme="minorEastAsia"/>
                      <w:color w:val="auto"/>
                      <w:sz w:val="21"/>
                      <w:szCs w:val="21"/>
                      <w:lang w:val="en-US" w:eastAsia="zh-CN"/>
                    </w:rPr>
                    <w:t>8</w:t>
                  </w:r>
                  <w:r>
                    <w:rPr>
                      <w:rFonts w:hint="default" w:ascii="Times New Roman" w:hAnsi="Times New Roman" w:cs="Times New Roman" w:eastAsiaTheme="minorEastAsia"/>
                      <w:color w:val="auto"/>
                      <w:sz w:val="21"/>
                      <w:szCs w:val="21"/>
                    </w:rPr>
                    <w:t>日</w:t>
                  </w:r>
                </w:p>
              </w:tc>
              <w:tc>
                <w:tcPr>
                  <w:tcW w:w="2293" w:type="dxa"/>
                  <w:gridSpan w:val="2"/>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w:t>
                  </w:r>
                  <w:r>
                    <w:rPr>
                      <w:rFonts w:hint="default" w:ascii="Times New Roman" w:hAnsi="Times New Roman" w:cs="Times New Roman" w:eastAsiaTheme="minorEastAsia"/>
                      <w:color w:val="auto"/>
                      <w:sz w:val="21"/>
                      <w:szCs w:val="21"/>
                    </w:rPr>
                    <w:t>年1</w:t>
                  </w:r>
                  <w:r>
                    <w:rPr>
                      <w:rFonts w:hint="eastAsia" w:cs="Times New Roman" w:eastAsiaTheme="minorEastAsia"/>
                      <w:color w:val="auto"/>
                      <w:sz w:val="21"/>
                      <w:szCs w:val="21"/>
                      <w:lang w:val="en-US" w:eastAsia="zh-CN"/>
                    </w:rPr>
                    <w:t>2</w:t>
                  </w:r>
                  <w:r>
                    <w:rPr>
                      <w:rFonts w:hint="default" w:ascii="Times New Roman" w:hAnsi="Times New Roman" w:cs="Times New Roman" w:eastAsiaTheme="minorEastAsia"/>
                      <w:color w:val="auto"/>
                      <w:sz w:val="21"/>
                      <w:szCs w:val="21"/>
                    </w:rPr>
                    <w:t>月</w:t>
                  </w:r>
                  <w:r>
                    <w:rPr>
                      <w:rFonts w:hint="eastAsia" w:cs="Times New Roman" w:eastAsiaTheme="minorEastAsia"/>
                      <w:color w:val="auto"/>
                      <w:sz w:val="21"/>
                      <w:szCs w:val="21"/>
                      <w:lang w:val="en-US" w:eastAsia="zh-CN"/>
                    </w:rPr>
                    <w:t>9</w:t>
                  </w:r>
                  <w:r>
                    <w:rPr>
                      <w:rFonts w:hint="default" w:ascii="Times New Roman" w:hAnsi="Times New Roman" w:cs="Times New Roman" w:eastAsiaTheme="minorEastAsia"/>
                      <w:color w:val="auto"/>
                      <w:sz w:val="21"/>
                      <w:szCs w:val="21"/>
                    </w:rPr>
                    <w:t>日</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lang w:val="en-US" w:eastAsia="zh-CN"/>
                    </w:rPr>
                  </w:pPr>
                  <w:r>
                    <w:rPr>
                      <w:rFonts w:hint="eastAsia" w:cs="Times New Roman" w:eastAsiaTheme="minorEastAsia"/>
                      <w:b/>
                      <w:color w:val="auto"/>
                      <w:sz w:val="21"/>
                      <w:szCs w:val="21"/>
                      <w:lang w:val="en-US" w:eastAsia="zh-CN"/>
                    </w:rPr>
                    <w:t>排气筒高度</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w:t>
                  </w:r>
                </w:p>
              </w:tc>
              <w:tc>
                <w:tcPr>
                  <w:tcW w:w="1146" w:type="dxa"/>
                  <w:noWrap w:val="0"/>
                  <w:vAlign w:val="center"/>
                </w:tcPr>
                <w:p>
                  <w:pPr>
                    <w:adjustRightInd w:val="0"/>
                    <w:snapToGrid w:val="0"/>
                    <w:jc w:val="center"/>
                    <w:rPr>
                      <w:rFonts w:hint="eastAsia"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15m</w:t>
                  </w:r>
                </w:p>
              </w:tc>
              <w:tc>
                <w:tcPr>
                  <w:tcW w:w="1146"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w:t>
                  </w:r>
                </w:p>
              </w:tc>
              <w:tc>
                <w:tcPr>
                  <w:tcW w:w="1147" w:type="dxa"/>
                  <w:tcBorders>
                    <w:right w:val="single" w:color="auto" w:sz="4" w:space="0"/>
                  </w:tcBorders>
                  <w:noWrap w:val="0"/>
                  <w:vAlign w:val="center"/>
                </w:tcPr>
                <w:p>
                  <w:pPr>
                    <w:adjustRightInd w:val="0"/>
                    <w:snapToGrid w:val="0"/>
                    <w:jc w:val="center"/>
                    <w:rPr>
                      <w:rFonts w:hint="eastAsia"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15m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785" w:type="dxa"/>
                  <w:gridSpan w:val="2"/>
                  <w:tcBorders>
                    <w:left w:val="single" w:color="auto" w:sz="4" w:space="0"/>
                    <w:tl2br w:val="single" w:color="auto" w:sz="4" w:space="0"/>
                  </w:tcBorders>
                  <w:noWrap w:val="0"/>
                  <w:vAlign w:val="center"/>
                </w:tcPr>
                <w:p>
                  <w:pPr>
                    <w:adjustRightInd w:val="0"/>
                    <w:snapToGrid w:val="0"/>
                    <w:jc w:val="right"/>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测点位置</w:t>
                  </w:r>
                </w:p>
                <w:p>
                  <w:pPr>
                    <w:adjustRightInd w:val="0"/>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检测项目</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w:t>
                  </w:r>
                  <w:r>
                    <w:rPr>
                      <w:rFonts w:hint="eastAsia" w:cs="Times New Roman" w:eastAsiaTheme="minorEastAsia"/>
                      <w:color w:val="auto"/>
                      <w:sz w:val="21"/>
                      <w:szCs w:val="21"/>
                      <w:lang w:val="en-US" w:eastAsia="zh-CN"/>
                    </w:rPr>
                    <w:t>进</w:t>
                  </w:r>
                  <w:r>
                    <w:rPr>
                      <w:rFonts w:hint="default" w:ascii="Times New Roman" w:hAnsi="Times New Roman" w:cs="Times New Roman" w:eastAsiaTheme="minorEastAsia"/>
                      <w:color w:val="auto"/>
                      <w:sz w:val="21"/>
                      <w:szCs w:val="21"/>
                    </w:rPr>
                    <w:t>口</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废气处理装置出口</w:t>
                  </w:r>
                </w:p>
              </w:tc>
              <w:tc>
                <w:tcPr>
                  <w:tcW w:w="1146"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w:t>
                  </w:r>
                  <w:r>
                    <w:rPr>
                      <w:rFonts w:hint="eastAsia" w:cs="Times New Roman" w:eastAsiaTheme="minorEastAsia"/>
                      <w:color w:val="auto"/>
                      <w:sz w:val="21"/>
                      <w:szCs w:val="21"/>
                      <w:lang w:val="en-US" w:eastAsia="zh-CN"/>
                    </w:rPr>
                    <w:t>进</w:t>
                  </w:r>
                  <w:r>
                    <w:rPr>
                      <w:rFonts w:hint="default" w:ascii="Times New Roman" w:hAnsi="Times New Roman" w:cs="Times New Roman" w:eastAsiaTheme="minorEastAsia"/>
                      <w:color w:val="auto"/>
                      <w:sz w:val="21"/>
                      <w:szCs w:val="21"/>
                    </w:rPr>
                    <w:t>口</w:t>
                  </w:r>
                </w:p>
              </w:tc>
              <w:tc>
                <w:tcPr>
                  <w:tcW w:w="1147"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废气处理装置出口</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0" w:type="dxa"/>
                  <w:vMerge w:val="restart"/>
                  <w:tcBorders>
                    <w:left w:val="single" w:color="auto" w:sz="4" w:space="0"/>
                  </w:tcBorders>
                  <w:noWrap w:val="0"/>
                  <w:vAlign w:val="center"/>
                </w:tcPr>
                <w:p>
                  <w:pPr>
                    <w:adjustRightInd w:val="0"/>
                    <w:snapToGrid w:val="0"/>
                    <w:jc w:val="center"/>
                    <w:rPr>
                      <w:rFonts w:hint="eastAsia" w:ascii="Times New Roman" w:hAnsi="Times New Roman" w:cs="Times New Roman" w:eastAsiaTheme="minorEastAsia"/>
                      <w:snapToGrid w:val="0"/>
                      <w:color w:val="auto"/>
                      <w:kern w:val="0"/>
                      <w:sz w:val="21"/>
                      <w:szCs w:val="21"/>
                      <w:lang w:eastAsia="zh-CN"/>
                    </w:rPr>
                  </w:pPr>
                  <w:r>
                    <w:rPr>
                      <w:rFonts w:hint="eastAsia" w:cs="Times New Roman" w:eastAsiaTheme="minorEastAsia"/>
                      <w:snapToGrid w:val="0"/>
                      <w:color w:val="auto"/>
                      <w:kern w:val="0"/>
                      <w:sz w:val="21"/>
                      <w:szCs w:val="21"/>
                      <w:lang w:val="en-US" w:eastAsia="zh-CN"/>
                    </w:rPr>
                    <w:t>颗粒物</w:t>
                  </w:r>
                </w:p>
              </w:tc>
              <w:tc>
                <w:tcPr>
                  <w:tcW w:w="1905" w:type="dxa"/>
                  <w:noWrap w:val="0"/>
                  <w:vAlign w:val="center"/>
                </w:tcPr>
                <w:p>
                  <w:pPr>
                    <w:adjustRightInd w:val="0"/>
                    <w:snapToGrid w:val="0"/>
                    <w:jc w:val="center"/>
                    <w:rPr>
                      <w:rFonts w:hint="default" w:ascii="Times New Roman" w:hAnsi="Times New Roman" w:cs="Times New Roman" w:eastAsiaTheme="minorEastAsia"/>
                      <w:snapToGrid w:val="0"/>
                      <w:color w:val="auto"/>
                      <w:kern w:val="0"/>
                      <w:sz w:val="21"/>
                      <w:szCs w:val="21"/>
                    </w:rPr>
                  </w:pPr>
                  <w:r>
                    <w:rPr>
                      <w:rFonts w:hint="default" w:ascii="Times New Roman" w:hAnsi="Times New Roman" w:cs="Times New Roman" w:eastAsiaTheme="minorEastAsia"/>
                      <w:color w:val="auto"/>
                      <w:sz w:val="21"/>
                      <w:szCs w:val="21"/>
                    </w:rPr>
                    <w:t>排放浓度（mg/m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w:t>
                  </w:r>
                </w:p>
              </w:tc>
              <w:tc>
                <w:tcPr>
                  <w:tcW w:w="1146" w:type="dxa"/>
                  <w:noWrap w:val="0"/>
                  <w:vAlign w:val="center"/>
                </w:tcPr>
                <w:p>
                  <w:pPr>
                    <w:jc w:val="center"/>
                    <w:rPr>
                      <w:rFonts w:hint="default" w:ascii="Times New Roman" w:hAnsi="Times New Roman"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41</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3.9</w:t>
                  </w:r>
                </w:p>
              </w:tc>
              <w:tc>
                <w:tcPr>
                  <w:tcW w:w="1146" w:type="dxa"/>
                  <w:tcBorders>
                    <w:right w:val="single" w:color="auto" w:sz="4" w:space="0"/>
                  </w:tcBorders>
                  <w:noWrap w:val="0"/>
                  <w:vAlign w:val="center"/>
                </w:tcPr>
                <w:p>
                  <w:pPr>
                    <w:jc w:val="center"/>
                    <w:rPr>
                      <w:rFonts w:hint="default" w:ascii="Times New Roman" w:hAnsi="Times New Roman"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37</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3.7</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0" w:type="dxa"/>
                  <w:vMerge w:val="continue"/>
                  <w:tcBorders>
                    <w:left w:val="single" w:color="auto" w:sz="4" w:space="0"/>
                  </w:tcBorders>
                  <w:noWrap w:val="0"/>
                  <w:vAlign w:val="center"/>
                </w:tcPr>
                <w:p>
                  <w:pPr>
                    <w:adjustRightInd w:val="0"/>
                    <w:snapToGrid w:val="0"/>
                    <w:jc w:val="center"/>
                    <w:rPr>
                      <w:rFonts w:hint="eastAsia" w:cs="Times New Roman" w:eastAsiaTheme="minorEastAsia"/>
                      <w:snapToGrid w:val="0"/>
                      <w:color w:val="auto"/>
                      <w:kern w:val="0"/>
                      <w:sz w:val="21"/>
                      <w:szCs w:val="21"/>
                      <w:lang w:val="en-US" w:eastAsia="zh-CN"/>
                    </w:rPr>
                  </w:pPr>
                </w:p>
              </w:tc>
              <w:tc>
                <w:tcPr>
                  <w:tcW w:w="1905" w:type="dxa"/>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排放速率（kg/h）</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0.378</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0.0399</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0.335</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0.0358</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370" w:type="dxa"/>
                  <w:gridSpan w:val="6"/>
                  <w:tcBorders>
                    <w:left w:val="single" w:color="auto" w:sz="4" w:space="0"/>
                    <w:right w:val="single" w:color="auto" w:sz="4" w:space="0"/>
                  </w:tcBorders>
                  <w:noWrap w:val="0"/>
                  <w:vAlign w:val="center"/>
                </w:tcPr>
                <w:p>
                  <w:pPr>
                    <w:adjustRightInd w:val="0"/>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备注：检测结果为3次的平均值。</w:t>
                  </w:r>
                </w:p>
              </w:tc>
            </w:tr>
          </w:tbl>
          <w:p>
            <w:pPr>
              <w:pStyle w:val="14"/>
              <w:rPr>
                <w:rFonts w:hint="eastAsia"/>
                <w:lang w:val="en-US" w:eastAsia="zh-CN"/>
              </w:rPr>
            </w:pPr>
          </w:p>
          <w:p>
            <w:pPr>
              <w:rPr>
                <w:rFonts w:hint="eastAsia"/>
                <w:lang w:val="en-US" w:eastAsia="zh-CN"/>
              </w:rPr>
            </w:pP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d）喷塑废气（DA003）</w:t>
            </w:r>
          </w:p>
          <w:p>
            <w:pPr>
              <w:spacing w:line="360" w:lineRule="auto"/>
              <w:ind w:firstLine="480" w:firstLineChars="200"/>
              <w:rPr>
                <w:rFonts w:ascii="Times New Roman" w:hAnsi="Times New Roman" w:eastAsia="宋体" w:cs="Times New Roman"/>
                <w:color w:val="auto"/>
              </w:rPr>
            </w:pPr>
            <w:r>
              <w:rPr>
                <w:rFonts w:hint="eastAsia" w:cs="Times New Roman"/>
                <w:color w:val="auto"/>
                <w:lang w:val="en-US" w:eastAsia="zh-CN"/>
              </w:rPr>
              <w:t>原有项</w:t>
            </w:r>
            <w:r>
              <w:rPr>
                <w:rFonts w:hint="eastAsia" w:eastAsia="宋体" w:cs="Times New Roman"/>
                <w:color w:val="auto"/>
                <w:lang w:val="en-US" w:eastAsia="zh-CN"/>
              </w:rPr>
              <w:t>目喷塑过程中会有粉尘、非甲烷总烃及臭气产生，设有1套滤芯除尘+布袋除尘器对塑粉进行回收，后道设有1套</w:t>
            </w:r>
            <w:r>
              <w:rPr>
                <w:rFonts w:hint="default" w:eastAsia="宋体" w:cs="Times New Roman"/>
                <w:color w:val="auto"/>
                <w:lang w:val="en-US" w:eastAsia="zh-CN"/>
              </w:rPr>
              <w:t>两级活性炭吸附装置</w:t>
            </w:r>
            <w:r>
              <w:rPr>
                <w:rFonts w:hint="eastAsia" w:eastAsia="宋体" w:cs="Times New Roman"/>
                <w:color w:val="auto"/>
                <w:lang w:val="en-US" w:eastAsia="zh-CN"/>
              </w:rPr>
              <w:t>处理有机废气</w:t>
            </w:r>
            <w:r>
              <w:rPr>
                <w:rFonts w:hint="eastAsia" w:cs="Times New Roman"/>
                <w:color w:val="auto"/>
                <w:lang w:val="en-US" w:eastAsia="zh-CN"/>
              </w:rPr>
              <w:t>，废气经处理后通过一根15m高的DA003排气筒高空排放。根据</w:t>
            </w:r>
            <w:r>
              <w:rPr>
                <w:rFonts w:hint="eastAsia" w:eastAsia="宋体"/>
                <w:bCs/>
                <w:color w:val="auto"/>
                <w:lang w:val="en-US" w:eastAsia="zh-CN"/>
              </w:rPr>
              <w:t>鑫桦</w:t>
            </w:r>
            <w:r>
              <w:rPr>
                <w:rFonts w:hint="eastAsia" w:eastAsia="宋体" w:cs="Times New Roman"/>
                <w:bCs/>
                <w:color w:val="auto"/>
                <w:lang w:val="en-US" w:eastAsia="zh-CN"/>
              </w:rPr>
              <w:t>公司</w:t>
            </w:r>
            <w:r>
              <w:rPr>
                <w:rFonts w:hint="eastAsia"/>
                <w:bCs/>
                <w:color w:val="auto"/>
              </w:rPr>
              <w:t>验收监测报告</w:t>
            </w:r>
            <w:r>
              <w:rPr>
                <w:rFonts w:hint="eastAsia"/>
                <w:bCs/>
                <w:color w:val="auto"/>
                <w:lang w:eastAsia="zh-CN"/>
              </w:rPr>
              <w:t>，</w:t>
            </w:r>
            <w:r>
              <w:rPr>
                <w:rFonts w:hint="eastAsia"/>
                <w:bCs/>
                <w:color w:val="auto"/>
                <w:lang w:val="en-US" w:eastAsia="zh-CN"/>
              </w:rPr>
              <w:t>其</w:t>
            </w:r>
            <w:r>
              <w:rPr>
                <w:rFonts w:hint="eastAsia"/>
                <w:color w:val="auto"/>
                <w:lang w:val="en-US" w:eastAsia="zh-CN"/>
              </w:rPr>
              <w:t>DA003排气筒中颗粒物、非甲烷总烃、臭气浓度排放均能够</w:t>
            </w:r>
            <w:r>
              <w:rPr>
                <w:rFonts w:hint="eastAsia" w:ascii="Times New Roman" w:hAnsi="Times New Roman" w:eastAsia="宋体" w:cs="Times New Roman"/>
                <w:color w:val="auto"/>
                <w:lang w:val="en-US" w:eastAsia="zh-CN"/>
              </w:rPr>
              <w:t>达到</w:t>
            </w:r>
            <w:r>
              <w:rPr>
                <w:rFonts w:hint="eastAsia"/>
                <w:color w:val="auto"/>
                <w:szCs w:val="24"/>
              </w:rPr>
              <w:t>《工业涂装工序大气污染物排放标准》（DB33</w:t>
            </w:r>
            <w:r>
              <w:rPr>
                <w:rFonts w:hint="eastAsia"/>
                <w:color w:val="auto"/>
                <w:szCs w:val="24"/>
                <w:lang w:val="en-US" w:eastAsia="zh-CN"/>
              </w:rPr>
              <w:t>/</w:t>
            </w:r>
            <w:r>
              <w:rPr>
                <w:rFonts w:hint="eastAsia"/>
                <w:color w:val="auto"/>
                <w:szCs w:val="24"/>
              </w:rPr>
              <w:t>2146-2018）中的“表</w:t>
            </w:r>
            <w:r>
              <w:rPr>
                <w:rFonts w:hint="eastAsia"/>
                <w:color w:val="auto"/>
                <w:szCs w:val="24"/>
                <w:lang w:val="en-US" w:eastAsia="zh-CN"/>
              </w:rPr>
              <w:t>2</w:t>
            </w:r>
            <w:r>
              <w:rPr>
                <w:rFonts w:hint="eastAsia"/>
                <w:color w:val="auto"/>
                <w:szCs w:val="24"/>
              </w:rPr>
              <w:t>大气污染物</w:t>
            </w:r>
            <w:r>
              <w:rPr>
                <w:rFonts w:hint="eastAsia"/>
                <w:color w:val="auto"/>
                <w:szCs w:val="24"/>
                <w:lang w:val="en-US" w:eastAsia="zh-CN"/>
              </w:rPr>
              <w:t>特别</w:t>
            </w:r>
            <w:r>
              <w:rPr>
                <w:rFonts w:hint="eastAsia"/>
                <w:color w:val="auto"/>
                <w:szCs w:val="24"/>
              </w:rPr>
              <w:t>排放限值”</w:t>
            </w:r>
            <w:r>
              <w:rPr>
                <w:rFonts w:hint="eastAsia" w:ascii="Times New Roman" w:hAnsi="Times New Roman" w:eastAsia="宋体" w:cs="Times New Roman"/>
                <w:color w:val="auto"/>
                <w:lang w:val="en-US" w:eastAsia="zh-CN"/>
              </w:rPr>
              <w:t>，监</w:t>
            </w:r>
            <w:r>
              <w:rPr>
                <w:color w:val="auto"/>
              </w:rPr>
              <w:t>测结果</w:t>
            </w:r>
            <w:r>
              <w:rPr>
                <w:rFonts w:hint="eastAsia"/>
                <w:color w:val="auto"/>
              </w:rPr>
              <w:t>见</w:t>
            </w:r>
            <w:r>
              <w:rPr>
                <w:color w:val="auto"/>
              </w:rPr>
              <w:t>表</w:t>
            </w:r>
            <w:r>
              <w:rPr>
                <w:rFonts w:hint="eastAsia"/>
                <w:color w:val="auto"/>
              </w:rPr>
              <w:t>2-</w:t>
            </w:r>
            <w:r>
              <w:rPr>
                <w:rFonts w:hint="eastAsia"/>
                <w:color w:val="auto"/>
                <w:lang w:val="en-US" w:eastAsia="zh-CN"/>
              </w:rPr>
              <w:t>20</w:t>
            </w:r>
            <w:r>
              <w:rPr>
                <w:color w:val="auto"/>
              </w:rPr>
              <w:t>。</w:t>
            </w: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表2-</w:t>
            </w:r>
            <w:r>
              <w:rPr>
                <w:rFonts w:hint="eastAsia" w:cs="Times New Roman"/>
                <w:b/>
                <w:bCs/>
                <w:color w:val="auto"/>
                <w:lang w:val="en-US" w:eastAsia="zh-CN"/>
              </w:rPr>
              <w:t>20</w:t>
            </w:r>
            <w:r>
              <w:rPr>
                <w:rFonts w:hint="eastAsia" w:ascii="Times New Roman" w:hAnsi="Times New Roman" w:eastAsia="宋体" w:cs="Times New Roman"/>
                <w:b/>
                <w:bCs/>
                <w:color w:val="auto"/>
              </w:rPr>
              <w:t xml:space="preserve">  </w:t>
            </w:r>
            <w:r>
              <w:rPr>
                <w:rFonts w:hint="eastAsia" w:cs="Times New Roman"/>
                <w:b/>
                <w:bCs/>
                <w:color w:val="auto"/>
                <w:lang w:val="en-US" w:eastAsia="zh-CN"/>
              </w:rPr>
              <w:t>DA003排气筒废气</w:t>
            </w:r>
            <w:r>
              <w:rPr>
                <w:rFonts w:hint="eastAsia" w:ascii="Times New Roman" w:hAnsi="Times New Roman" w:eastAsia="宋体" w:cs="Times New Roman"/>
                <w:b/>
                <w:bCs/>
                <w:color w:val="auto"/>
              </w:rPr>
              <w:t>（有组织排放）检测结果表</w:t>
            </w:r>
          </w:p>
          <w:tbl>
            <w:tblPr>
              <w:tblStyle w:val="29"/>
              <w:tblW w:w="7370"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80"/>
              <w:gridCol w:w="1905"/>
              <w:gridCol w:w="1146"/>
              <w:gridCol w:w="1146"/>
              <w:gridCol w:w="1146"/>
              <w:gridCol w:w="1147"/>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工艺设备名称及型号</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喷塑</w:t>
                  </w:r>
                  <w:r>
                    <w:rPr>
                      <w:rFonts w:hint="default" w:cs="Times New Roman" w:eastAsiaTheme="minorEastAsia"/>
                      <w:color w:val="auto"/>
                      <w:sz w:val="21"/>
                      <w:szCs w:val="21"/>
                      <w:lang w:val="en-US" w:eastAsia="zh-CN"/>
                    </w:rPr>
                    <w:t>工序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净化器名称及型号</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滤芯除尘+布袋除尘器+</w:t>
                  </w:r>
                  <w:r>
                    <w:rPr>
                      <w:rFonts w:hint="default" w:cs="Times New Roman" w:eastAsiaTheme="minorEastAsia"/>
                      <w:color w:val="auto"/>
                      <w:sz w:val="21"/>
                      <w:szCs w:val="21"/>
                      <w:lang w:val="en-US" w:eastAsia="zh-CN"/>
                    </w:rPr>
                    <w:t>两级活性炭吸附装置</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lang w:val="en-US" w:eastAsia="zh-CN"/>
                    </w:rPr>
                  </w:pPr>
                  <w:r>
                    <w:rPr>
                      <w:rFonts w:hint="eastAsia" w:cs="Times New Roman" w:eastAsiaTheme="minorEastAsia"/>
                      <w:b/>
                      <w:color w:val="auto"/>
                      <w:sz w:val="21"/>
                      <w:szCs w:val="21"/>
                      <w:lang w:val="en-US" w:eastAsia="zh-CN"/>
                    </w:rPr>
                    <w:t>采样位置</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DA003</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采样日期</w:t>
                  </w:r>
                </w:p>
              </w:tc>
              <w:tc>
                <w:tcPr>
                  <w:tcW w:w="2292" w:type="dxa"/>
                  <w:gridSpan w:val="2"/>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w:t>
                  </w:r>
                  <w:r>
                    <w:rPr>
                      <w:rFonts w:hint="default" w:ascii="Times New Roman" w:hAnsi="Times New Roman" w:cs="Times New Roman" w:eastAsiaTheme="minorEastAsia"/>
                      <w:color w:val="auto"/>
                      <w:sz w:val="21"/>
                      <w:szCs w:val="21"/>
                    </w:rPr>
                    <w:t>年</w:t>
                  </w:r>
                  <w:r>
                    <w:rPr>
                      <w:rFonts w:hint="eastAsia" w:cs="Times New Roman" w:eastAsiaTheme="minorEastAsia"/>
                      <w:color w:val="auto"/>
                      <w:sz w:val="21"/>
                      <w:szCs w:val="21"/>
                      <w:lang w:val="en-US" w:eastAsia="zh-CN"/>
                    </w:rPr>
                    <w:t>12</w:t>
                  </w:r>
                  <w:r>
                    <w:rPr>
                      <w:rFonts w:hint="default" w:ascii="Times New Roman" w:hAnsi="Times New Roman" w:cs="Times New Roman" w:eastAsiaTheme="minorEastAsia"/>
                      <w:color w:val="auto"/>
                      <w:sz w:val="21"/>
                      <w:szCs w:val="21"/>
                    </w:rPr>
                    <w:t>月</w:t>
                  </w:r>
                  <w:r>
                    <w:rPr>
                      <w:rFonts w:hint="eastAsia" w:cs="Times New Roman" w:eastAsiaTheme="minorEastAsia"/>
                      <w:color w:val="auto"/>
                      <w:sz w:val="21"/>
                      <w:szCs w:val="21"/>
                      <w:lang w:val="en-US" w:eastAsia="zh-CN"/>
                    </w:rPr>
                    <w:t>12</w:t>
                  </w:r>
                  <w:r>
                    <w:rPr>
                      <w:rFonts w:hint="default" w:ascii="Times New Roman" w:hAnsi="Times New Roman" w:cs="Times New Roman" w:eastAsiaTheme="minorEastAsia"/>
                      <w:color w:val="auto"/>
                      <w:sz w:val="21"/>
                      <w:szCs w:val="21"/>
                    </w:rPr>
                    <w:t>日</w:t>
                  </w:r>
                </w:p>
              </w:tc>
              <w:tc>
                <w:tcPr>
                  <w:tcW w:w="2293" w:type="dxa"/>
                  <w:gridSpan w:val="2"/>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w:t>
                  </w:r>
                  <w:r>
                    <w:rPr>
                      <w:rFonts w:hint="default" w:ascii="Times New Roman" w:hAnsi="Times New Roman" w:cs="Times New Roman" w:eastAsiaTheme="minorEastAsia"/>
                      <w:color w:val="auto"/>
                      <w:sz w:val="21"/>
                      <w:szCs w:val="21"/>
                    </w:rPr>
                    <w:t>年1</w:t>
                  </w:r>
                  <w:r>
                    <w:rPr>
                      <w:rFonts w:hint="eastAsia" w:cs="Times New Roman" w:eastAsiaTheme="minorEastAsia"/>
                      <w:color w:val="auto"/>
                      <w:sz w:val="21"/>
                      <w:szCs w:val="21"/>
                      <w:lang w:val="en-US" w:eastAsia="zh-CN"/>
                    </w:rPr>
                    <w:t>2</w:t>
                  </w:r>
                  <w:r>
                    <w:rPr>
                      <w:rFonts w:hint="default" w:ascii="Times New Roman" w:hAnsi="Times New Roman" w:cs="Times New Roman" w:eastAsiaTheme="minorEastAsia"/>
                      <w:color w:val="auto"/>
                      <w:sz w:val="21"/>
                      <w:szCs w:val="21"/>
                    </w:rPr>
                    <w:t>月</w:t>
                  </w:r>
                  <w:r>
                    <w:rPr>
                      <w:rFonts w:hint="eastAsia" w:cs="Times New Roman" w:eastAsiaTheme="minorEastAsia"/>
                      <w:color w:val="auto"/>
                      <w:sz w:val="21"/>
                      <w:szCs w:val="21"/>
                      <w:lang w:val="en-US" w:eastAsia="zh-CN"/>
                    </w:rPr>
                    <w:t>13</w:t>
                  </w:r>
                  <w:r>
                    <w:rPr>
                      <w:rFonts w:hint="default" w:ascii="Times New Roman" w:hAnsi="Times New Roman" w:cs="Times New Roman" w:eastAsiaTheme="minorEastAsia"/>
                      <w:color w:val="auto"/>
                      <w:sz w:val="21"/>
                      <w:szCs w:val="21"/>
                    </w:rPr>
                    <w:t>日</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lang w:val="en-US" w:eastAsia="zh-CN"/>
                    </w:rPr>
                  </w:pPr>
                  <w:r>
                    <w:rPr>
                      <w:rFonts w:hint="eastAsia" w:cs="Times New Roman" w:eastAsiaTheme="minorEastAsia"/>
                      <w:b/>
                      <w:color w:val="auto"/>
                      <w:sz w:val="21"/>
                      <w:szCs w:val="21"/>
                      <w:lang w:val="en-US" w:eastAsia="zh-CN"/>
                    </w:rPr>
                    <w:t>排气筒高度</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w:t>
                  </w:r>
                </w:p>
              </w:tc>
              <w:tc>
                <w:tcPr>
                  <w:tcW w:w="1146" w:type="dxa"/>
                  <w:noWrap w:val="0"/>
                  <w:vAlign w:val="center"/>
                </w:tcPr>
                <w:p>
                  <w:pPr>
                    <w:adjustRightInd w:val="0"/>
                    <w:snapToGrid w:val="0"/>
                    <w:jc w:val="center"/>
                    <w:rPr>
                      <w:rFonts w:hint="eastAsia"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15m</w:t>
                  </w:r>
                </w:p>
              </w:tc>
              <w:tc>
                <w:tcPr>
                  <w:tcW w:w="1146"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w:t>
                  </w:r>
                </w:p>
              </w:tc>
              <w:tc>
                <w:tcPr>
                  <w:tcW w:w="1147" w:type="dxa"/>
                  <w:tcBorders>
                    <w:right w:val="single" w:color="auto" w:sz="4" w:space="0"/>
                  </w:tcBorders>
                  <w:noWrap w:val="0"/>
                  <w:vAlign w:val="center"/>
                </w:tcPr>
                <w:p>
                  <w:pPr>
                    <w:adjustRightInd w:val="0"/>
                    <w:snapToGrid w:val="0"/>
                    <w:jc w:val="center"/>
                    <w:rPr>
                      <w:rFonts w:hint="eastAsia"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15m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2785" w:type="dxa"/>
                  <w:gridSpan w:val="2"/>
                  <w:tcBorders>
                    <w:left w:val="single" w:color="auto" w:sz="4" w:space="0"/>
                    <w:tl2br w:val="single" w:color="auto" w:sz="4" w:space="0"/>
                  </w:tcBorders>
                  <w:noWrap w:val="0"/>
                  <w:vAlign w:val="center"/>
                </w:tcPr>
                <w:p>
                  <w:pPr>
                    <w:adjustRightInd w:val="0"/>
                    <w:snapToGrid w:val="0"/>
                    <w:jc w:val="right"/>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测点位置</w:t>
                  </w:r>
                </w:p>
                <w:p>
                  <w:pPr>
                    <w:adjustRightInd w:val="0"/>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检测项目</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w:t>
                  </w:r>
                  <w:r>
                    <w:rPr>
                      <w:rFonts w:hint="eastAsia" w:cs="Times New Roman" w:eastAsiaTheme="minorEastAsia"/>
                      <w:color w:val="auto"/>
                      <w:sz w:val="21"/>
                      <w:szCs w:val="21"/>
                      <w:lang w:val="en-US" w:eastAsia="zh-CN"/>
                    </w:rPr>
                    <w:t>进</w:t>
                  </w:r>
                  <w:r>
                    <w:rPr>
                      <w:rFonts w:hint="default" w:ascii="Times New Roman" w:hAnsi="Times New Roman" w:cs="Times New Roman" w:eastAsiaTheme="minorEastAsia"/>
                      <w:color w:val="auto"/>
                      <w:sz w:val="21"/>
                      <w:szCs w:val="21"/>
                    </w:rPr>
                    <w:t>口</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废气处理装置出口</w:t>
                  </w:r>
                </w:p>
              </w:tc>
              <w:tc>
                <w:tcPr>
                  <w:tcW w:w="1146"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w:t>
                  </w:r>
                  <w:r>
                    <w:rPr>
                      <w:rFonts w:hint="eastAsia" w:cs="Times New Roman" w:eastAsiaTheme="minorEastAsia"/>
                      <w:color w:val="auto"/>
                      <w:sz w:val="21"/>
                      <w:szCs w:val="21"/>
                      <w:lang w:val="en-US" w:eastAsia="zh-CN"/>
                    </w:rPr>
                    <w:t>进</w:t>
                  </w:r>
                  <w:r>
                    <w:rPr>
                      <w:rFonts w:hint="default" w:ascii="Times New Roman" w:hAnsi="Times New Roman" w:cs="Times New Roman" w:eastAsiaTheme="minorEastAsia"/>
                      <w:color w:val="auto"/>
                      <w:sz w:val="21"/>
                      <w:szCs w:val="21"/>
                    </w:rPr>
                    <w:t>口</w:t>
                  </w:r>
                </w:p>
              </w:tc>
              <w:tc>
                <w:tcPr>
                  <w:tcW w:w="1147"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废气处理装置出口</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80" w:type="dxa"/>
                  <w:vMerge w:val="restart"/>
                  <w:tcBorders>
                    <w:left w:val="single" w:color="auto" w:sz="4" w:space="0"/>
                  </w:tcBorders>
                  <w:noWrap w:val="0"/>
                  <w:vAlign w:val="center"/>
                </w:tcPr>
                <w:p>
                  <w:pPr>
                    <w:adjustRightInd w:val="0"/>
                    <w:snapToGrid w:val="0"/>
                    <w:jc w:val="center"/>
                    <w:rPr>
                      <w:rFonts w:hint="eastAsia" w:ascii="Times New Roman" w:hAnsi="Times New Roman" w:cs="Times New Roman" w:eastAsiaTheme="minorEastAsia"/>
                      <w:snapToGrid w:val="0"/>
                      <w:color w:val="auto"/>
                      <w:kern w:val="0"/>
                      <w:sz w:val="21"/>
                      <w:szCs w:val="21"/>
                      <w:lang w:eastAsia="zh-CN"/>
                    </w:rPr>
                  </w:pPr>
                  <w:r>
                    <w:rPr>
                      <w:rFonts w:hint="eastAsia" w:cs="Times New Roman" w:eastAsiaTheme="minorEastAsia"/>
                      <w:snapToGrid w:val="0"/>
                      <w:color w:val="auto"/>
                      <w:kern w:val="0"/>
                      <w:sz w:val="21"/>
                      <w:szCs w:val="21"/>
                      <w:lang w:val="en-US" w:eastAsia="zh-CN"/>
                    </w:rPr>
                    <w:t>颗粒物</w:t>
                  </w:r>
                </w:p>
              </w:tc>
              <w:tc>
                <w:tcPr>
                  <w:tcW w:w="1905" w:type="dxa"/>
                  <w:noWrap w:val="0"/>
                  <w:vAlign w:val="center"/>
                </w:tcPr>
                <w:p>
                  <w:pPr>
                    <w:adjustRightInd w:val="0"/>
                    <w:snapToGrid w:val="0"/>
                    <w:jc w:val="center"/>
                    <w:rPr>
                      <w:rFonts w:hint="default" w:ascii="Times New Roman" w:hAnsi="Times New Roman" w:cs="Times New Roman" w:eastAsiaTheme="minorEastAsia"/>
                      <w:snapToGrid w:val="0"/>
                      <w:color w:val="auto"/>
                      <w:kern w:val="0"/>
                      <w:sz w:val="21"/>
                      <w:szCs w:val="21"/>
                    </w:rPr>
                  </w:pPr>
                  <w:r>
                    <w:rPr>
                      <w:rFonts w:hint="default" w:ascii="Times New Roman" w:hAnsi="Times New Roman" w:cs="Times New Roman" w:eastAsiaTheme="minorEastAsia"/>
                      <w:color w:val="auto"/>
                      <w:sz w:val="21"/>
                      <w:szCs w:val="21"/>
                    </w:rPr>
                    <w:t>排放浓度（mg/m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w:t>
                  </w:r>
                </w:p>
              </w:tc>
              <w:tc>
                <w:tcPr>
                  <w:tcW w:w="1146" w:type="dxa"/>
                  <w:noWrap w:val="0"/>
                  <w:vAlign w:val="center"/>
                </w:tcPr>
                <w:p>
                  <w:pPr>
                    <w:jc w:val="center"/>
                    <w:rPr>
                      <w:rFonts w:hint="default" w:ascii="Times New Roman" w:hAnsi="Times New Roman"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1430</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3.3</w:t>
                  </w:r>
                </w:p>
              </w:tc>
              <w:tc>
                <w:tcPr>
                  <w:tcW w:w="1146" w:type="dxa"/>
                  <w:tcBorders>
                    <w:right w:val="single" w:color="auto" w:sz="4" w:space="0"/>
                  </w:tcBorders>
                  <w:noWrap w:val="0"/>
                  <w:vAlign w:val="center"/>
                </w:tcPr>
                <w:p>
                  <w:pPr>
                    <w:jc w:val="center"/>
                    <w:rPr>
                      <w:rFonts w:hint="default" w:ascii="Times New Roman" w:hAnsi="Times New Roman"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1930</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3.1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80" w:type="dxa"/>
                  <w:vMerge w:val="continue"/>
                  <w:tcBorders>
                    <w:left w:val="single" w:color="auto" w:sz="4" w:space="0"/>
                  </w:tcBorders>
                  <w:noWrap w:val="0"/>
                  <w:vAlign w:val="center"/>
                </w:tcPr>
                <w:p>
                  <w:pPr>
                    <w:adjustRightInd w:val="0"/>
                    <w:snapToGrid w:val="0"/>
                    <w:jc w:val="center"/>
                    <w:rPr>
                      <w:rFonts w:hint="eastAsia" w:cs="Times New Roman" w:eastAsiaTheme="minorEastAsia"/>
                      <w:snapToGrid w:val="0"/>
                      <w:color w:val="auto"/>
                      <w:kern w:val="0"/>
                      <w:sz w:val="21"/>
                      <w:szCs w:val="21"/>
                      <w:lang w:val="en-US" w:eastAsia="zh-CN"/>
                    </w:rPr>
                  </w:pPr>
                </w:p>
              </w:tc>
              <w:tc>
                <w:tcPr>
                  <w:tcW w:w="1905" w:type="dxa"/>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排放速率（kg/h）</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0.789</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0.0198</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1.82</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0.018</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80" w:type="dxa"/>
                  <w:vMerge w:val="restart"/>
                  <w:tcBorders>
                    <w:left w:val="single" w:color="auto" w:sz="4" w:space="0"/>
                  </w:tcBorders>
                  <w:noWrap w:val="0"/>
                  <w:vAlign w:val="center"/>
                </w:tcPr>
                <w:p>
                  <w:pPr>
                    <w:adjustRightInd w:val="0"/>
                    <w:snapToGrid w:val="0"/>
                    <w:jc w:val="center"/>
                    <w:rPr>
                      <w:rFonts w:hint="default" w:cs="Times New Roman" w:eastAsiaTheme="minorEastAsia"/>
                      <w:snapToGrid w:val="0"/>
                      <w:color w:val="auto"/>
                      <w:kern w:val="0"/>
                      <w:sz w:val="21"/>
                      <w:szCs w:val="21"/>
                      <w:lang w:val="en-US" w:eastAsia="zh-CN"/>
                    </w:rPr>
                  </w:pPr>
                  <w:r>
                    <w:rPr>
                      <w:rFonts w:hint="eastAsia" w:cs="Times New Roman" w:eastAsiaTheme="minorEastAsia"/>
                      <w:snapToGrid w:val="0"/>
                      <w:color w:val="auto"/>
                      <w:kern w:val="0"/>
                      <w:sz w:val="21"/>
                      <w:szCs w:val="21"/>
                      <w:lang w:val="en-US" w:eastAsia="zh-CN"/>
                    </w:rPr>
                    <w:t>非甲烷总烃</w:t>
                  </w:r>
                </w:p>
              </w:tc>
              <w:tc>
                <w:tcPr>
                  <w:tcW w:w="1905" w:type="dxa"/>
                  <w:noWrap w:val="0"/>
                  <w:vAlign w:val="center"/>
                </w:tcPr>
                <w:p>
                  <w:pPr>
                    <w:adjustRightInd w:val="0"/>
                    <w:snapToGrid w:val="0"/>
                    <w:jc w:val="center"/>
                    <w:rPr>
                      <w:rFonts w:hint="eastAsia" w:ascii="Times New Roman" w:hAnsi="Times New Roman" w:cs="Times New Roman" w:eastAsiaTheme="minorEastAsia"/>
                      <w:snapToGrid w:val="0"/>
                      <w:color w:val="auto"/>
                      <w:kern w:val="0"/>
                      <w:sz w:val="21"/>
                      <w:szCs w:val="21"/>
                      <w:lang w:val="en-US" w:eastAsia="zh-CN" w:bidi="ar-SA"/>
                    </w:rPr>
                  </w:pPr>
                  <w:r>
                    <w:rPr>
                      <w:rFonts w:hint="default" w:ascii="Times New Roman" w:hAnsi="Times New Roman" w:cs="Times New Roman" w:eastAsiaTheme="minorEastAsia"/>
                      <w:color w:val="auto"/>
                      <w:sz w:val="21"/>
                      <w:szCs w:val="21"/>
                    </w:rPr>
                    <w:t>排放浓度（mg/m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11.8</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6.22</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9.84</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11.5</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80" w:type="dxa"/>
                  <w:vMerge w:val="continue"/>
                  <w:tcBorders>
                    <w:left w:val="single" w:color="auto" w:sz="4" w:space="0"/>
                  </w:tcBorders>
                  <w:noWrap w:val="0"/>
                  <w:vAlign w:val="center"/>
                </w:tcPr>
                <w:p>
                  <w:pPr>
                    <w:adjustRightInd w:val="0"/>
                    <w:snapToGrid w:val="0"/>
                    <w:jc w:val="center"/>
                    <w:rPr>
                      <w:rFonts w:hint="eastAsia" w:cs="Times New Roman" w:eastAsiaTheme="minorEastAsia"/>
                      <w:snapToGrid w:val="0"/>
                      <w:color w:val="auto"/>
                      <w:kern w:val="0"/>
                      <w:sz w:val="21"/>
                      <w:szCs w:val="21"/>
                      <w:lang w:val="en-US" w:eastAsia="zh-CN"/>
                    </w:rPr>
                  </w:pPr>
                </w:p>
              </w:tc>
              <w:tc>
                <w:tcPr>
                  <w:tcW w:w="1905" w:type="dxa"/>
                  <w:noWrap w:val="0"/>
                  <w:vAlign w:val="center"/>
                </w:tcPr>
                <w:p>
                  <w:pPr>
                    <w:adjustRightInd w:val="0"/>
                    <w:snapToGrid w:val="0"/>
                    <w:jc w:val="center"/>
                    <w:rPr>
                      <w:rFonts w:hint="eastAsia" w:ascii="Times New Roman" w:hAnsi="Times New Roman" w:cs="Times New Roman" w:eastAsiaTheme="minorEastAsia"/>
                      <w:color w:val="auto"/>
                      <w:kern w:val="2"/>
                      <w:sz w:val="21"/>
                      <w:szCs w:val="21"/>
                      <w:lang w:val="en-US" w:eastAsia="zh-CN" w:bidi="ar-SA"/>
                    </w:rPr>
                  </w:pPr>
                  <w:r>
                    <w:rPr>
                      <w:rFonts w:hint="eastAsia" w:cs="Times New Roman" w:eastAsiaTheme="minorEastAsia"/>
                      <w:color w:val="auto"/>
                      <w:sz w:val="21"/>
                      <w:szCs w:val="21"/>
                      <w:lang w:val="en-US" w:eastAsia="zh-CN"/>
                    </w:rPr>
                    <w:t>排放速率（kg/h）</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0.00775</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0.00798</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0.00798</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0.0662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880" w:type="dxa"/>
                  <w:tcBorders>
                    <w:left w:val="single" w:color="auto" w:sz="4" w:space="0"/>
                  </w:tcBorders>
                  <w:noWrap w:val="0"/>
                  <w:vAlign w:val="center"/>
                </w:tcPr>
                <w:p>
                  <w:pPr>
                    <w:adjustRightInd w:val="0"/>
                    <w:snapToGrid w:val="0"/>
                    <w:jc w:val="center"/>
                    <w:rPr>
                      <w:rFonts w:hint="default" w:cs="Times New Roman" w:eastAsiaTheme="minorEastAsia"/>
                      <w:snapToGrid w:val="0"/>
                      <w:color w:val="auto"/>
                      <w:kern w:val="0"/>
                      <w:sz w:val="21"/>
                      <w:szCs w:val="21"/>
                      <w:lang w:val="en-US" w:eastAsia="zh-CN"/>
                    </w:rPr>
                  </w:pPr>
                  <w:r>
                    <w:rPr>
                      <w:rFonts w:hint="eastAsia" w:cs="Times New Roman" w:eastAsiaTheme="minorEastAsia"/>
                      <w:snapToGrid w:val="0"/>
                      <w:color w:val="auto"/>
                      <w:kern w:val="0"/>
                      <w:sz w:val="21"/>
                      <w:szCs w:val="21"/>
                      <w:lang w:val="en-US" w:eastAsia="zh-CN"/>
                    </w:rPr>
                    <w:t>臭气浓度</w:t>
                  </w:r>
                </w:p>
              </w:tc>
              <w:tc>
                <w:tcPr>
                  <w:tcW w:w="1905" w:type="dxa"/>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臭气浓度（无量纲）</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549、741、741</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234、131、173</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416、549、741</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234、131、173</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7370" w:type="dxa"/>
                  <w:gridSpan w:val="6"/>
                  <w:tcBorders>
                    <w:left w:val="single" w:color="auto" w:sz="4" w:space="0"/>
                    <w:right w:val="single" w:color="auto" w:sz="4" w:space="0"/>
                  </w:tcBorders>
                  <w:noWrap w:val="0"/>
                  <w:vAlign w:val="center"/>
                </w:tcPr>
                <w:p>
                  <w:pPr>
                    <w:adjustRightInd w:val="0"/>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备注：</w:t>
                  </w:r>
                  <w:r>
                    <w:rPr>
                      <w:rFonts w:hint="eastAsia" w:cs="Times New Roman" w:eastAsiaTheme="minorEastAsia"/>
                      <w:color w:val="auto"/>
                      <w:sz w:val="21"/>
                      <w:szCs w:val="21"/>
                      <w:lang w:val="en-US" w:eastAsia="zh-CN"/>
                    </w:rPr>
                    <w:t>除臭气浓度外，其余</w:t>
                  </w:r>
                  <w:r>
                    <w:rPr>
                      <w:rFonts w:hint="default" w:ascii="Times New Roman" w:hAnsi="Times New Roman" w:cs="Times New Roman" w:eastAsiaTheme="minorEastAsia"/>
                      <w:color w:val="auto"/>
                      <w:sz w:val="21"/>
                      <w:szCs w:val="21"/>
                    </w:rPr>
                    <w:t>检测结果为3次的平均值。</w:t>
                  </w:r>
                </w:p>
              </w:tc>
            </w:tr>
          </w:tbl>
          <w:p>
            <w:pPr>
              <w:pStyle w:val="40"/>
              <w:rPr>
                <w:rFonts w:hint="eastAsia"/>
                <w:lang w:val="en-US" w:eastAsia="zh-CN"/>
              </w:rPr>
            </w:pP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e）油漆废气（DA001）</w:t>
            </w:r>
          </w:p>
          <w:p>
            <w:pPr>
              <w:spacing w:line="360" w:lineRule="auto"/>
              <w:ind w:firstLine="480" w:firstLineChars="200"/>
              <w:rPr>
                <w:rFonts w:hint="eastAsia" w:eastAsia="宋体"/>
                <w:bCs/>
                <w:color w:val="auto"/>
                <w:lang w:val="en-US" w:eastAsia="zh-CN"/>
              </w:rPr>
            </w:pPr>
            <w:r>
              <w:rPr>
                <w:rFonts w:hint="eastAsia" w:eastAsia="宋体"/>
                <w:bCs/>
                <w:color w:val="auto"/>
                <w:lang w:val="en-US" w:eastAsia="zh-CN"/>
              </w:rPr>
              <w:t>原有项目油漆过程中会有二甲苯、乙酸丁酯、非甲烷总烃、臭气产生，设有1套</w:t>
            </w:r>
            <w:r>
              <w:rPr>
                <w:rFonts w:hint="default" w:eastAsia="宋体"/>
                <w:bCs/>
                <w:color w:val="auto"/>
                <w:lang w:val="en-US" w:eastAsia="zh-CN"/>
              </w:rPr>
              <w:t>两级活性炭吸附装置</w:t>
            </w:r>
            <w:r>
              <w:rPr>
                <w:rFonts w:hint="eastAsia" w:eastAsia="宋体"/>
                <w:bCs/>
                <w:color w:val="auto"/>
                <w:lang w:val="en-US" w:eastAsia="zh-CN"/>
              </w:rPr>
              <w:t>处理有机废气，废气经处理后通过一根15m高的DA001排气筒高空排放。根据鑫桦公司验收监测报告，其DA001排气筒中苯系物、乙酸酯类、非甲烷总烃、臭气浓度排放均能够达到《工业涂装工序大气污染物排放标准》（DB33/2146-2018）中的“表2大气污染物特别排放限值”，监测结果见表2-21。</w:t>
            </w: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表2-</w:t>
            </w:r>
            <w:r>
              <w:rPr>
                <w:rFonts w:hint="eastAsia" w:cs="Times New Roman"/>
                <w:b/>
                <w:bCs/>
                <w:color w:val="auto"/>
                <w:lang w:val="en-US" w:eastAsia="zh-CN"/>
              </w:rPr>
              <w:t>21</w:t>
            </w:r>
            <w:r>
              <w:rPr>
                <w:rFonts w:hint="eastAsia" w:ascii="Times New Roman" w:hAnsi="Times New Roman" w:eastAsia="宋体" w:cs="Times New Roman"/>
                <w:b/>
                <w:bCs/>
                <w:color w:val="auto"/>
              </w:rPr>
              <w:t xml:space="preserve">  </w:t>
            </w:r>
            <w:r>
              <w:rPr>
                <w:rFonts w:hint="eastAsia" w:cs="Times New Roman"/>
                <w:b/>
                <w:bCs/>
                <w:color w:val="auto"/>
                <w:lang w:val="en-US" w:eastAsia="zh-CN"/>
              </w:rPr>
              <w:t>DA001排气筒废气</w:t>
            </w:r>
            <w:r>
              <w:rPr>
                <w:rFonts w:hint="eastAsia" w:ascii="Times New Roman" w:hAnsi="Times New Roman" w:eastAsia="宋体" w:cs="Times New Roman"/>
                <w:b/>
                <w:bCs/>
                <w:color w:val="auto"/>
              </w:rPr>
              <w:t>（有组织排放）检测结果表</w:t>
            </w:r>
          </w:p>
          <w:tbl>
            <w:tblPr>
              <w:tblStyle w:val="29"/>
              <w:tblW w:w="7370"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80"/>
              <w:gridCol w:w="1905"/>
              <w:gridCol w:w="1146"/>
              <w:gridCol w:w="1146"/>
              <w:gridCol w:w="1146"/>
              <w:gridCol w:w="1147"/>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工艺设备名称及型号</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油漆</w:t>
                  </w:r>
                  <w:r>
                    <w:rPr>
                      <w:rFonts w:hint="default" w:cs="Times New Roman" w:eastAsiaTheme="minorEastAsia"/>
                      <w:color w:val="auto"/>
                      <w:sz w:val="21"/>
                      <w:szCs w:val="21"/>
                      <w:lang w:val="en-US" w:eastAsia="zh-CN"/>
                    </w:rPr>
                    <w:t>工序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净化器名称及型号</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default" w:cs="Times New Roman" w:eastAsiaTheme="minorEastAsia"/>
                      <w:color w:val="auto"/>
                      <w:sz w:val="21"/>
                      <w:szCs w:val="21"/>
                      <w:lang w:val="en-US" w:eastAsia="zh-CN"/>
                    </w:rPr>
                    <w:t>两级活性炭吸附装置</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lang w:val="en-US" w:eastAsia="zh-CN"/>
                    </w:rPr>
                  </w:pPr>
                  <w:r>
                    <w:rPr>
                      <w:rFonts w:hint="eastAsia" w:cs="Times New Roman" w:eastAsiaTheme="minorEastAsia"/>
                      <w:b/>
                      <w:color w:val="auto"/>
                      <w:sz w:val="21"/>
                      <w:szCs w:val="21"/>
                      <w:lang w:val="en-US" w:eastAsia="zh-CN"/>
                    </w:rPr>
                    <w:t>采样位置</w:t>
                  </w:r>
                </w:p>
              </w:tc>
              <w:tc>
                <w:tcPr>
                  <w:tcW w:w="4585" w:type="dxa"/>
                  <w:gridSpan w:val="4"/>
                  <w:tcBorders>
                    <w:right w:val="single" w:color="auto" w:sz="4" w:space="0"/>
                  </w:tcBorders>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DA001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rPr>
                  </w:pPr>
                  <w:r>
                    <w:rPr>
                      <w:rFonts w:hint="default" w:ascii="Times New Roman" w:hAnsi="Times New Roman" w:cs="Times New Roman" w:eastAsiaTheme="minorEastAsia"/>
                      <w:b/>
                      <w:color w:val="auto"/>
                      <w:sz w:val="21"/>
                      <w:szCs w:val="21"/>
                    </w:rPr>
                    <w:t>采样日期</w:t>
                  </w:r>
                </w:p>
              </w:tc>
              <w:tc>
                <w:tcPr>
                  <w:tcW w:w="2292" w:type="dxa"/>
                  <w:gridSpan w:val="2"/>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w:t>
                  </w:r>
                  <w:r>
                    <w:rPr>
                      <w:rFonts w:hint="default" w:ascii="Times New Roman" w:hAnsi="Times New Roman" w:cs="Times New Roman" w:eastAsiaTheme="minorEastAsia"/>
                      <w:color w:val="auto"/>
                      <w:sz w:val="21"/>
                      <w:szCs w:val="21"/>
                    </w:rPr>
                    <w:t>年</w:t>
                  </w:r>
                  <w:r>
                    <w:rPr>
                      <w:rFonts w:hint="eastAsia" w:cs="Times New Roman" w:eastAsiaTheme="minorEastAsia"/>
                      <w:color w:val="auto"/>
                      <w:sz w:val="21"/>
                      <w:szCs w:val="21"/>
                      <w:lang w:val="en-US" w:eastAsia="zh-CN"/>
                    </w:rPr>
                    <w:t>12</w:t>
                  </w:r>
                  <w:r>
                    <w:rPr>
                      <w:rFonts w:hint="default" w:ascii="Times New Roman" w:hAnsi="Times New Roman" w:cs="Times New Roman" w:eastAsiaTheme="minorEastAsia"/>
                      <w:color w:val="auto"/>
                      <w:sz w:val="21"/>
                      <w:szCs w:val="21"/>
                    </w:rPr>
                    <w:t>月</w:t>
                  </w:r>
                  <w:r>
                    <w:rPr>
                      <w:rFonts w:hint="eastAsia" w:cs="Times New Roman" w:eastAsiaTheme="minorEastAsia"/>
                      <w:color w:val="auto"/>
                      <w:sz w:val="21"/>
                      <w:szCs w:val="21"/>
                      <w:lang w:val="en-US" w:eastAsia="zh-CN"/>
                    </w:rPr>
                    <w:t>8</w:t>
                  </w:r>
                  <w:r>
                    <w:rPr>
                      <w:rFonts w:hint="default" w:ascii="Times New Roman" w:hAnsi="Times New Roman" w:cs="Times New Roman" w:eastAsiaTheme="minorEastAsia"/>
                      <w:color w:val="auto"/>
                      <w:sz w:val="21"/>
                      <w:szCs w:val="21"/>
                    </w:rPr>
                    <w:t>日</w:t>
                  </w:r>
                </w:p>
              </w:tc>
              <w:tc>
                <w:tcPr>
                  <w:tcW w:w="2293" w:type="dxa"/>
                  <w:gridSpan w:val="2"/>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w:t>
                  </w:r>
                  <w:r>
                    <w:rPr>
                      <w:rFonts w:hint="default" w:ascii="Times New Roman" w:hAnsi="Times New Roman" w:cs="Times New Roman" w:eastAsiaTheme="minorEastAsia"/>
                      <w:color w:val="auto"/>
                      <w:sz w:val="21"/>
                      <w:szCs w:val="21"/>
                    </w:rPr>
                    <w:t>年1</w:t>
                  </w:r>
                  <w:r>
                    <w:rPr>
                      <w:rFonts w:hint="eastAsia" w:cs="Times New Roman" w:eastAsiaTheme="minorEastAsia"/>
                      <w:color w:val="auto"/>
                      <w:sz w:val="21"/>
                      <w:szCs w:val="21"/>
                      <w:lang w:val="en-US" w:eastAsia="zh-CN"/>
                    </w:rPr>
                    <w:t>2</w:t>
                  </w:r>
                  <w:r>
                    <w:rPr>
                      <w:rFonts w:hint="default" w:ascii="Times New Roman" w:hAnsi="Times New Roman" w:cs="Times New Roman" w:eastAsiaTheme="minorEastAsia"/>
                      <w:color w:val="auto"/>
                      <w:sz w:val="21"/>
                      <w:szCs w:val="21"/>
                    </w:rPr>
                    <w:t>月</w:t>
                  </w:r>
                  <w:r>
                    <w:rPr>
                      <w:rFonts w:hint="eastAsia" w:cs="Times New Roman" w:eastAsiaTheme="minorEastAsia"/>
                      <w:color w:val="auto"/>
                      <w:sz w:val="21"/>
                      <w:szCs w:val="21"/>
                      <w:lang w:val="en-US" w:eastAsia="zh-CN"/>
                    </w:rPr>
                    <w:t>9</w:t>
                  </w:r>
                  <w:r>
                    <w:rPr>
                      <w:rFonts w:hint="default" w:ascii="Times New Roman" w:hAnsi="Times New Roman" w:cs="Times New Roman" w:eastAsiaTheme="minorEastAsia"/>
                      <w:color w:val="auto"/>
                      <w:sz w:val="21"/>
                      <w:szCs w:val="21"/>
                    </w:rPr>
                    <w:t>日</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85" w:type="dxa"/>
                  <w:gridSpan w:val="2"/>
                  <w:tcBorders>
                    <w:left w:val="single" w:color="auto" w:sz="4" w:space="0"/>
                  </w:tcBorders>
                  <w:noWrap w:val="0"/>
                  <w:vAlign w:val="center"/>
                </w:tcPr>
                <w:p>
                  <w:pPr>
                    <w:adjustRightInd w:val="0"/>
                    <w:snapToGrid w:val="0"/>
                    <w:jc w:val="center"/>
                    <w:rPr>
                      <w:rFonts w:hint="default" w:ascii="Times New Roman" w:hAnsi="Times New Roman" w:cs="Times New Roman" w:eastAsiaTheme="minorEastAsia"/>
                      <w:b/>
                      <w:color w:val="auto"/>
                      <w:sz w:val="21"/>
                      <w:szCs w:val="21"/>
                      <w:lang w:val="en-US" w:eastAsia="zh-CN"/>
                    </w:rPr>
                  </w:pPr>
                  <w:r>
                    <w:rPr>
                      <w:rFonts w:hint="eastAsia" w:cs="Times New Roman" w:eastAsiaTheme="minorEastAsia"/>
                      <w:b/>
                      <w:color w:val="auto"/>
                      <w:sz w:val="21"/>
                      <w:szCs w:val="21"/>
                      <w:lang w:val="en-US" w:eastAsia="zh-CN"/>
                    </w:rPr>
                    <w:t>排气筒高度</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w:t>
                  </w:r>
                </w:p>
              </w:tc>
              <w:tc>
                <w:tcPr>
                  <w:tcW w:w="1146" w:type="dxa"/>
                  <w:noWrap w:val="0"/>
                  <w:vAlign w:val="center"/>
                </w:tcPr>
                <w:p>
                  <w:pPr>
                    <w:adjustRightInd w:val="0"/>
                    <w:snapToGrid w:val="0"/>
                    <w:jc w:val="center"/>
                    <w:rPr>
                      <w:rFonts w:hint="eastAsia"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15m</w:t>
                  </w:r>
                </w:p>
              </w:tc>
              <w:tc>
                <w:tcPr>
                  <w:tcW w:w="1146"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w:t>
                  </w:r>
                </w:p>
              </w:tc>
              <w:tc>
                <w:tcPr>
                  <w:tcW w:w="1147" w:type="dxa"/>
                  <w:tcBorders>
                    <w:right w:val="single" w:color="auto" w:sz="4" w:space="0"/>
                  </w:tcBorders>
                  <w:noWrap w:val="0"/>
                  <w:vAlign w:val="center"/>
                </w:tcPr>
                <w:p>
                  <w:pPr>
                    <w:adjustRightInd w:val="0"/>
                    <w:snapToGrid w:val="0"/>
                    <w:jc w:val="center"/>
                    <w:rPr>
                      <w:rFonts w:hint="eastAsia"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15m</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85" w:type="dxa"/>
                  <w:gridSpan w:val="2"/>
                  <w:tcBorders>
                    <w:left w:val="single" w:color="auto" w:sz="4" w:space="0"/>
                    <w:tl2br w:val="single" w:color="auto" w:sz="4" w:space="0"/>
                  </w:tcBorders>
                  <w:noWrap w:val="0"/>
                  <w:vAlign w:val="center"/>
                </w:tcPr>
                <w:p>
                  <w:pPr>
                    <w:adjustRightInd w:val="0"/>
                    <w:snapToGrid w:val="0"/>
                    <w:jc w:val="right"/>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测点位置</w:t>
                  </w:r>
                </w:p>
                <w:p>
                  <w:pPr>
                    <w:adjustRightInd w:val="0"/>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检测项目</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w:t>
                  </w:r>
                  <w:r>
                    <w:rPr>
                      <w:rFonts w:hint="eastAsia" w:cs="Times New Roman" w:eastAsiaTheme="minorEastAsia"/>
                      <w:color w:val="auto"/>
                      <w:sz w:val="21"/>
                      <w:szCs w:val="21"/>
                      <w:lang w:val="en-US" w:eastAsia="zh-CN"/>
                    </w:rPr>
                    <w:t>进</w:t>
                  </w:r>
                  <w:r>
                    <w:rPr>
                      <w:rFonts w:hint="default" w:ascii="Times New Roman" w:hAnsi="Times New Roman" w:cs="Times New Roman" w:eastAsiaTheme="minorEastAsia"/>
                      <w:color w:val="auto"/>
                      <w:sz w:val="21"/>
                      <w:szCs w:val="21"/>
                    </w:rPr>
                    <w:t>口</w:t>
                  </w:r>
                </w:p>
              </w:tc>
              <w:tc>
                <w:tcPr>
                  <w:tcW w:w="1146" w:type="dxa"/>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废气处理装置出口</w:t>
                  </w:r>
                </w:p>
              </w:tc>
              <w:tc>
                <w:tcPr>
                  <w:tcW w:w="1146"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w:t>
                  </w:r>
                  <w:r>
                    <w:rPr>
                      <w:rFonts w:hint="eastAsia" w:cs="Times New Roman" w:eastAsiaTheme="minorEastAsia"/>
                      <w:color w:val="auto"/>
                      <w:sz w:val="21"/>
                      <w:szCs w:val="21"/>
                      <w:lang w:val="en-US" w:eastAsia="zh-CN"/>
                    </w:rPr>
                    <w:t>进</w:t>
                  </w:r>
                  <w:r>
                    <w:rPr>
                      <w:rFonts w:hint="default" w:ascii="Times New Roman" w:hAnsi="Times New Roman" w:cs="Times New Roman" w:eastAsiaTheme="minorEastAsia"/>
                      <w:color w:val="auto"/>
                      <w:sz w:val="21"/>
                      <w:szCs w:val="21"/>
                    </w:rPr>
                    <w:t>口</w:t>
                  </w:r>
                </w:p>
              </w:tc>
              <w:tc>
                <w:tcPr>
                  <w:tcW w:w="1147" w:type="dxa"/>
                  <w:tcBorders>
                    <w:right w:val="single" w:color="auto" w:sz="4" w:space="0"/>
                  </w:tcBorders>
                  <w:noWrap w:val="0"/>
                  <w:vAlign w:val="center"/>
                </w:tcPr>
                <w:p>
                  <w:pPr>
                    <w:adjustRightInd w:val="0"/>
                    <w:snapToGrid w:val="0"/>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废气处理装置出口</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restart"/>
                  <w:tcBorders>
                    <w:left w:val="single" w:color="auto" w:sz="4" w:space="0"/>
                  </w:tcBorders>
                  <w:noWrap w:val="0"/>
                  <w:vAlign w:val="center"/>
                </w:tcPr>
                <w:p>
                  <w:pPr>
                    <w:adjustRightInd w:val="0"/>
                    <w:snapToGrid w:val="0"/>
                    <w:jc w:val="center"/>
                    <w:rPr>
                      <w:rFonts w:hint="eastAsia" w:ascii="Times New Roman" w:hAnsi="Times New Roman" w:cs="Times New Roman" w:eastAsiaTheme="minorEastAsia"/>
                      <w:snapToGrid w:val="0"/>
                      <w:color w:val="auto"/>
                      <w:kern w:val="0"/>
                      <w:sz w:val="21"/>
                      <w:szCs w:val="21"/>
                      <w:lang w:eastAsia="zh-CN"/>
                    </w:rPr>
                  </w:pPr>
                  <w:r>
                    <w:rPr>
                      <w:rFonts w:hint="eastAsia" w:cs="Times New Roman" w:eastAsiaTheme="minorEastAsia"/>
                      <w:snapToGrid w:val="0"/>
                      <w:color w:val="auto"/>
                      <w:kern w:val="0"/>
                      <w:sz w:val="21"/>
                      <w:szCs w:val="21"/>
                      <w:lang w:val="en-US" w:eastAsia="zh-CN"/>
                    </w:rPr>
                    <w:t>乙酸丁酯</w:t>
                  </w:r>
                </w:p>
              </w:tc>
              <w:tc>
                <w:tcPr>
                  <w:tcW w:w="1905" w:type="dxa"/>
                  <w:noWrap w:val="0"/>
                  <w:vAlign w:val="center"/>
                </w:tcPr>
                <w:p>
                  <w:pPr>
                    <w:adjustRightInd w:val="0"/>
                    <w:snapToGrid w:val="0"/>
                    <w:jc w:val="center"/>
                    <w:rPr>
                      <w:rFonts w:hint="default" w:ascii="Times New Roman" w:hAnsi="Times New Roman" w:cs="Times New Roman" w:eastAsiaTheme="minorEastAsia"/>
                      <w:snapToGrid w:val="0"/>
                      <w:color w:val="auto"/>
                      <w:kern w:val="0"/>
                      <w:sz w:val="21"/>
                      <w:szCs w:val="21"/>
                    </w:rPr>
                  </w:pPr>
                  <w:r>
                    <w:rPr>
                      <w:rFonts w:hint="default" w:ascii="Times New Roman" w:hAnsi="Times New Roman" w:cs="Times New Roman" w:eastAsiaTheme="minorEastAsia"/>
                      <w:color w:val="auto"/>
                      <w:sz w:val="21"/>
                      <w:szCs w:val="21"/>
                    </w:rPr>
                    <w:t>排放浓度（mg/m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w:t>
                  </w:r>
                </w:p>
              </w:tc>
              <w:tc>
                <w:tcPr>
                  <w:tcW w:w="1146" w:type="dxa"/>
                  <w:noWrap w:val="0"/>
                  <w:vAlign w:val="center"/>
                </w:tcPr>
                <w:p>
                  <w:pPr>
                    <w:jc w:val="center"/>
                    <w:rPr>
                      <w:rFonts w:hint="default" w:ascii="Times New Roman" w:hAnsi="Times New Roman"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0.122</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0.02</w:t>
                  </w:r>
                </w:p>
              </w:tc>
              <w:tc>
                <w:tcPr>
                  <w:tcW w:w="1146" w:type="dxa"/>
                  <w:tcBorders>
                    <w:right w:val="single" w:color="auto" w:sz="4" w:space="0"/>
                  </w:tcBorders>
                  <w:noWrap w:val="0"/>
                  <w:vAlign w:val="center"/>
                </w:tcPr>
                <w:p>
                  <w:pPr>
                    <w:jc w:val="center"/>
                    <w:rPr>
                      <w:rFonts w:hint="default" w:ascii="Times New Roman" w:hAnsi="Times New Roman"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0.177</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0.019</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continue"/>
                  <w:tcBorders>
                    <w:left w:val="single" w:color="auto" w:sz="4" w:space="0"/>
                  </w:tcBorders>
                  <w:noWrap w:val="0"/>
                  <w:vAlign w:val="center"/>
                </w:tcPr>
                <w:p>
                  <w:pPr>
                    <w:adjustRightInd w:val="0"/>
                    <w:snapToGrid w:val="0"/>
                    <w:jc w:val="center"/>
                    <w:rPr>
                      <w:rFonts w:hint="eastAsia" w:cs="Times New Roman" w:eastAsiaTheme="minorEastAsia"/>
                      <w:snapToGrid w:val="0"/>
                      <w:color w:val="auto"/>
                      <w:kern w:val="0"/>
                      <w:sz w:val="21"/>
                      <w:szCs w:val="21"/>
                      <w:lang w:val="en-US" w:eastAsia="zh-CN"/>
                    </w:rPr>
                  </w:pPr>
                </w:p>
              </w:tc>
              <w:tc>
                <w:tcPr>
                  <w:tcW w:w="1905" w:type="dxa"/>
                  <w:noWrap w:val="0"/>
                  <w:vAlign w:val="center"/>
                </w:tcPr>
                <w:p>
                  <w:pPr>
                    <w:adjustRightInd w:val="0"/>
                    <w:snapToGrid w:val="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排放速率（kg/h）</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0.00118</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0.000237</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0.00136</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0.000164</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restart"/>
                  <w:tcBorders>
                    <w:left w:val="single" w:color="auto" w:sz="4" w:space="0"/>
                  </w:tcBorders>
                  <w:noWrap w:val="0"/>
                  <w:vAlign w:val="center"/>
                </w:tcPr>
                <w:p>
                  <w:pPr>
                    <w:adjustRightInd w:val="0"/>
                    <w:snapToGrid w:val="0"/>
                    <w:jc w:val="center"/>
                    <w:rPr>
                      <w:rFonts w:hint="default" w:cs="Times New Roman" w:eastAsiaTheme="minorEastAsia"/>
                      <w:snapToGrid w:val="0"/>
                      <w:color w:val="auto"/>
                      <w:kern w:val="0"/>
                      <w:sz w:val="21"/>
                      <w:szCs w:val="21"/>
                      <w:lang w:val="en-US" w:eastAsia="zh-CN"/>
                    </w:rPr>
                  </w:pPr>
                  <w:r>
                    <w:rPr>
                      <w:rFonts w:hint="eastAsia" w:cs="Times New Roman" w:eastAsiaTheme="minorEastAsia"/>
                      <w:snapToGrid w:val="0"/>
                      <w:color w:val="auto"/>
                      <w:kern w:val="0"/>
                      <w:sz w:val="21"/>
                      <w:szCs w:val="21"/>
                      <w:lang w:val="en-US" w:eastAsia="zh-CN"/>
                    </w:rPr>
                    <w:t>非甲烷总烃</w:t>
                  </w:r>
                </w:p>
              </w:tc>
              <w:tc>
                <w:tcPr>
                  <w:tcW w:w="1905" w:type="dxa"/>
                  <w:noWrap w:val="0"/>
                  <w:vAlign w:val="center"/>
                </w:tcPr>
                <w:p>
                  <w:pPr>
                    <w:adjustRightInd w:val="0"/>
                    <w:snapToGrid w:val="0"/>
                    <w:jc w:val="center"/>
                    <w:rPr>
                      <w:rFonts w:hint="eastAsia" w:ascii="Times New Roman" w:hAnsi="Times New Roman" w:cs="Times New Roman" w:eastAsiaTheme="minorEastAsia"/>
                      <w:snapToGrid w:val="0"/>
                      <w:color w:val="auto"/>
                      <w:kern w:val="0"/>
                      <w:sz w:val="21"/>
                      <w:szCs w:val="21"/>
                      <w:lang w:val="en-US" w:eastAsia="zh-CN" w:bidi="ar-SA"/>
                    </w:rPr>
                  </w:pPr>
                  <w:r>
                    <w:rPr>
                      <w:rFonts w:hint="default" w:ascii="Times New Roman" w:hAnsi="Times New Roman" w:cs="Times New Roman" w:eastAsiaTheme="minorEastAsia"/>
                      <w:color w:val="auto"/>
                      <w:sz w:val="21"/>
                      <w:szCs w:val="21"/>
                    </w:rPr>
                    <w:t>排放浓度（mg/m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4.16</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2.07</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2.85</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3.62</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continue"/>
                  <w:tcBorders>
                    <w:left w:val="single" w:color="auto" w:sz="4" w:space="0"/>
                  </w:tcBorders>
                  <w:noWrap w:val="0"/>
                  <w:vAlign w:val="center"/>
                </w:tcPr>
                <w:p>
                  <w:pPr>
                    <w:adjustRightInd w:val="0"/>
                    <w:snapToGrid w:val="0"/>
                    <w:jc w:val="center"/>
                    <w:rPr>
                      <w:rFonts w:hint="eastAsia" w:cs="Times New Roman" w:eastAsiaTheme="minorEastAsia"/>
                      <w:snapToGrid w:val="0"/>
                      <w:color w:val="auto"/>
                      <w:kern w:val="0"/>
                      <w:sz w:val="21"/>
                      <w:szCs w:val="21"/>
                      <w:lang w:val="en-US" w:eastAsia="zh-CN"/>
                    </w:rPr>
                  </w:pPr>
                </w:p>
              </w:tc>
              <w:tc>
                <w:tcPr>
                  <w:tcW w:w="1905" w:type="dxa"/>
                  <w:noWrap w:val="0"/>
                  <w:vAlign w:val="center"/>
                </w:tcPr>
                <w:p>
                  <w:pPr>
                    <w:adjustRightInd w:val="0"/>
                    <w:snapToGrid w:val="0"/>
                    <w:jc w:val="center"/>
                    <w:rPr>
                      <w:rFonts w:hint="eastAsia" w:ascii="Times New Roman" w:hAnsi="Times New Roman" w:cs="Times New Roman" w:eastAsiaTheme="minorEastAsia"/>
                      <w:color w:val="auto"/>
                      <w:kern w:val="2"/>
                      <w:sz w:val="21"/>
                      <w:szCs w:val="21"/>
                      <w:lang w:val="en-US" w:eastAsia="zh-CN" w:bidi="ar-SA"/>
                    </w:rPr>
                  </w:pPr>
                  <w:r>
                    <w:rPr>
                      <w:rFonts w:hint="eastAsia" w:cs="Times New Roman" w:eastAsiaTheme="minorEastAsia"/>
                      <w:color w:val="auto"/>
                      <w:sz w:val="21"/>
                      <w:szCs w:val="21"/>
                      <w:lang w:val="en-US" w:eastAsia="zh-CN"/>
                    </w:rPr>
                    <w:t>排放速率（kg/h）</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0.04</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0.0246</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0.0218</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0.0314</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restart"/>
                  <w:tcBorders>
                    <w:left w:val="single" w:color="auto" w:sz="4" w:space="0"/>
                  </w:tcBorders>
                  <w:noWrap w:val="0"/>
                  <w:vAlign w:val="center"/>
                </w:tcPr>
                <w:p>
                  <w:pPr>
                    <w:adjustRightInd w:val="0"/>
                    <w:snapToGrid w:val="0"/>
                    <w:jc w:val="center"/>
                    <w:rPr>
                      <w:rFonts w:hint="default" w:cs="Times New Roman" w:eastAsiaTheme="minorEastAsia"/>
                      <w:snapToGrid w:val="0"/>
                      <w:color w:val="auto"/>
                      <w:kern w:val="0"/>
                      <w:sz w:val="21"/>
                      <w:szCs w:val="21"/>
                      <w:lang w:val="en-US" w:eastAsia="zh-CN"/>
                    </w:rPr>
                  </w:pPr>
                  <w:r>
                    <w:rPr>
                      <w:rFonts w:hint="eastAsia" w:cs="Times New Roman" w:eastAsiaTheme="minorEastAsia"/>
                      <w:snapToGrid w:val="0"/>
                      <w:color w:val="auto"/>
                      <w:kern w:val="0"/>
                      <w:sz w:val="21"/>
                      <w:szCs w:val="21"/>
                      <w:lang w:val="en-US" w:eastAsia="zh-CN"/>
                    </w:rPr>
                    <w:t>对/间二甲苯</w:t>
                  </w:r>
                </w:p>
              </w:tc>
              <w:tc>
                <w:tcPr>
                  <w:tcW w:w="1905" w:type="dxa"/>
                  <w:noWrap w:val="0"/>
                  <w:vAlign w:val="center"/>
                </w:tcPr>
                <w:p>
                  <w:pPr>
                    <w:adjustRightInd w:val="0"/>
                    <w:snapToGrid w:val="0"/>
                    <w:jc w:val="center"/>
                    <w:rPr>
                      <w:rFonts w:hint="eastAsia" w:ascii="Times New Roman" w:hAnsi="Times New Roman" w:cs="Times New Roman" w:eastAsiaTheme="minorEastAsia"/>
                      <w:snapToGrid w:val="0"/>
                      <w:color w:val="auto"/>
                      <w:kern w:val="0"/>
                      <w:sz w:val="21"/>
                      <w:szCs w:val="21"/>
                      <w:lang w:val="en-US" w:eastAsia="zh-CN" w:bidi="ar-SA"/>
                    </w:rPr>
                  </w:pPr>
                  <w:r>
                    <w:rPr>
                      <w:rFonts w:hint="default" w:ascii="Times New Roman" w:hAnsi="Times New Roman" w:cs="Times New Roman" w:eastAsiaTheme="minorEastAsia"/>
                      <w:color w:val="auto"/>
                      <w:sz w:val="21"/>
                      <w:szCs w:val="21"/>
                    </w:rPr>
                    <w:t>排放浓度（mg/m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0.175</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0.035</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0.236</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0.034</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continue"/>
                  <w:tcBorders>
                    <w:left w:val="single" w:color="auto" w:sz="4" w:space="0"/>
                  </w:tcBorders>
                  <w:noWrap w:val="0"/>
                  <w:vAlign w:val="center"/>
                </w:tcPr>
                <w:p>
                  <w:pPr>
                    <w:adjustRightInd w:val="0"/>
                    <w:snapToGrid w:val="0"/>
                    <w:jc w:val="center"/>
                    <w:rPr>
                      <w:rFonts w:hint="eastAsia" w:cs="Times New Roman" w:eastAsiaTheme="minorEastAsia"/>
                      <w:snapToGrid w:val="0"/>
                      <w:color w:val="auto"/>
                      <w:kern w:val="0"/>
                      <w:sz w:val="21"/>
                      <w:szCs w:val="21"/>
                      <w:lang w:val="en-US" w:eastAsia="zh-CN"/>
                    </w:rPr>
                  </w:pPr>
                </w:p>
              </w:tc>
              <w:tc>
                <w:tcPr>
                  <w:tcW w:w="1905" w:type="dxa"/>
                  <w:noWrap w:val="0"/>
                  <w:vAlign w:val="center"/>
                </w:tcPr>
                <w:p>
                  <w:pPr>
                    <w:adjustRightInd w:val="0"/>
                    <w:snapToGrid w:val="0"/>
                    <w:jc w:val="center"/>
                    <w:rPr>
                      <w:rFonts w:hint="eastAsia" w:ascii="Times New Roman" w:hAnsi="Times New Roman" w:cs="Times New Roman" w:eastAsiaTheme="minorEastAsia"/>
                      <w:color w:val="auto"/>
                      <w:kern w:val="2"/>
                      <w:sz w:val="21"/>
                      <w:szCs w:val="21"/>
                      <w:lang w:val="en-US" w:eastAsia="zh-CN" w:bidi="ar-SA"/>
                    </w:rPr>
                  </w:pPr>
                  <w:r>
                    <w:rPr>
                      <w:rFonts w:hint="eastAsia" w:cs="Times New Roman" w:eastAsiaTheme="minorEastAsia"/>
                      <w:color w:val="auto"/>
                      <w:sz w:val="21"/>
                      <w:szCs w:val="21"/>
                      <w:lang w:val="en-US" w:eastAsia="zh-CN"/>
                    </w:rPr>
                    <w:t>排放速率（kg/h）</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0.0017</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0.000416</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0.00181</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0.000294</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restart"/>
                  <w:tcBorders>
                    <w:left w:val="single" w:color="auto" w:sz="4" w:space="0"/>
                  </w:tcBorders>
                  <w:noWrap w:val="0"/>
                  <w:vAlign w:val="center"/>
                </w:tcPr>
                <w:p>
                  <w:pPr>
                    <w:adjustRightInd w:val="0"/>
                    <w:snapToGrid w:val="0"/>
                    <w:jc w:val="center"/>
                    <w:rPr>
                      <w:rFonts w:hint="default" w:cs="Times New Roman" w:eastAsiaTheme="minorEastAsia"/>
                      <w:snapToGrid w:val="0"/>
                      <w:color w:val="auto"/>
                      <w:kern w:val="0"/>
                      <w:sz w:val="21"/>
                      <w:szCs w:val="21"/>
                      <w:lang w:val="en-US" w:eastAsia="zh-CN"/>
                    </w:rPr>
                  </w:pPr>
                  <w:r>
                    <w:rPr>
                      <w:rFonts w:hint="eastAsia" w:cs="Times New Roman" w:eastAsiaTheme="minorEastAsia"/>
                      <w:snapToGrid w:val="0"/>
                      <w:color w:val="auto"/>
                      <w:kern w:val="0"/>
                      <w:sz w:val="21"/>
                      <w:szCs w:val="21"/>
                      <w:lang w:val="en-US" w:eastAsia="zh-CN"/>
                    </w:rPr>
                    <w:t>邻二甲苯</w:t>
                  </w:r>
                </w:p>
              </w:tc>
              <w:tc>
                <w:tcPr>
                  <w:tcW w:w="1905" w:type="dxa"/>
                  <w:noWrap w:val="0"/>
                  <w:vAlign w:val="center"/>
                </w:tcPr>
                <w:p>
                  <w:pPr>
                    <w:adjustRightInd w:val="0"/>
                    <w:snapToGrid w:val="0"/>
                    <w:jc w:val="center"/>
                    <w:rPr>
                      <w:rFonts w:hint="eastAsia" w:ascii="Times New Roman" w:hAnsi="Times New Roman" w:cs="Times New Roman" w:eastAsiaTheme="minorEastAsia"/>
                      <w:snapToGrid w:val="0"/>
                      <w:color w:val="auto"/>
                      <w:kern w:val="0"/>
                      <w:sz w:val="21"/>
                      <w:szCs w:val="21"/>
                      <w:lang w:val="en-US" w:eastAsia="zh-CN" w:bidi="ar-SA"/>
                    </w:rPr>
                  </w:pPr>
                  <w:r>
                    <w:rPr>
                      <w:rFonts w:hint="default" w:ascii="Times New Roman" w:hAnsi="Times New Roman" w:cs="Times New Roman" w:eastAsiaTheme="minorEastAsia"/>
                      <w:color w:val="auto"/>
                      <w:sz w:val="21"/>
                      <w:szCs w:val="21"/>
                    </w:rPr>
                    <w:t>排放浓度（mg/m</w:t>
                  </w:r>
                  <w:r>
                    <w:rPr>
                      <w:rFonts w:hint="default" w:ascii="Times New Roman" w:hAnsi="Times New Roman" w:cs="Times New Roman" w:eastAsiaTheme="minorEastAsia"/>
                      <w:color w:val="auto"/>
                      <w:sz w:val="21"/>
                      <w:szCs w:val="21"/>
                      <w:vertAlign w:val="superscript"/>
                    </w:rPr>
                    <w:t>3</w:t>
                  </w:r>
                  <w:r>
                    <w:rPr>
                      <w:rFonts w:hint="default" w:ascii="Times New Roman" w:hAnsi="Times New Roman" w:cs="Times New Roman" w:eastAsiaTheme="minorEastAsia"/>
                      <w:color w:val="auto"/>
                      <w:sz w:val="21"/>
                      <w:szCs w:val="21"/>
                    </w:rPr>
                    <w:t>）</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0.318</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0.057</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0.414</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0.06</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vMerge w:val="continue"/>
                  <w:tcBorders>
                    <w:left w:val="single" w:color="auto" w:sz="4" w:space="0"/>
                  </w:tcBorders>
                  <w:noWrap w:val="0"/>
                  <w:vAlign w:val="center"/>
                </w:tcPr>
                <w:p>
                  <w:pPr>
                    <w:adjustRightInd w:val="0"/>
                    <w:snapToGrid w:val="0"/>
                    <w:jc w:val="center"/>
                    <w:rPr>
                      <w:rFonts w:hint="eastAsia" w:cs="Times New Roman" w:eastAsiaTheme="minorEastAsia"/>
                      <w:snapToGrid w:val="0"/>
                      <w:color w:val="auto"/>
                      <w:kern w:val="0"/>
                      <w:sz w:val="21"/>
                      <w:szCs w:val="21"/>
                      <w:lang w:val="en-US" w:eastAsia="zh-CN"/>
                    </w:rPr>
                  </w:pPr>
                </w:p>
              </w:tc>
              <w:tc>
                <w:tcPr>
                  <w:tcW w:w="1905" w:type="dxa"/>
                  <w:noWrap w:val="0"/>
                  <w:vAlign w:val="center"/>
                </w:tcPr>
                <w:p>
                  <w:pPr>
                    <w:adjustRightInd w:val="0"/>
                    <w:snapToGrid w:val="0"/>
                    <w:jc w:val="center"/>
                    <w:rPr>
                      <w:rFonts w:hint="eastAsia" w:ascii="Times New Roman" w:hAnsi="Times New Roman" w:cs="Times New Roman" w:eastAsiaTheme="minorEastAsia"/>
                      <w:color w:val="auto"/>
                      <w:kern w:val="2"/>
                      <w:sz w:val="21"/>
                      <w:szCs w:val="21"/>
                      <w:lang w:val="en-US" w:eastAsia="zh-CN" w:bidi="ar-SA"/>
                    </w:rPr>
                  </w:pPr>
                  <w:r>
                    <w:rPr>
                      <w:rFonts w:hint="eastAsia" w:cs="Times New Roman" w:eastAsiaTheme="minorEastAsia"/>
                      <w:color w:val="auto"/>
                      <w:sz w:val="21"/>
                      <w:szCs w:val="21"/>
                      <w:lang w:val="en-US" w:eastAsia="zh-CN"/>
                    </w:rPr>
                    <w:t>排放速率（kg/h）</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0.00309</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0.000674</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0.00317</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0.000521</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0" w:type="dxa"/>
                  <w:tcBorders>
                    <w:left w:val="single" w:color="auto" w:sz="4" w:space="0"/>
                  </w:tcBorders>
                  <w:noWrap w:val="0"/>
                  <w:vAlign w:val="center"/>
                </w:tcPr>
                <w:p>
                  <w:pPr>
                    <w:adjustRightInd w:val="0"/>
                    <w:snapToGrid w:val="0"/>
                    <w:jc w:val="center"/>
                    <w:rPr>
                      <w:rFonts w:hint="default" w:cs="Times New Roman" w:eastAsiaTheme="minorEastAsia"/>
                      <w:snapToGrid w:val="0"/>
                      <w:color w:val="auto"/>
                      <w:kern w:val="0"/>
                      <w:sz w:val="21"/>
                      <w:szCs w:val="21"/>
                      <w:lang w:val="en-US" w:eastAsia="zh-CN"/>
                    </w:rPr>
                  </w:pPr>
                  <w:r>
                    <w:rPr>
                      <w:rFonts w:hint="eastAsia" w:cs="Times New Roman" w:eastAsiaTheme="minorEastAsia"/>
                      <w:snapToGrid w:val="0"/>
                      <w:color w:val="auto"/>
                      <w:kern w:val="0"/>
                      <w:sz w:val="21"/>
                      <w:szCs w:val="21"/>
                      <w:lang w:val="en-US" w:eastAsia="zh-CN"/>
                    </w:rPr>
                    <w:t>臭气浓度</w:t>
                  </w:r>
                </w:p>
              </w:tc>
              <w:tc>
                <w:tcPr>
                  <w:tcW w:w="1905" w:type="dxa"/>
                  <w:noWrap w:val="0"/>
                  <w:vAlign w:val="center"/>
                </w:tcPr>
                <w:p>
                  <w:pPr>
                    <w:adjustRightInd w:val="0"/>
                    <w:snapToGrid w:val="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臭气浓度（无量纲）</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741、741、416</w:t>
                  </w:r>
                </w:p>
              </w:tc>
              <w:tc>
                <w:tcPr>
                  <w:tcW w:w="1146" w:type="dxa"/>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173、131、234</w:t>
                  </w:r>
                </w:p>
              </w:tc>
              <w:tc>
                <w:tcPr>
                  <w:tcW w:w="1146"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741、549、741</w:t>
                  </w:r>
                </w:p>
              </w:tc>
              <w:tc>
                <w:tcPr>
                  <w:tcW w:w="1147" w:type="dxa"/>
                  <w:tcBorders>
                    <w:right w:val="single" w:color="auto" w:sz="4" w:space="0"/>
                  </w:tcBorders>
                  <w:noWrap w:val="0"/>
                  <w:vAlign w:val="center"/>
                </w:tcPr>
                <w:p>
                  <w:pPr>
                    <w:jc w:val="center"/>
                    <w:rPr>
                      <w:rFonts w:hint="default" w:cs="Times New Roman" w:eastAsiaTheme="minorEastAsia"/>
                      <w:color w:val="auto"/>
                      <w:kern w:val="0"/>
                      <w:sz w:val="21"/>
                      <w:szCs w:val="21"/>
                      <w:lang w:val="en-US" w:eastAsia="zh-CN"/>
                    </w:rPr>
                  </w:pPr>
                  <w:r>
                    <w:rPr>
                      <w:rFonts w:hint="eastAsia" w:cs="Times New Roman" w:eastAsiaTheme="minorEastAsia"/>
                      <w:color w:val="auto"/>
                      <w:kern w:val="0"/>
                      <w:sz w:val="21"/>
                      <w:szCs w:val="21"/>
                      <w:lang w:val="en-US" w:eastAsia="zh-CN"/>
                    </w:rPr>
                    <w:t>234、131、173</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7370" w:type="dxa"/>
                  <w:gridSpan w:val="6"/>
                  <w:tcBorders>
                    <w:left w:val="single" w:color="auto" w:sz="4" w:space="0"/>
                    <w:right w:val="single" w:color="auto" w:sz="4" w:space="0"/>
                  </w:tcBorders>
                  <w:noWrap w:val="0"/>
                  <w:vAlign w:val="center"/>
                </w:tcPr>
                <w:p>
                  <w:pPr>
                    <w:adjustRightInd w:val="0"/>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备注：</w:t>
                  </w:r>
                  <w:r>
                    <w:rPr>
                      <w:rFonts w:hint="eastAsia" w:cs="Times New Roman" w:eastAsiaTheme="minorEastAsia"/>
                      <w:color w:val="auto"/>
                      <w:sz w:val="21"/>
                      <w:szCs w:val="21"/>
                      <w:lang w:val="en-US" w:eastAsia="zh-CN"/>
                    </w:rPr>
                    <w:t>除臭气浓度外，其余</w:t>
                  </w:r>
                  <w:r>
                    <w:rPr>
                      <w:rFonts w:hint="default" w:ascii="Times New Roman" w:hAnsi="Times New Roman" w:cs="Times New Roman" w:eastAsiaTheme="minorEastAsia"/>
                      <w:color w:val="auto"/>
                      <w:sz w:val="21"/>
                      <w:szCs w:val="21"/>
                    </w:rPr>
                    <w:t>检测结果为3次的平均值。</w:t>
                  </w:r>
                </w:p>
              </w:tc>
            </w:tr>
          </w:tbl>
          <w:p>
            <w:pPr>
              <w:pStyle w:val="40"/>
              <w:rPr>
                <w:rFonts w:hint="eastAsia"/>
                <w:color w:val="auto"/>
                <w:lang w:val="en-US" w:eastAsia="zh-CN"/>
              </w:rPr>
            </w:pPr>
          </w:p>
          <w:p>
            <w:pPr>
              <w:spacing w:line="360" w:lineRule="auto"/>
              <w:ind w:firstLine="480" w:firstLineChars="200"/>
              <w:rPr>
                <w:color w:val="auto"/>
              </w:rPr>
            </w:pPr>
            <w:r>
              <w:rPr>
                <w:rFonts w:hint="eastAsia"/>
                <w:color w:val="auto"/>
                <w:lang w:val="en-US" w:eastAsia="zh-CN"/>
              </w:rPr>
              <w:t>f</w:t>
            </w:r>
            <w:r>
              <w:rPr>
                <w:rFonts w:hint="eastAsia"/>
                <w:color w:val="auto"/>
              </w:rPr>
              <w:t>）无组织废气</w:t>
            </w:r>
          </w:p>
          <w:p>
            <w:pPr>
              <w:spacing w:line="360" w:lineRule="auto"/>
              <w:ind w:firstLine="480" w:firstLineChars="200"/>
              <w:rPr>
                <w:rFonts w:hint="eastAsia"/>
              </w:rPr>
            </w:pPr>
            <w:r>
              <w:rPr>
                <w:rFonts w:hint="eastAsia"/>
                <w:color w:val="auto"/>
              </w:rPr>
              <w:t>未经收集的废气以无组织形式排放，无</w:t>
            </w:r>
            <w:r>
              <w:rPr>
                <w:color w:val="auto"/>
              </w:rPr>
              <w:t>组织</w:t>
            </w:r>
            <w:r>
              <w:rPr>
                <w:rFonts w:hint="eastAsia"/>
                <w:color w:val="auto"/>
              </w:rPr>
              <w:t>废气</w:t>
            </w:r>
            <w:r>
              <w:rPr>
                <w:color w:val="auto"/>
              </w:rPr>
              <w:t>监测结果</w:t>
            </w:r>
            <w:r>
              <w:rPr>
                <w:rFonts w:hint="eastAsia"/>
                <w:color w:val="auto"/>
              </w:rPr>
              <w:t>见</w:t>
            </w:r>
            <w:r>
              <w:rPr>
                <w:color w:val="auto"/>
              </w:rPr>
              <w:t>表</w:t>
            </w:r>
            <w:r>
              <w:rPr>
                <w:rFonts w:hint="eastAsia"/>
                <w:color w:val="auto"/>
              </w:rPr>
              <w:t>2-2</w:t>
            </w:r>
            <w:r>
              <w:rPr>
                <w:rFonts w:hint="eastAsia"/>
                <w:color w:val="auto"/>
                <w:lang w:val="en-US" w:eastAsia="zh-CN"/>
              </w:rPr>
              <w:t>2</w:t>
            </w:r>
            <w:r>
              <w:rPr>
                <w:color w:val="auto"/>
              </w:rPr>
              <w:t>。监测结果显示：</w:t>
            </w:r>
            <w:r>
              <w:rPr>
                <w:rFonts w:hint="eastAsia"/>
                <w:color w:val="auto"/>
                <w:lang w:val="en-US" w:eastAsia="zh-CN"/>
              </w:rPr>
              <w:t>非甲烷总烃、苯系物、乙酸丁酯、臭气浓度</w:t>
            </w:r>
            <w:r>
              <w:rPr>
                <w:rFonts w:hint="eastAsia"/>
                <w:color w:val="auto"/>
              </w:rPr>
              <w:t>厂界</w:t>
            </w:r>
            <w:r>
              <w:rPr>
                <w:rFonts w:hint="eastAsia"/>
                <w:color w:val="auto"/>
                <w:lang w:val="en-US" w:eastAsia="zh-CN"/>
              </w:rPr>
              <w:t>下风向</w:t>
            </w:r>
            <w:r>
              <w:rPr>
                <w:color w:val="auto"/>
              </w:rPr>
              <w:t>浓度最大值均低于</w:t>
            </w:r>
            <w:r>
              <w:rPr>
                <w:rFonts w:hint="eastAsia" w:ascii="Times New Roman" w:hAnsi="Times New Roman" w:eastAsia="宋体" w:cs="Times New Roman"/>
                <w:color w:val="auto"/>
                <w:lang w:val="en-US" w:eastAsia="zh-CN"/>
              </w:rPr>
              <w:t>《工业涂装工序大气污染物排放标准》（DB33/2146-2018）中表</w:t>
            </w:r>
            <w:r>
              <w:rPr>
                <w:rFonts w:hint="eastAsia" w:cs="Times New Roman"/>
                <w:color w:val="auto"/>
                <w:lang w:val="en-US" w:eastAsia="zh-CN"/>
              </w:rPr>
              <w:t>6</w:t>
            </w:r>
            <w:r>
              <w:rPr>
                <w:rFonts w:hint="eastAsia" w:ascii="Times New Roman" w:hAnsi="Times New Roman" w:eastAsia="宋体" w:cs="Times New Roman"/>
                <w:color w:val="auto"/>
                <w:lang w:val="en-US" w:eastAsia="zh-CN"/>
              </w:rPr>
              <w:t>规定的</w:t>
            </w:r>
            <w:r>
              <w:rPr>
                <w:rFonts w:hint="eastAsia"/>
                <w:color w:val="auto"/>
              </w:rPr>
              <w:t>无组织排放监控浓度限值，</w:t>
            </w:r>
            <w:r>
              <w:rPr>
                <w:rFonts w:hint="eastAsia"/>
                <w:color w:val="auto"/>
                <w:lang w:val="en-US" w:eastAsia="zh-CN"/>
              </w:rPr>
              <w:t>总悬浮颗粒物</w:t>
            </w:r>
            <w:r>
              <w:rPr>
                <w:rFonts w:hint="eastAsia"/>
                <w:color w:val="auto"/>
              </w:rPr>
              <w:t>厂界</w:t>
            </w:r>
            <w:r>
              <w:rPr>
                <w:color w:val="auto"/>
              </w:rPr>
              <w:t>外浓度最大值</w:t>
            </w:r>
            <w:r>
              <w:rPr>
                <w:rFonts w:hint="eastAsia"/>
                <w:color w:val="auto"/>
              </w:rPr>
              <w:t>均</w:t>
            </w:r>
            <w:r>
              <w:rPr>
                <w:color w:val="auto"/>
              </w:rPr>
              <w:t>低于《</w:t>
            </w:r>
            <w:r>
              <w:rPr>
                <w:rFonts w:hint="eastAsia"/>
                <w:color w:val="auto"/>
                <w:lang w:val="en-US" w:eastAsia="zh-CN"/>
              </w:rPr>
              <w:t>大气污染物综合</w:t>
            </w:r>
            <w:r>
              <w:rPr>
                <w:rFonts w:hint="eastAsia"/>
                <w:color w:val="auto"/>
              </w:rPr>
              <w:t>排放标准</w:t>
            </w:r>
            <w:r>
              <w:rPr>
                <w:color w:val="auto"/>
              </w:rPr>
              <w:t>》</w:t>
            </w:r>
            <w:r>
              <w:rPr>
                <w:rFonts w:hint="eastAsia" w:ascii="Times New Roman" w:hAnsi="Times New Roman" w:eastAsia="宋体" w:cs="Times New Roman"/>
                <w:color w:val="auto"/>
                <w:lang w:val="en-US" w:eastAsia="zh-CN"/>
              </w:rPr>
              <w:t>（</w:t>
            </w:r>
            <w:r>
              <w:rPr>
                <w:rFonts w:hint="eastAsia" w:cs="Times New Roman"/>
                <w:color w:val="auto"/>
                <w:lang w:val="en-US" w:eastAsia="zh-CN"/>
              </w:rPr>
              <w:t>GB16297-1996</w:t>
            </w:r>
            <w:r>
              <w:rPr>
                <w:rFonts w:hint="eastAsia" w:ascii="Times New Roman" w:hAnsi="Times New Roman" w:eastAsia="宋体" w:cs="Times New Roman"/>
                <w:color w:val="auto"/>
                <w:lang w:val="en-US" w:eastAsia="zh-CN"/>
              </w:rPr>
              <w:t>）</w:t>
            </w:r>
            <w:r>
              <w:rPr>
                <w:rFonts w:hint="eastAsia"/>
                <w:color w:val="auto"/>
              </w:rPr>
              <w:t>表</w:t>
            </w:r>
            <w:r>
              <w:rPr>
                <w:rFonts w:hint="eastAsia"/>
                <w:color w:val="auto"/>
                <w:lang w:val="en-US" w:eastAsia="zh-CN"/>
              </w:rPr>
              <w:t>2</w:t>
            </w:r>
            <w:r>
              <w:rPr>
                <w:rFonts w:hint="eastAsia" w:ascii="Times New Roman" w:hAnsi="Times New Roman" w:eastAsia="宋体" w:cs="Times New Roman"/>
                <w:color w:val="auto"/>
                <w:lang w:val="en-US" w:eastAsia="zh-CN"/>
              </w:rPr>
              <w:t>规定的</w:t>
            </w:r>
            <w:r>
              <w:rPr>
                <w:rFonts w:hint="eastAsia"/>
                <w:color w:val="auto"/>
              </w:rPr>
              <w:t>无组织排放监控浓度限值</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厂区内非甲烷总烃无组织排放浓度达到《挥发性有机物无组织排放控制标准》（</w:t>
            </w:r>
            <w:r>
              <w:rPr>
                <w:rFonts w:hint="default" w:ascii="Times New Roman" w:hAnsi="Times New Roman" w:eastAsia="宋体" w:cs="Times New Roman"/>
                <w:color w:val="auto"/>
                <w:lang w:val="en-US" w:eastAsia="zh-CN"/>
              </w:rPr>
              <w:t>GB37822-2019</w:t>
            </w:r>
            <w:r>
              <w:rPr>
                <w:rFonts w:hint="eastAsia" w:ascii="Times New Roman" w:hAnsi="Times New Roman" w:eastAsia="宋体" w:cs="Times New Roman"/>
                <w:color w:val="auto"/>
                <w:lang w:val="en-US" w:eastAsia="zh-CN"/>
              </w:rPr>
              <w:t>）表</w:t>
            </w:r>
            <w:r>
              <w:rPr>
                <w:rFonts w:hint="default" w:ascii="Times New Roman" w:hAnsi="Times New Roman" w:eastAsia="宋体" w:cs="Times New Roman"/>
                <w:color w:val="auto"/>
                <w:lang w:val="en-US" w:eastAsia="zh-CN"/>
              </w:rPr>
              <w:t>A.1</w:t>
            </w:r>
            <w:r>
              <w:rPr>
                <w:rFonts w:hint="eastAsia" w:ascii="Times New Roman" w:hAnsi="Times New Roman" w:eastAsia="宋体" w:cs="Times New Roman"/>
                <w:color w:val="auto"/>
                <w:lang w:val="en-US" w:eastAsia="zh-CN"/>
              </w:rPr>
              <w:t>厂区内</w:t>
            </w:r>
            <w:r>
              <w:rPr>
                <w:rFonts w:hint="default" w:ascii="Times New Roman" w:hAnsi="Times New Roman" w:eastAsia="宋体" w:cs="Times New Roman"/>
                <w:color w:val="auto"/>
                <w:lang w:val="en-US" w:eastAsia="zh-CN"/>
              </w:rPr>
              <w:t>VOCs</w:t>
            </w:r>
            <w:r>
              <w:rPr>
                <w:rFonts w:hint="eastAsia" w:ascii="Times New Roman" w:hAnsi="Times New Roman" w:eastAsia="宋体" w:cs="Times New Roman"/>
                <w:color w:val="auto"/>
                <w:lang w:val="en-US" w:eastAsia="zh-CN"/>
              </w:rPr>
              <w:t>无组织排放限值中的特别排放限值</w:t>
            </w:r>
            <w:r>
              <w:rPr>
                <w:rFonts w:hint="eastAsia" w:eastAsia="宋体" w:cs="Times New Roman"/>
                <w:color w:val="auto"/>
                <w:lang w:val="en-US" w:eastAsia="zh-CN"/>
              </w:rPr>
              <w:t>。</w:t>
            </w: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表2-2</w:t>
            </w:r>
            <w:r>
              <w:rPr>
                <w:rFonts w:hint="eastAsia" w:cs="Times New Roman"/>
                <w:b/>
                <w:bCs/>
                <w:color w:val="auto"/>
                <w:lang w:val="en-US" w:eastAsia="zh-CN"/>
              </w:rPr>
              <w:t>2</w:t>
            </w:r>
            <w:r>
              <w:rPr>
                <w:rFonts w:hint="eastAsia" w:ascii="Times New Roman" w:hAnsi="Times New Roman" w:eastAsia="宋体" w:cs="Times New Roman"/>
                <w:b/>
                <w:bCs/>
                <w:color w:val="auto"/>
              </w:rPr>
              <w:t xml:space="preserve">  废气（无组织排放）检测结果表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2"/>
              <w:gridCol w:w="849"/>
              <w:gridCol w:w="896"/>
              <w:gridCol w:w="897"/>
              <w:gridCol w:w="971"/>
              <w:gridCol w:w="906"/>
              <w:gridCol w:w="1043"/>
              <w:gridCol w:w="10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restart"/>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检测日期</w:t>
                  </w:r>
                </w:p>
              </w:tc>
              <w:tc>
                <w:tcPr>
                  <w:tcW w:w="849" w:type="dxa"/>
                  <w:vMerge w:val="restart"/>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测点编号</w:t>
                  </w:r>
                </w:p>
              </w:tc>
              <w:tc>
                <w:tcPr>
                  <w:tcW w:w="896" w:type="dxa"/>
                  <w:vMerge w:val="restart"/>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检测频次</w:t>
                  </w:r>
                </w:p>
              </w:tc>
              <w:tc>
                <w:tcPr>
                  <w:tcW w:w="4893" w:type="dxa"/>
                  <w:gridSpan w:val="5"/>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检测结果（mg/m</w:t>
                  </w:r>
                  <w:r>
                    <w:rPr>
                      <w:rFonts w:hint="default" w:ascii="Times New Roman" w:hAnsi="Times New Roman" w:eastAsia="宋体" w:cs="Times New Roman"/>
                      <w:b/>
                      <w:color w:val="auto"/>
                      <w:sz w:val="21"/>
                      <w:szCs w:val="21"/>
                      <w:vertAlign w:val="superscript"/>
                    </w:rPr>
                    <w:t>3</w:t>
                  </w:r>
                  <w:r>
                    <w:rPr>
                      <w:rFonts w:hint="default" w:ascii="Times New Roman" w:hAnsi="Times New Roman" w:eastAsia="宋体" w:cs="Times New Roman"/>
                      <w:b/>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b/>
                      <w:color w:val="auto"/>
                      <w:sz w:val="21"/>
                      <w:szCs w:val="21"/>
                    </w:rPr>
                  </w:pPr>
                </w:p>
              </w:tc>
              <w:tc>
                <w:tcPr>
                  <w:tcW w:w="849" w:type="dxa"/>
                  <w:vMerge w:val="continue"/>
                  <w:noWrap w:val="0"/>
                  <w:vAlign w:val="center"/>
                </w:tcPr>
                <w:p>
                  <w:pPr>
                    <w:jc w:val="center"/>
                    <w:rPr>
                      <w:rFonts w:hint="default" w:ascii="Times New Roman" w:hAnsi="Times New Roman" w:eastAsia="宋体" w:cs="Times New Roman"/>
                      <w:b/>
                      <w:color w:val="auto"/>
                      <w:sz w:val="21"/>
                      <w:szCs w:val="21"/>
                    </w:rPr>
                  </w:pPr>
                </w:p>
              </w:tc>
              <w:tc>
                <w:tcPr>
                  <w:tcW w:w="896" w:type="dxa"/>
                  <w:vMerge w:val="continue"/>
                  <w:noWrap w:val="0"/>
                  <w:vAlign w:val="center"/>
                </w:tcPr>
                <w:p>
                  <w:pPr>
                    <w:jc w:val="center"/>
                    <w:rPr>
                      <w:rFonts w:hint="default" w:ascii="Times New Roman" w:hAnsi="Times New Roman" w:eastAsia="宋体" w:cs="Times New Roman"/>
                      <w:b/>
                      <w:color w:val="auto"/>
                      <w:sz w:val="21"/>
                      <w:szCs w:val="21"/>
                    </w:rPr>
                  </w:pPr>
                </w:p>
              </w:tc>
              <w:tc>
                <w:tcPr>
                  <w:tcW w:w="897" w:type="dxa"/>
                  <w:noWrap w:val="0"/>
                  <w:vAlign w:val="center"/>
                </w:tcPr>
                <w:p>
                  <w:pPr>
                    <w:jc w:val="center"/>
                    <w:rPr>
                      <w:rFonts w:hint="eastAsia" w:ascii="Times New Roman" w:hAnsi="Times New Roman" w:eastAsia="宋体" w:cs="Times New Roman"/>
                      <w:b/>
                      <w:color w:val="auto"/>
                      <w:sz w:val="21"/>
                      <w:szCs w:val="21"/>
                      <w:lang w:eastAsia="zh-CN"/>
                    </w:rPr>
                  </w:pPr>
                  <w:r>
                    <w:rPr>
                      <w:rFonts w:hint="eastAsia" w:cs="Times New Roman"/>
                      <w:b/>
                      <w:color w:val="auto"/>
                      <w:sz w:val="21"/>
                      <w:szCs w:val="21"/>
                      <w:lang w:val="en-US" w:eastAsia="zh-CN"/>
                    </w:rPr>
                    <w:t>总悬浮颗粒物</w:t>
                  </w:r>
                </w:p>
              </w:tc>
              <w:tc>
                <w:tcPr>
                  <w:tcW w:w="971" w:type="dxa"/>
                  <w:noWrap w:val="0"/>
                  <w:vAlign w:val="center"/>
                </w:tcPr>
                <w:p>
                  <w:pPr>
                    <w:jc w:val="center"/>
                    <w:rPr>
                      <w:rFonts w:hint="eastAsia" w:ascii="Times New Roman" w:hAnsi="Times New Roman" w:eastAsia="宋体" w:cs="Times New Roman"/>
                      <w:b/>
                      <w:color w:val="auto"/>
                      <w:sz w:val="21"/>
                      <w:szCs w:val="21"/>
                      <w:lang w:eastAsia="zh-CN"/>
                    </w:rPr>
                  </w:pPr>
                  <w:r>
                    <w:rPr>
                      <w:rFonts w:hint="eastAsia" w:cs="Times New Roman"/>
                      <w:b/>
                      <w:color w:val="auto"/>
                      <w:sz w:val="21"/>
                      <w:szCs w:val="21"/>
                      <w:lang w:val="en-US" w:eastAsia="zh-CN"/>
                    </w:rPr>
                    <w:t>非甲烷总烃</w:t>
                  </w:r>
                </w:p>
              </w:tc>
              <w:tc>
                <w:tcPr>
                  <w:tcW w:w="906" w:type="dxa"/>
                  <w:noWrap w:val="0"/>
                  <w:vAlign w:val="center"/>
                </w:tcPr>
                <w:p>
                  <w:pPr>
                    <w:jc w:val="center"/>
                    <w:rPr>
                      <w:rFonts w:hint="default" w:ascii="Times New Roman" w:hAnsi="Times New Roman" w:eastAsia="宋体" w:cs="Times New Roman"/>
                      <w:b/>
                      <w:color w:val="auto"/>
                      <w:sz w:val="21"/>
                      <w:szCs w:val="21"/>
                      <w:lang w:val="en-US" w:eastAsia="zh-CN"/>
                    </w:rPr>
                  </w:pPr>
                  <w:r>
                    <w:rPr>
                      <w:rFonts w:hint="eastAsia" w:cs="Times New Roman"/>
                      <w:b/>
                      <w:color w:val="auto"/>
                      <w:sz w:val="21"/>
                      <w:szCs w:val="21"/>
                      <w:lang w:val="en-US" w:eastAsia="zh-CN"/>
                    </w:rPr>
                    <w:t>臭气浓度</w:t>
                  </w:r>
                </w:p>
              </w:tc>
              <w:tc>
                <w:tcPr>
                  <w:tcW w:w="1043" w:type="dxa"/>
                  <w:noWrap w:val="0"/>
                  <w:vAlign w:val="center"/>
                </w:tcPr>
                <w:p>
                  <w:pPr>
                    <w:jc w:val="center"/>
                    <w:rPr>
                      <w:rFonts w:hint="default" w:ascii="Times New Roman" w:hAnsi="Times New Roman" w:eastAsia="宋体" w:cs="Times New Roman"/>
                      <w:b/>
                      <w:color w:val="auto"/>
                      <w:sz w:val="21"/>
                      <w:szCs w:val="21"/>
                      <w:lang w:val="en-US" w:eastAsia="zh-CN"/>
                    </w:rPr>
                  </w:pPr>
                  <w:r>
                    <w:rPr>
                      <w:rFonts w:hint="eastAsia" w:eastAsia="宋体" w:cs="Times New Roman"/>
                      <w:b/>
                      <w:color w:val="auto"/>
                      <w:sz w:val="21"/>
                      <w:szCs w:val="21"/>
                      <w:lang w:val="en-US" w:eastAsia="zh-CN"/>
                    </w:rPr>
                    <w:t>对/间/邻二甲苯</w:t>
                  </w:r>
                </w:p>
              </w:tc>
              <w:tc>
                <w:tcPr>
                  <w:tcW w:w="1076" w:type="dxa"/>
                  <w:noWrap w:val="0"/>
                  <w:vAlign w:val="center"/>
                </w:tcPr>
                <w:p>
                  <w:pPr>
                    <w:jc w:val="center"/>
                    <w:rPr>
                      <w:rFonts w:hint="default" w:cs="Times New Roman"/>
                      <w:b/>
                      <w:color w:val="auto"/>
                      <w:sz w:val="21"/>
                      <w:szCs w:val="21"/>
                      <w:lang w:val="en-US" w:eastAsia="zh-CN"/>
                    </w:rPr>
                  </w:pPr>
                  <w:r>
                    <w:rPr>
                      <w:rFonts w:hint="eastAsia" w:cs="Times New Roman"/>
                      <w:b/>
                      <w:color w:val="auto"/>
                      <w:sz w:val="21"/>
                      <w:szCs w:val="21"/>
                      <w:lang w:val="en-US" w:eastAsia="zh-CN"/>
                    </w:rPr>
                    <w:t>乙酸丁酯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restart"/>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1.12.12</w:t>
                  </w:r>
                </w:p>
              </w:tc>
              <w:tc>
                <w:tcPr>
                  <w:tcW w:w="849" w:type="dxa"/>
                  <w:vMerge w:val="restart"/>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上风向</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0.203</w:t>
                  </w:r>
                </w:p>
              </w:tc>
              <w:tc>
                <w:tcPr>
                  <w:tcW w:w="971"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0.61</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0.187</w:t>
                  </w:r>
                </w:p>
              </w:tc>
              <w:tc>
                <w:tcPr>
                  <w:tcW w:w="971"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0.48</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0.204</w:t>
                  </w:r>
                </w:p>
              </w:tc>
              <w:tc>
                <w:tcPr>
                  <w:tcW w:w="971"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0.38</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restart"/>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下风向1</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0.288</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0.39</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0.255</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0.37</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0.238</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0.41</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restart"/>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下风向2</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0.288</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0.38</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0.323</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0.48</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0.238</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0.30</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restart"/>
                  <w:noWrap w:val="0"/>
                  <w:vAlign w:val="center"/>
                </w:tcPr>
                <w:p>
                  <w:pPr>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下风向3</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0.22</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0.38</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FF0000"/>
                      <w:sz w:val="21"/>
                      <w:szCs w:val="21"/>
                    </w:rPr>
                  </w:pPr>
                </w:p>
              </w:tc>
              <w:tc>
                <w:tcPr>
                  <w:tcW w:w="849" w:type="dxa"/>
                  <w:vMerge w:val="continue"/>
                  <w:noWrap w:val="0"/>
                  <w:vAlign w:val="center"/>
                </w:tcPr>
                <w:p>
                  <w:pPr>
                    <w:jc w:val="center"/>
                    <w:rPr>
                      <w:rFonts w:hint="default" w:ascii="Times New Roman" w:hAnsi="Times New Roman" w:eastAsia="宋体" w:cs="Times New Roman"/>
                      <w:color w:val="FF0000"/>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0.289</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0.50</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FF0000"/>
                      <w:sz w:val="21"/>
                      <w:szCs w:val="21"/>
                    </w:rPr>
                  </w:pPr>
                </w:p>
              </w:tc>
              <w:tc>
                <w:tcPr>
                  <w:tcW w:w="849" w:type="dxa"/>
                  <w:vMerge w:val="continue"/>
                  <w:noWrap w:val="0"/>
                  <w:vAlign w:val="center"/>
                </w:tcPr>
                <w:p>
                  <w:pPr>
                    <w:jc w:val="center"/>
                    <w:rPr>
                      <w:rFonts w:hint="default" w:ascii="Times New Roman" w:hAnsi="Times New Roman" w:eastAsia="宋体" w:cs="Times New Roman"/>
                      <w:color w:val="FF0000"/>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0.221</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0.40</w:t>
                  </w:r>
                </w:p>
              </w:tc>
              <w:tc>
                <w:tcPr>
                  <w:tcW w:w="906" w:type="dxa"/>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FF0000"/>
                      <w:sz w:val="21"/>
                      <w:szCs w:val="21"/>
                    </w:rPr>
                  </w:pPr>
                </w:p>
              </w:tc>
              <w:tc>
                <w:tcPr>
                  <w:tcW w:w="849" w:type="dxa"/>
                  <w:vMerge w:val="restart"/>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油漆和喷塑车间外</w:t>
                  </w:r>
                </w:p>
              </w:tc>
              <w:tc>
                <w:tcPr>
                  <w:tcW w:w="89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w:t>
                  </w:r>
                </w:p>
              </w:tc>
              <w:tc>
                <w:tcPr>
                  <w:tcW w:w="971" w:type="dxa"/>
                  <w:noWrap w:val="0"/>
                  <w:vAlign w:val="center"/>
                </w:tcPr>
                <w:p>
                  <w:pPr>
                    <w:jc w:val="center"/>
                    <w:rPr>
                      <w:rFonts w:hint="default"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0.42</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76"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FF0000"/>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w:t>
                  </w:r>
                </w:p>
              </w:tc>
              <w:tc>
                <w:tcPr>
                  <w:tcW w:w="971" w:type="dxa"/>
                  <w:noWrap w:val="0"/>
                  <w:vAlign w:val="center"/>
                </w:tcPr>
                <w:p>
                  <w:pPr>
                    <w:jc w:val="center"/>
                    <w:rPr>
                      <w:rFonts w:hint="default"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0.34</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76"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FF0000"/>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w:t>
                  </w:r>
                </w:p>
              </w:tc>
              <w:tc>
                <w:tcPr>
                  <w:tcW w:w="971" w:type="dxa"/>
                  <w:noWrap w:val="0"/>
                  <w:vAlign w:val="center"/>
                </w:tcPr>
                <w:p>
                  <w:pPr>
                    <w:jc w:val="center"/>
                    <w:rPr>
                      <w:rFonts w:hint="default"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0.46</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76"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restart"/>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检测日期</w:t>
                  </w:r>
                </w:p>
              </w:tc>
              <w:tc>
                <w:tcPr>
                  <w:tcW w:w="849" w:type="dxa"/>
                  <w:vMerge w:val="restart"/>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测点编号</w:t>
                  </w:r>
                </w:p>
              </w:tc>
              <w:tc>
                <w:tcPr>
                  <w:tcW w:w="896" w:type="dxa"/>
                  <w:vMerge w:val="restart"/>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检测频次</w:t>
                  </w:r>
                </w:p>
              </w:tc>
              <w:tc>
                <w:tcPr>
                  <w:tcW w:w="4893" w:type="dxa"/>
                  <w:gridSpan w:val="5"/>
                  <w:noWrap w:val="0"/>
                  <w:vAlign w:val="center"/>
                </w:tcPr>
                <w:p>
                  <w:pPr>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检测结果（mg/m</w:t>
                  </w:r>
                  <w:r>
                    <w:rPr>
                      <w:rFonts w:hint="default" w:ascii="Times New Roman" w:hAnsi="Times New Roman" w:eastAsia="宋体" w:cs="Times New Roman"/>
                      <w:b/>
                      <w:color w:val="auto"/>
                      <w:sz w:val="21"/>
                      <w:szCs w:val="21"/>
                      <w:vertAlign w:val="superscript"/>
                    </w:rPr>
                    <w:t>3</w:t>
                  </w:r>
                  <w:r>
                    <w:rPr>
                      <w:rFonts w:hint="default" w:ascii="Times New Roman" w:hAnsi="Times New Roman" w:eastAsia="宋体" w:cs="Times New Roman"/>
                      <w:b/>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b/>
                      <w:color w:val="auto"/>
                      <w:sz w:val="21"/>
                      <w:szCs w:val="21"/>
                    </w:rPr>
                  </w:pPr>
                </w:p>
              </w:tc>
              <w:tc>
                <w:tcPr>
                  <w:tcW w:w="849" w:type="dxa"/>
                  <w:vMerge w:val="continue"/>
                  <w:noWrap w:val="0"/>
                  <w:vAlign w:val="center"/>
                </w:tcPr>
                <w:p>
                  <w:pPr>
                    <w:jc w:val="center"/>
                    <w:rPr>
                      <w:rFonts w:hint="default" w:ascii="Times New Roman" w:hAnsi="Times New Roman" w:eastAsia="宋体" w:cs="Times New Roman"/>
                      <w:b/>
                      <w:color w:val="auto"/>
                      <w:sz w:val="21"/>
                      <w:szCs w:val="21"/>
                    </w:rPr>
                  </w:pPr>
                </w:p>
              </w:tc>
              <w:tc>
                <w:tcPr>
                  <w:tcW w:w="896" w:type="dxa"/>
                  <w:vMerge w:val="continue"/>
                  <w:noWrap w:val="0"/>
                  <w:vAlign w:val="center"/>
                </w:tcPr>
                <w:p>
                  <w:pPr>
                    <w:jc w:val="center"/>
                    <w:rPr>
                      <w:rFonts w:hint="default" w:ascii="Times New Roman" w:hAnsi="Times New Roman" w:eastAsia="宋体" w:cs="Times New Roman"/>
                      <w:b/>
                      <w:color w:val="auto"/>
                      <w:sz w:val="21"/>
                      <w:szCs w:val="21"/>
                    </w:rPr>
                  </w:pPr>
                </w:p>
              </w:tc>
              <w:tc>
                <w:tcPr>
                  <w:tcW w:w="897" w:type="dxa"/>
                  <w:noWrap w:val="0"/>
                  <w:vAlign w:val="center"/>
                </w:tcPr>
                <w:p>
                  <w:pPr>
                    <w:jc w:val="center"/>
                    <w:rPr>
                      <w:rFonts w:hint="eastAsia" w:ascii="Times New Roman" w:hAnsi="Times New Roman" w:eastAsia="宋体" w:cs="Times New Roman"/>
                      <w:b/>
                      <w:color w:val="auto"/>
                      <w:sz w:val="21"/>
                      <w:szCs w:val="21"/>
                      <w:lang w:eastAsia="zh-CN"/>
                    </w:rPr>
                  </w:pPr>
                  <w:r>
                    <w:rPr>
                      <w:rFonts w:hint="eastAsia" w:cs="Times New Roman"/>
                      <w:b/>
                      <w:color w:val="auto"/>
                      <w:sz w:val="21"/>
                      <w:szCs w:val="21"/>
                      <w:lang w:val="en-US" w:eastAsia="zh-CN"/>
                    </w:rPr>
                    <w:t>总悬浮颗粒物</w:t>
                  </w:r>
                </w:p>
              </w:tc>
              <w:tc>
                <w:tcPr>
                  <w:tcW w:w="971" w:type="dxa"/>
                  <w:noWrap w:val="0"/>
                  <w:vAlign w:val="center"/>
                </w:tcPr>
                <w:p>
                  <w:pPr>
                    <w:jc w:val="center"/>
                    <w:rPr>
                      <w:rFonts w:hint="eastAsia" w:ascii="Times New Roman" w:hAnsi="Times New Roman" w:eastAsia="宋体" w:cs="Times New Roman"/>
                      <w:b/>
                      <w:color w:val="auto"/>
                      <w:sz w:val="21"/>
                      <w:szCs w:val="21"/>
                      <w:lang w:eastAsia="zh-CN"/>
                    </w:rPr>
                  </w:pPr>
                  <w:r>
                    <w:rPr>
                      <w:rFonts w:hint="eastAsia" w:cs="Times New Roman"/>
                      <w:b/>
                      <w:color w:val="auto"/>
                      <w:sz w:val="21"/>
                      <w:szCs w:val="21"/>
                      <w:lang w:val="en-US" w:eastAsia="zh-CN"/>
                    </w:rPr>
                    <w:t>非甲烷总烃</w:t>
                  </w:r>
                </w:p>
              </w:tc>
              <w:tc>
                <w:tcPr>
                  <w:tcW w:w="906" w:type="dxa"/>
                  <w:noWrap w:val="0"/>
                  <w:vAlign w:val="center"/>
                </w:tcPr>
                <w:p>
                  <w:pPr>
                    <w:jc w:val="center"/>
                    <w:rPr>
                      <w:rFonts w:hint="default" w:ascii="Times New Roman" w:hAnsi="Times New Roman" w:eastAsia="宋体" w:cs="Times New Roman"/>
                      <w:b/>
                      <w:color w:val="auto"/>
                      <w:sz w:val="21"/>
                      <w:szCs w:val="21"/>
                      <w:lang w:val="en-US" w:eastAsia="zh-CN"/>
                    </w:rPr>
                  </w:pPr>
                  <w:r>
                    <w:rPr>
                      <w:rFonts w:hint="eastAsia" w:cs="Times New Roman"/>
                      <w:b/>
                      <w:color w:val="auto"/>
                      <w:sz w:val="21"/>
                      <w:szCs w:val="21"/>
                      <w:lang w:val="en-US" w:eastAsia="zh-CN"/>
                    </w:rPr>
                    <w:t>臭气浓度</w:t>
                  </w:r>
                </w:p>
              </w:tc>
              <w:tc>
                <w:tcPr>
                  <w:tcW w:w="1043" w:type="dxa"/>
                  <w:noWrap w:val="0"/>
                  <w:vAlign w:val="center"/>
                </w:tcPr>
                <w:p>
                  <w:pPr>
                    <w:jc w:val="center"/>
                    <w:rPr>
                      <w:rFonts w:hint="eastAsia" w:ascii="Times New Roman" w:hAnsi="Times New Roman" w:eastAsia="宋体" w:cs="Times New Roman"/>
                      <w:b/>
                      <w:color w:val="auto"/>
                      <w:kern w:val="2"/>
                      <w:sz w:val="21"/>
                      <w:szCs w:val="21"/>
                      <w:lang w:val="en-US" w:eastAsia="zh-CN" w:bidi="ar-SA"/>
                    </w:rPr>
                  </w:pPr>
                  <w:r>
                    <w:rPr>
                      <w:rFonts w:hint="eastAsia" w:eastAsia="宋体" w:cs="Times New Roman"/>
                      <w:b/>
                      <w:color w:val="auto"/>
                      <w:sz w:val="21"/>
                      <w:szCs w:val="21"/>
                      <w:lang w:val="en-US" w:eastAsia="zh-CN"/>
                    </w:rPr>
                    <w:t>对/间/邻二甲苯</w:t>
                  </w:r>
                </w:p>
              </w:tc>
              <w:tc>
                <w:tcPr>
                  <w:tcW w:w="1076" w:type="dxa"/>
                  <w:noWrap w:val="0"/>
                  <w:vAlign w:val="center"/>
                </w:tcPr>
                <w:p>
                  <w:pPr>
                    <w:jc w:val="center"/>
                    <w:rPr>
                      <w:rFonts w:hint="eastAsia" w:cs="Times New Roman"/>
                      <w:b/>
                      <w:color w:val="auto"/>
                      <w:sz w:val="21"/>
                      <w:szCs w:val="21"/>
                      <w:lang w:val="en-US" w:eastAsia="zh-CN"/>
                    </w:rPr>
                  </w:pPr>
                  <w:r>
                    <w:rPr>
                      <w:rFonts w:hint="eastAsia" w:cs="Times New Roman"/>
                      <w:b/>
                      <w:color w:val="auto"/>
                      <w:sz w:val="21"/>
                      <w:szCs w:val="21"/>
                      <w:lang w:val="en-US" w:eastAsia="zh-CN"/>
                    </w:rPr>
                    <w:t>乙酸丁酯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restart"/>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eastAsiaTheme="minorEastAsia"/>
                      <w:color w:val="auto"/>
                      <w:sz w:val="21"/>
                      <w:szCs w:val="21"/>
                    </w:rPr>
                    <w:t>202</w:t>
                  </w:r>
                  <w:r>
                    <w:rPr>
                      <w:rFonts w:hint="eastAsia" w:cs="Times New Roman" w:eastAsiaTheme="minorEastAsia"/>
                      <w:color w:val="auto"/>
                      <w:sz w:val="21"/>
                      <w:szCs w:val="21"/>
                      <w:lang w:val="en-US" w:eastAsia="zh-CN"/>
                    </w:rPr>
                    <w:t>1.12.13</w:t>
                  </w:r>
                </w:p>
              </w:tc>
              <w:tc>
                <w:tcPr>
                  <w:tcW w:w="849" w:type="dxa"/>
                  <w:vMerge w:val="restart"/>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上风向</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0.152</w:t>
                  </w:r>
                </w:p>
              </w:tc>
              <w:tc>
                <w:tcPr>
                  <w:tcW w:w="971"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0.39</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0.136</w:t>
                  </w:r>
                </w:p>
              </w:tc>
              <w:tc>
                <w:tcPr>
                  <w:tcW w:w="971"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0.32</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0.171</w:t>
                  </w:r>
                </w:p>
              </w:tc>
              <w:tc>
                <w:tcPr>
                  <w:tcW w:w="971"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0.25</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restart"/>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下风向1</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0.203</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0.38</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0.187</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0.24</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0.188</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0.63</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restart"/>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下风向2</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0.203</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0.49</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0.255</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0.47</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0.188</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0.22</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restart"/>
                  <w:noWrap w:val="0"/>
                  <w:vAlign w:val="center"/>
                </w:tcPr>
                <w:p>
                  <w:pPr>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厂界</w:t>
                  </w:r>
                  <w:r>
                    <w:rPr>
                      <w:rFonts w:hint="eastAsia" w:cs="Times New Roman"/>
                      <w:color w:val="auto"/>
                      <w:sz w:val="21"/>
                      <w:szCs w:val="21"/>
                      <w:lang w:val="en-US" w:eastAsia="zh-CN"/>
                    </w:rPr>
                    <w:t>下风向3</w:t>
                  </w: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0.22</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0.27</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0.153</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0.27</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0.205</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0.35</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10</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r>
                    <w:rPr>
                      <w:rFonts w:hint="eastAsia" w:eastAsia="宋体" w:cs="Times New Roman"/>
                      <w:color w:val="auto"/>
                      <w:sz w:val="21"/>
                      <w:szCs w:val="21"/>
                      <w:lang w:val="en-US" w:eastAsia="zh-CN"/>
                    </w:rPr>
                    <w:t>0.0005</w:t>
                  </w:r>
                </w:p>
              </w:tc>
              <w:tc>
                <w:tcPr>
                  <w:tcW w:w="1076" w:type="dxa"/>
                  <w:noWrap w:val="0"/>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restart"/>
                  <w:noWrap w:val="0"/>
                  <w:vAlign w:val="center"/>
                </w:tcPr>
                <w:p>
                  <w:pPr>
                    <w:jc w:val="center"/>
                    <w:rPr>
                      <w:rFonts w:hint="default" w:ascii="Times New Roman" w:hAnsi="Times New Roman" w:eastAsia="宋体" w:cs="Times New Roman"/>
                      <w:color w:val="auto"/>
                      <w:sz w:val="21"/>
                      <w:szCs w:val="21"/>
                    </w:rPr>
                  </w:pPr>
                  <w:r>
                    <w:rPr>
                      <w:rFonts w:hint="eastAsia" w:eastAsia="宋体" w:cs="Times New Roman"/>
                      <w:color w:val="auto"/>
                      <w:sz w:val="21"/>
                      <w:szCs w:val="21"/>
                      <w:lang w:val="en-US" w:eastAsia="zh-CN"/>
                    </w:rPr>
                    <w:t>油漆和喷塑车间外</w:t>
                  </w:r>
                </w:p>
              </w:tc>
              <w:tc>
                <w:tcPr>
                  <w:tcW w:w="89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第一次</w:t>
                  </w:r>
                </w:p>
              </w:tc>
              <w:tc>
                <w:tcPr>
                  <w:tcW w:w="897"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0.37</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76"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第二次</w:t>
                  </w:r>
                </w:p>
              </w:tc>
              <w:tc>
                <w:tcPr>
                  <w:tcW w:w="897"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0.39</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76"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blHeader/>
                <w:jc w:val="center"/>
              </w:trPr>
              <w:tc>
                <w:tcPr>
                  <w:tcW w:w="732" w:type="dxa"/>
                  <w:vMerge w:val="continue"/>
                  <w:noWrap w:val="0"/>
                  <w:vAlign w:val="center"/>
                </w:tcPr>
                <w:p>
                  <w:pPr>
                    <w:jc w:val="center"/>
                    <w:rPr>
                      <w:rFonts w:hint="default" w:ascii="Times New Roman" w:hAnsi="Times New Roman" w:eastAsia="宋体" w:cs="Times New Roman"/>
                      <w:color w:val="auto"/>
                      <w:sz w:val="21"/>
                      <w:szCs w:val="21"/>
                    </w:rPr>
                  </w:pPr>
                </w:p>
              </w:tc>
              <w:tc>
                <w:tcPr>
                  <w:tcW w:w="849" w:type="dxa"/>
                  <w:vMerge w:val="continue"/>
                  <w:noWrap w:val="0"/>
                  <w:vAlign w:val="center"/>
                </w:tcPr>
                <w:p>
                  <w:pPr>
                    <w:jc w:val="center"/>
                    <w:rPr>
                      <w:rFonts w:hint="default" w:ascii="Times New Roman" w:hAnsi="Times New Roman" w:eastAsia="宋体" w:cs="Times New Roman"/>
                      <w:color w:val="auto"/>
                      <w:sz w:val="21"/>
                      <w:szCs w:val="21"/>
                    </w:rPr>
                  </w:pPr>
                </w:p>
              </w:tc>
              <w:tc>
                <w:tcPr>
                  <w:tcW w:w="89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第三次</w:t>
                  </w:r>
                </w:p>
              </w:tc>
              <w:tc>
                <w:tcPr>
                  <w:tcW w:w="897"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971"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0.28</w:t>
                  </w:r>
                </w:p>
              </w:tc>
              <w:tc>
                <w:tcPr>
                  <w:tcW w:w="906"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43" w:type="dxa"/>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c>
                <w:tcPr>
                  <w:tcW w:w="1076" w:type="dxa"/>
                  <w:noWrap w:val="0"/>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eastAsia="宋体" w:cs="Times New Roman"/>
                      <w:color w:val="auto"/>
                      <w:sz w:val="21"/>
                      <w:szCs w:val="21"/>
                      <w:lang w:val="en-US" w:eastAsia="zh-CN"/>
                    </w:rPr>
                    <w:t>/</w:t>
                  </w:r>
                </w:p>
              </w:tc>
            </w:tr>
          </w:tbl>
          <w:p>
            <w:pPr>
              <w:pStyle w:val="40"/>
              <w:rPr>
                <w:rFonts w:hint="eastAsia"/>
                <w:color w:val="FF0000"/>
                <w:lang w:val="en-US" w:eastAsia="zh-CN"/>
              </w:rPr>
            </w:pPr>
          </w:p>
          <w:p>
            <w:pPr>
              <w:spacing w:line="360" w:lineRule="auto"/>
              <w:ind w:firstLine="480" w:firstLineChars="200"/>
              <w:rPr>
                <w:color w:val="auto"/>
              </w:rPr>
            </w:pPr>
            <w:r>
              <w:rPr>
                <w:color w:val="auto"/>
              </w:rPr>
              <w:t>（</w:t>
            </w:r>
            <w:r>
              <w:rPr>
                <w:rFonts w:hint="eastAsia"/>
                <w:color w:val="auto"/>
              </w:rPr>
              <w:t>3</w:t>
            </w:r>
            <w:r>
              <w:rPr>
                <w:color w:val="auto"/>
              </w:rPr>
              <w:t>）</w:t>
            </w:r>
            <w:r>
              <w:rPr>
                <w:rFonts w:hint="eastAsia"/>
                <w:color w:val="auto"/>
              </w:rPr>
              <w:t>噪声</w:t>
            </w:r>
          </w:p>
          <w:p>
            <w:pPr>
              <w:spacing w:line="360" w:lineRule="auto"/>
              <w:ind w:firstLine="480" w:firstLineChars="200"/>
              <w:rPr>
                <w:color w:val="auto"/>
              </w:rPr>
            </w:pPr>
            <w:r>
              <w:rPr>
                <w:rFonts w:hint="eastAsia"/>
                <w:color w:val="auto"/>
                <w:lang w:val="en-US" w:eastAsia="zh-CN"/>
              </w:rPr>
              <w:t>原有</w:t>
            </w:r>
            <w:r>
              <w:rPr>
                <w:color w:val="auto"/>
              </w:rPr>
              <w:t>项目运营期噪声主要是设备运行噪声，</w:t>
            </w:r>
            <w:r>
              <w:rPr>
                <w:rFonts w:hint="eastAsia" w:cs="Times New Roman"/>
                <w:color w:val="auto"/>
                <w:lang w:val="en-US" w:eastAsia="zh-CN"/>
              </w:rPr>
              <w:t>根据</w:t>
            </w:r>
            <w:r>
              <w:rPr>
                <w:rFonts w:hint="eastAsia" w:eastAsia="宋体"/>
                <w:bCs/>
                <w:color w:val="auto"/>
                <w:lang w:val="en-US" w:eastAsia="zh-CN"/>
              </w:rPr>
              <w:t>鑫桦</w:t>
            </w:r>
            <w:r>
              <w:rPr>
                <w:rFonts w:hint="eastAsia" w:eastAsia="宋体" w:cs="Times New Roman"/>
                <w:bCs/>
                <w:color w:val="auto"/>
                <w:lang w:val="en-US" w:eastAsia="zh-CN"/>
              </w:rPr>
              <w:t>公司</w:t>
            </w:r>
            <w:r>
              <w:rPr>
                <w:rFonts w:hint="eastAsia"/>
                <w:bCs/>
                <w:color w:val="auto"/>
              </w:rPr>
              <w:t>验收监测报告</w:t>
            </w:r>
            <w:r>
              <w:rPr>
                <w:color w:val="auto"/>
              </w:rPr>
              <w:t>，</w:t>
            </w:r>
            <w:r>
              <w:rPr>
                <w:rFonts w:hint="eastAsia"/>
                <w:color w:val="auto"/>
              </w:rPr>
              <w:t>噪声</w:t>
            </w:r>
            <w:r>
              <w:rPr>
                <w:color w:val="auto"/>
              </w:rPr>
              <w:t>监测结果</w:t>
            </w:r>
            <w:r>
              <w:rPr>
                <w:rFonts w:hint="eastAsia"/>
                <w:color w:val="auto"/>
              </w:rPr>
              <w:t>见</w:t>
            </w:r>
            <w:r>
              <w:rPr>
                <w:color w:val="auto"/>
              </w:rPr>
              <w:t>表</w:t>
            </w:r>
            <w:r>
              <w:rPr>
                <w:rFonts w:hint="eastAsia"/>
                <w:color w:val="auto"/>
              </w:rPr>
              <w:t>2-2</w:t>
            </w:r>
            <w:r>
              <w:rPr>
                <w:rFonts w:hint="eastAsia"/>
                <w:color w:val="auto"/>
                <w:lang w:val="en-US" w:eastAsia="zh-CN"/>
              </w:rPr>
              <w:t>3</w:t>
            </w:r>
            <w:r>
              <w:rPr>
                <w:color w:val="auto"/>
              </w:rPr>
              <w:t>。</w:t>
            </w:r>
            <w:r>
              <w:rPr>
                <w:color w:val="auto"/>
                <w:szCs w:val="32"/>
              </w:rPr>
              <w:t>监测结果显示：该项目厂界</w:t>
            </w:r>
            <w:r>
              <w:rPr>
                <w:rFonts w:hint="eastAsia"/>
                <w:color w:val="auto"/>
                <w:szCs w:val="32"/>
              </w:rPr>
              <w:t>东、南、西、北四侧</w:t>
            </w:r>
            <w:r>
              <w:rPr>
                <w:color w:val="auto"/>
                <w:szCs w:val="32"/>
              </w:rPr>
              <w:t>昼间噪声</w:t>
            </w:r>
            <w:r>
              <w:rPr>
                <w:rFonts w:hint="eastAsia"/>
                <w:color w:val="auto"/>
                <w:szCs w:val="32"/>
              </w:rPr>
              <w:t>测量结果</w:t>
            </w:r>
            <w:r>
              <w:rPr>
                <w:color w:val="auto"/>
                <w:szCs w:val="32"/>
              </w:rPr>
              <w:t>均符合GB12348-2008《工业企业厂界噪声排放标准》中3类标准的要求。</w:t>
            </w:r>
          </w:p>
          <w:p>
            <w:pPr>
              <w:spacing w:line="360" w:lineRule="auto"/>
              <w:jc w:val="center"/>
              <w:rPr>
                <w:b/>
                <w:bCs/>
                <w:color w:val="auto"/>
              </w:rPr>
            </w:pPr>
            <w:r>
              <w:rPr>
                <w:b/>
                <w:bCs/>
                <w:color w:val="auto"/>
              </w:rPr>
              <w:t>表</w:t>
            </w:r>
            <w:r>
              <w:rPr>
                <w:rFonts w:hint="eastAsia"/>
                <w:b/>
                <w:bCs/>
                <w:color w:val="auto"/>
              </w:rPr>
              <w:t>2-2</w:t>
            </w:r>
            <w:r>
              <w:rPr>
                <w:rFonts w:hint="eastAsia"/>
                <w:b/>
                <w:bCs/>
                <w:color w:val="auto"/>
                <w:lang w:val="en-US" w:eastAsia="zh-CN"/>
              </w:rPr>
              <w:t>3</w:t>
            </w:r>
            <w:r>
              <w:rPr>
                <w:rFonts w:hint="eastAsia"/>
                <w:b/>
                <w:bCs/>
                <w:color w:val="auto"/>
              </w:rPr>
              <w:t xml:space="preserve">  厂界</w:t>
            </w:r>
            <w:r>
              <w:rPr>
                <w:b/>
                <w:bCs/>
                <w:color w:val="auto"/>
              </w:rPr>
              <w:t>环境噪声检测结果表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2"/>
              <w:gridCol w:w="1842"/>
              <w:gridCol w:w="1842"/>
              <w:gridCol w:w="1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42"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测点位置</w:t>
                  </w:r>
                </w:p>
              </w:tc>
              <w:tc>
                <w:tcPr>
                  <w:tcW w:w="1842"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测量时间</w:t>
                  </w:r>
                </w:p>
              </w:tc>
              <w:tc>
                <w:tcPr>
                  <w:tcW w:w="1842" w:type="dxa"/>
                  <w:noWrap w:val="0"/>
                  <w:vAlign w:val="center"/>
                </w:tcPr>
                <w:p>
                  <w:pPr>
                    <w:pStyle w:val="119"/>
                    <w:jc w:val="center"/>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2021.12.19</w:t>
                  </w:r>
                </w:p>
              </w:tc>
              <w:tc>
                <w:tcPr>
                  <w:tcW w:w="1844" w:type="dxa"/>
                  <w:noWrap w:val="0"/>
                  <w:vAlign w:val="center"/>
                </w:tcPr>
                <w:p>
                  <w:pPr>
                    <w:pStyle w:val="119"/>
                    <w:jc w:val="center"/>
                    <w:rPr>
                      <w:rFonts w:hint="default" w:cs="Times New Roman"/>
                      <w:b w:val="0"/>
                      <w:bCs w:val="0"/>
                      <w:color w:val="auto"/>
                      <w:sz w:val="21"/>
                      <w:szCs w:val="21"/>
                      <w:lang w:val="en-US" w:eastAsia="zh-CN"/>
                    </w:rPr>
                  </w:pPr>
                  <w:r>
                    <w:rPr>
                      <w:rFonts w:hint="eastAsia" w:cs="Times New Roman"/>
                      <w:b w:val="0"/>
                      <w:bCs w:val="0"/>
                      <w:color w:val="auto"/>
                      <w:sz w:val="21"/>
                      <w:szCs w:val="21"/>
                      <w:lang w:val="en-US" w:eastAsia="zh-CN"/>
                    </w:rPr>
                    <w:t>2021.12.20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42" w:type="dxa"/>
                  <w:noWrap w:val="0"/>
                  <w:vAlign w:val="center"/>
                </w:tcPr>
                <w:p>
                  <w:pPr>
                    <w:snapToGrid w:val="0"/>
                    <w:spacing w:line="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厂界东</w:t>
                  </w:r>
                </w:p>
              </w:tc>
              <w:tc>
                <w:tcPr>
                  <w:tcW w:w="1842" w:type="dxa"/>
                  <w:vMerge w:val="restart"/>
                  <w:noWrap w:val="0"/>
                  <w:vAlign w:val="center"/>
                </w:tcPr>
                <w:p>
                  <w:pPr>
                    <w:snapToGrid w:val="0"/>
                    <w:spacing w:line="0" w:lineRule="atLeast"/>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val="0"/>
                      <w:color w:val="auto"/>
                      <w:sz w:val="21"/>
                      <w:szCs w:val="21"/>
                    </w:rPr>
                    <w:t>昼间检测结果</w:t>
                  </w:r>
                  <w:r>
                    <w:rPr>
                      <w:rFonts w:hint="eastAsia" w:cs="Times New Roman"/>
                      <w:b w:val="0"/>
                      <w:bCs w:val="0"/>
                      <w:color w:val="auto"/>
                      <w:sz w:val="21"/>
                      <w:szCs w:val="21"/>
                      <w:lang w:val="en-US" w:eastAsia="zh-CN"/>
                    </w:rPr>
                    <w:t>dB(A)</w:t>
                  </w:r>
                </w:p>
              </w:tc>
              <w:tc>
                <w:tcPr>
                  <w:tcW w:w="1842" w:type="dxa"/>
                  <w:noWrap w:val="0"/>
                  <w:vAlign w:val="center"/>
                </w:tcPr>
                <w:p>
                  <w:pPr>
                    <w:pStyle w:val="119"/>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59.9</w:t>
                  </w:r>
                </w:p>
              </w:tc>
              <w:tc>
                <w:tcPr>
                  <w:tcW w:w="1844" w:type="dxa"/>
                  <w:noWrap w:val="0"/>
                  <w:vAlign w:val="center"/>
                </w:tcPr>
                <w:p>
                  <w:pPr>
                    <w:pStyle w:val="119"/>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60.9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42" w:type="dxa"/>
                  <w:noWrap w:val="0"/>
                  <w:vAlign w:val="center"/>
                </w:tcPr>
                <w:p>
                  <w:pPr>
                    <w:snapToGrid w:val="0"/>
                    <w:spacing w:line="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厂界南</w:t>
                  </w:r>
                </w:p>
              </w:tc>
              <w:tc>
                <w:tcPr>
                  <w:tcW w:w="1842" w:type="dxa"/>
                  <w:vMerge w:val="continue"/>
                  <w:noWrap w:val="0"/>
                  <w:vAlign w:val="center"/>
                </w:tcPr>
                <w:p>
                  <w:pPr>
                    <w:snapToGrid w:val="0"/>
                    <w:spacing w:line="0" w:lineRule="atLeast"/>
                    <w:jc w:val="center"/>
                    <w:rPr>
                      <w:rFonts w:hint="default" w:ascii="Times New Roman" w:hAnsi="Times New Roman" w:eastAsia="宋体" w:cs="Times New Roman"/>
                      <w:color w:val="auto"/>
                      <w:sz w:val="21"/>
                      <w:szCs w:val="21"/>
                    </w:rPr>
                  </w:pPr>
                </w:p>
              </w:tc>
              <w:tc>
                <w:tcPr>
                  <w:tcW w:w="1842" w:type="dxa"/>
                  <w:noWrap w:val="0"/>
                  <w:vAlign w:val="center"/>
                </w:tcPr>
                <w:p>
                  <w:pPr>
                    <w:pStyle w:val="119"/>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60.3</w:t>
                  </w:r>
                </w:p>
              </w:tc>
              <w:tc>
                <w:tcPr>
                  <w:tcW w:w="1844" w:type="dxa"/>
                  <w:noWrap w:val="0"/>
                  <w:vAlign w:val="center"/>
                </w:tcPr>
                <w:p>
                  <w:pPr>
                    <w:pStyle w:val="119"/>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42" w:type="dxa"/>
                  <w:noWrap w:val="0"/>
                  <w:vAlign w:val="center"/>
                </w:tcPr>
                <w:p>
                  <w:pPr>
                    <w:snapToGrid w:val="0"/>
                    <w:spacing w:line="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厂界西</w:t>
                  </w:r>
                </w:p>
              </w:tc>
              <w:tc>
                <w:tcPr>
                  <w:tcW w:w="1842" w:type="dxa"/>
                  <w:vMerge w:val="continue"/>
                  <w:noWrap w:val="0"/>
                  <w:vAlign w:val="center"/>
                </w:tcPr>
                <w:p>
                  <w:pPr>
                    <w:snapToGrid w:val="0"/>
                    <w:spacing w:line="0" w:lineRule="atLeast"/>
                    <w:jc w:val="center"/>
                    <w:rPr>
                      <w:rFonts w:hint="default" w:ascii="Times New Roman" w:hAnsi="Times New Roman" w:eastAsia="宋体" w:cs="Times New Roman"/>
                      <w:color w:val="auto"/>
                      <w:sz w:val="21"/>
                      <w:szCs w:val="21"/>
                    </w:rPr>
                  </w:pPr>
                </w:p>
              </w:tc>
              <w:tc>
                <w:tcPr>
                  <w:tcW w:w="1842" w:type="dxa"/>
                  <w:noWrap w:val="0"/>
                  <w:vAlign w:val="center"/>
                </w:tcPr>
                <w:p>
                  <w:pPr>
                    <w:pStyle w:val="119"/>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63.8</w:t>
                  </w:r>
                </w:p>
              </w:tc>
              <w:tc>
                <w:tcPr>
                  <w:tcW w:w="1844" w:type="dxa"/>
                  <w:noWrap w:val="0"/>
                  <w:vAlign w:val="center"/>
                </w:tcPr>
                <w:p>
                  <w:pPr>
                    <w:pStyle w:val="119"/>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42" w:type="dxa"/>
                  <w:noWrap w:val="0"/>
                  <w:vAlign w:val="center"/>
                </w:tcPr>
                <w:p>
                  <w:pPr>
                    <w:snapToGrid w:val="0"/>
                    <w:spacing w:line="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厂界北</w:t>
                  </w:r>
                </w:p>
              </w:tc>
              <w:tc>
                <w:tcPr>
                  <w:tcW w:w="1842" w:type="dxa"/>
                  <w:vMerge w:val="continue"/>
                  <w:noWrap w:val="0"/>
                  <w:vAlign w:val="center"/>
                </w:tcPr>
                <w:p>
                  <w:pPr>
                    <w:snapToGrid w:val="0"/>
                    <w:spacing w:line="0" w:lineRule="atLeast"/>
                    <w:jc w:val="center"/>
                    <w:rPr>
                      <w:rFonts w:hint="default" w:ascii="Times New Roman" w:hAnsi="Times New Roman" w:eastAsia="宋体" w:cs="Times New Roman"/>
                      <w:color w:val="auto"/>
                      <w:sz w:val="21"/>
                      <w:szCs w:val="21"/>
                    </w:rPr>
                  </w:pPr>
                </w:p>
              </w:tc>
              <w:tc>
                <w:tcPr>
                  <w:tcW w:w="1842" w:type="dxa"/>
                  <w:noWrap w:val="0"/>
                  <w:vAlign w:val="center"/>
                </w:tcPr>
                <w:p>
                  <w:pPr>
                    <w:pStyle w:val="119"/>
                    <w:jc w:val="center"/>
                    <w:rPr>
                      <w:rFonts w:hint="default" w:ascii="Times New Roman" w:hAnsi="Times New Roman" w:eastAsia="宋体" w:cs="Times New Roman"/>
                      <w:b w:val="0"/>
                      <w:bCs w:val="0"/>
                      <w:color w:val="auto"/>
                      <w:sz w:val="21"/>
                      <w:szCs w:val="21"/>
                      <w:lang w:val="en-US" w:eastAsia="zh-CN"/>
                    </w:rPr>
                  </w:pPr>
                  <w:r>
                    <w:rPr>
                      <w:rFonts w:hint="eastAsia" w:eastAsia="宋体" w:cs="Times New Roman"/>
                      <w:b w:val="0"/>
                      <w:bCs w:val="0"/>
                      <w:color w:val="auto"/>
                      <w:sz w:val="21"/>
                      <w:szCs w:val="21"/>
                      <w:lang w:val="en-US" w:eastAsia="zh-CN"/>
                    </w:rPr>
                    <w:t>64.4</w:t>
                  </w:r>
                </w:p>
              </w:tc>
              <w:tc>
                <w:tcPr>
                  <w:tcW w:w="1844" w:type="dxa"/>
                  <w:noWrap w:val="0"/>
                  <w:vAlign w:val="center"/>
                </w:tcPr>
                <w:p>
                  <w:pPr>
                    <w:pStyle w:val="119"/>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61.6</w:t>
                  </w:r>
                </w:p>
              </w:tc>
            </w:tr>
          </w:tbl>
          <w:p>
            <w:pPr>
              <w:pStyle w:val="40"/>
              <w:spacing w:line="240" w:lineRule="auto"/>
              <w:rPr>
                <w:rFonts w:hint="eastAsia"/>
                <w:color w:val="FF0000"/>
                <w:lang w:val="en-US" w:eastAsia="zh-CN"/>
              </w:rPr>
            </w:pPr>
          </w:p>
          <w:p>
            <w:pPr>
              <w:spacing w:line="360" w:lineRule="auto"/>
              <w:ind w:firstLine="480" w:firstLineChars="200"/>
              <w:rPr>
                <w:color w:val="auto"/>
              </w:rPr>
            </w:pPr>
            <w:r>
              <w:rPr>
                <w:color w:val="auto"/>
              </w:rPr>
              <w:t>（</w:t>
            </w:r>
            <w:r>
              <w:rPr>
                <w:rFonts w:hint="eastAsia"/>
                <w:color w:val="auto"/>
              </w:rPr>
              <w:t>4</w:t>
            </w:r>
            <w:r>
              <w:rPr>
                <w:color w:val="auto"/>
              </w:rPr>
              <w:t>）</w:t>
            </w:r>
            <w:r>
              <w:rPr>
                <w:rFonts w:hint="eastAsia"/>
                <w:color w:val="auto"/>
              </w:rPr>
              <w:t>固废</w:t>
            </w:r>
          </w:p>
          <w:p>
            <w:pPr>
              <w:spacing w:line="360" w:lineRule="auto"/>
              <w:ind w:firstLine="480" w:firstLineChars="200"/>
              <w:rPr>
                <w:rFonts w:hint="eastAsia" w:ascii="Times New Roman" w:hAnsi="Times New Roman" w:eastAsia="宋体" w:cs="Times New Roman"/>
                <w:color w:val="auto"/>
              </w:rPr>
            </w:pPr>
            <w:r>
              <w:rPr>
                <w:rFonts w:hint="eastAsia" w:ascii="Times New Roman" w:hAnsi="Times New Roman" w:eastAsia="宋体" w:cs="Times New Roman"/>
                <w:color w:val="auto"/>
                <w:lang w:val="en-US" w:eastAsia="zh-CN"/>
              </w:rPr>
              <w:t>原有</w:t>
            </w:r>
            <w:r>
              <w:rPr>
                <w:rFonts w:hint="eastAsia" w:ascii="Times New Roman" w:hAnsi="Times New Roman" w:eastAsia="宋体" w:cs="Times New Roman"/>
                <w:color w:val="auto"/>
              </w:rPr>
              <w:t>项目固废主要为</w:t>
            </w:r>
            <w:r>
              <w:rPr>
                <w:rFonts w:hint="eastAsia" w:cs="Times New Roman"/>
                <w:color w:val="auto"/>
                <w:lang w:val="en-US" w:eastAsia="zh-CN"/>
              </w:rPr>
              <w:t>生活垃圾、收集的金属粉尘、金属边角料、无铅焊渣、空气瓶、收集的塑粉、废包装桶、漆渣、废毛刷、废活性炭，</w:t>
            </w:r>
            <w:r>
              <w:rPr>
                <w:rFonts w:hint="eastAsia" w:ascii="Times New Roman" w:hAnsi="Times New Roman" w:eastAsia="宋体" w:cs="Times New Roman"/>
                <w:color w:val="auto"/>
              </w:rPr>
              <w:t>具体见表2-2</w:t>
            </w:r>
            <w:r>
              <w:rPr>
                <w:rFonts w:hint="eastAsia" w:cs="Times New Roman"/>
                <w:color w:val="auto"/>
                <w:lang w:val="en-US" w:eastAsia="zh-CN"/>
              </w:rPr>
              <w:t>4</w:t>
            </w:r>
            <w:r>
              <w:rPr>
                <w:rFonts w:hint="eastAsia" w:ascii="Times New Roman" w:hAnsi="Times New Roman" w:eastAsia="宋体" w:cs="Times New Roman"/>
                <w:color w:val="auto"/>
              </w:rPr>
              <w:t>。</w:t>
            </w:r>
          </w:p>
          <w:p>
            <w:pPr>
              <w:spacing w:line="360" w:lineRule="auto"/>
              <w:jc w:val="center"/>
              <w:rPr>
                <w:b/>
                <w:bCs/>
                <w:color w:val="auto"/>
              </w:rPr>
            </w:pPr>
            <w:r>
              <w:rPr>
                <w:b/>
                <w:bCs/>
                <w:color w:val="auto"/>
              </w:rPr>
              <w:t>表</w:t>
            </w:r>
            <w:r>
              <w:rPr>
                <w:rFonts w:hint="eastAsia"/>
                <w:b/>
                <w:bCs/>
                <w:color w:val="auto"/>
              </w:rPr>
              <w:t>2-2</w:t>
            </w:r>
            <w:r>
              <w:rPr>
                <w:rFonts w:hint="eastAsia"/>
                <w:b/>
                <w:bCs/>
                <w:color w:val="auto"/>
                <w:lang w:val="en-US" w:eastAsia="zh-CN"/>
              </w:rPr>
              <w:t>4</w:t>
            </w:r>
            <w:r>
              <w:rPr>
                <w:rFonts w:hint="eastAsia"/>
                <w:b/>
                <w:bCs/>
                <w:color w:val="auto"/>
              </w:rPr>
              <w:t xml:space="preserve">  </w:t>
            </w:r>
            <w:r>
              <w:rPr>
                <w:b/>
                <w:bCs/>
                <w:color w:val="auto"/>
              </w:rPr>
              <w:t>企业固体废物情况汇总表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8"/>
              <w:gridCol w:w="1307"/>
              <w:gridCol w:w="1292"/>
              <w:gridCol w:w="1160"/>
              <w:gridCol w:w="1529"/>
              <w:gridCol w:w="1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1307"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固废名称</w:t>
                  </w:r>
                </w:p>
              </w:tc>
              <w:tc>
                <w:tcPr>
                  <w:tcW w:w="1292"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固废产生量</w:t>
                  </w:r>
                </w:p>
              </w:tc>
              <w:tc>
                <w:tcPr>
                  <w:tcW w:w="1160"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固废性质</w:t>
                  </w:r>
                </w:p>
              </w:tc>
              <w:tc>
                <w:tcPr>
                  <w:tcW w:w="1529"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危废代码</w:t>
                  </w:r>
                </w:p>
              </w:tc>
              <w:tc>
                <w:tcPr>
                  <w:tcW w:w="1364" w:type="dxa"/>
                  <w:noWrap w:val="0"/>
                  <w:vAlign w:val="center"/>
                </w:tcPr>
                <w:p>
                  <w:pPr>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w:t>
                  </w:r>
                </w:p>
              </w:tc>
              <w:tc>
                <w:tcPr>
                  <w:tcW w:w="1307"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生活垃圾</w:t>
                  </w:r>
                </w:p>
              </w:tc>
              <w:tc>
                <w:tcPr>
                  <w:tcW w:w="1292" w:type="dxa"/>
                  <w:noWrap w:val="0"/>
                  <w:vAlign w:val="center"/>
                </w:tcPr>
                <w:p>
                  <w:pPr>
                    <w:jc w:val="center"/>
                    <w:rPr>
                      <w:rFonts w:hint="default" w:ascii="Times New Roman" w:hAnsi="Times New Roman" w:eastAsia="宋体" w:cs="Times New Roman"/>
                      <w:bCs/>
                      <w:color w:val="auto"/>
                      <w:sz w:val="21"/>
                      <w:szCs w:val="21"/>
                    </w:rPr>
                  </w:pPr>
                  <w:r>
                    <w:rPr>
                      <w:rFonts w:hint="eastAsia" w:cs="Times New Roman"/>
                      <w:bCs/>
                      <w:color w:val="auto"/>
                      <w:sz w:val="21"/>
                      <w:szCs w:val="21"/>
                      <w:lang w:val="en-US" w:eastAsia="zh-CN"/>
                    </w:rPr>
                    <w:t>25.5</w:t>
                  </w:r>
                  <w:r>
                    <w:rPr>
                      <w:rFonts w:hint="default" w:ascii="Times New Roman" w:hAnsi="Times New Roman" w:eastAsia="宋体" w:cs="Times New Roman"/>
                      <w:bCs/>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w:t>
                  </w:r>
                </w:p>
              </w:tc>
              <w:tc>
                <w:tcPr>
                  <w:tcW w:w="1529"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w:t>
                  </w:r>
                </w:p>
              </w:tc>
              <w:tc>
                <w:tcPr>
                  <w:tcW w:w="1364"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委托环卫部门清运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2</w:t>
                  </w:r>
                </w:p>
              </w:tc>
              <w:tc>
                <w:tcPr>
                  <w:tcW w:w="1307" w:type="dxa"/>
                  <w:noWrap w:val="0"/>
                  <w:vAlign w:val="center"/>
                </w:tcPr>
                <w:p>
                  <w:pPr>
                    <w:jc w:val="center"/>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收集的金属粉尘</w:t>
                  </w:r>
                </w:p>
              </w:tc>
              <w:tc>
                <w:tcPr>
                  <w:tcW w:w="1292" w:type="dxa"/>
                  <w:noWrap w:val="0"/>
                  <w:vAlign w:val="center"/>
                </w:tcPr>
                <w:p>
                  <w:pPr>
                    <w:snapToGrid w:val="0"/>
                    <w:jc w:val="center"/>
                    <w:rPr>
                      <w:rFonts w:hint="eastAsia" w:ascii="Times New Roman" w:hAnsi="Times New Roman" w:eastAsia="宋体" w:cs="Times New Roman"/>
                      <w:bCs/>
                      <w:color w:val="auto"/>
                      <w:sz w:val="21"/>
                      <w:szCs w:val="21"/>
                      <w:lang w:eastAsia="zh-CN"/>
                    </w:rPr>
                  </w:pPr>
                  <w:r>
                    <w:rPr>
                      <w:rFonts w:hint="eastAsia" w:cs="Times New Roman"/>
                      <w:bCs/>
                      <w:color w:val="auto"/>
                      <w:sz w:val="21"/>
                      <w:szCs w:val="21"/>
                      <w:lang w:val="en-US" w:eastAsia="zh-CN"/>
                    </w:rPr>
                    <w:t>18.18</w:t>
                  </w:r>
                  <w:r>
                    <w:rPr>
                      <w:rFonts w:hint="default" w:ascii="Times New Roman" w:hAnsi="Times New Roman" w:eastAsia="宋体" w:cs="Times New Roman"/>
                      <w:bCs/>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一般固废</w:t>
                  </w:r>
                </w:p>
              </w:tc>
              <w:tc>
                <w:tcPr>
                  <w:tcW w:w="1529"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w:t>
                  </w:r>
                </w:p>
              </w:tc>
              <w:tc>
                <w:tcPr>
                  <w:tcW w:w="1364"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eastAsia="宋体" w:cs="Times New Roman"/>
                      <w:bCs/>
                      <w:color w:val="auto"/>
                      <w:sz w:val="21"/>
                      <w:szCs w:val="21"/>
                      <w:lang w:val="en-US" w:eastAsia="zh-CN"/>
                    </w:rPr>
                    <w:t>出售给物资回收公司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3</w:t>
                  </w:r>
                </w:p>
              </w:tc>
              <w:tc>
                <w:tcPr>
                  <w:tcW w:w="1307"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eastAsia="宋体" w:cs="Times New Roman"/>
                      <w:bCs/>
                      <w:color w:val="auto"/>
                      <w:sz w:val="21"/>
                      <w:szCs w:val="21"/>
                      <w:lang w:val="en-US" w:eastAsia="zh-CN"/>
                    </w:rPr>
                    <w:t>金属边角料</w:t>
                  </w:r>
                </w:p>
              </w:tc>
              <w:tc>
                <w:tcPr>
                  <w:tcW w:w="1292" w:type="dxa"/>
                  <w:noWrap w:val="0"/>
                  <w:vAlign w:val="center"/>
                </w:tcPr>
                <w:p>
                  <w:pPr>
                    <w:snapToGrid w:val="0"/>
                    <w:jc w:val="center"/>
                    <w:rPr>
                      <w:rFonts w:hint="eastAsia" w:cs="Times New Roman"/>
                      <w:bCs/>
                      <w:color w:val="auto"/>
                      <w:sz w:val="21"/>
                      <w:szCs w:val="21"/>
                      <w:lang w:val="en-US" w:eastAsia="zh-CN"/>
                    </w:rPr>
                  </w:pPr>
                  <w:r>
                    <w:rPr>
                      <w:rFonts w:hint="eastAsia" w:eastAsia="宋体" w:cs="Times New Roman"/>
                      <w:bCs/>
                      <w:color w:val="auto"/>
                      <w:sz w:val="21"/>
                      <w:szCs w:val="21"/>
                      <w:lang w:val="en-US" w:eastAsia="zh-CN"/>
                    </w:rPr>
                    <w:t>125</w:t>
                  </w:r>
                  <w:r>
                    <w:rPr>
                      <w:rFonts w:hint="default" w:ascii="Times New Roman" w:hAnsi="Times New Roman" w:eastAsia="宋体" w:cs="Times New Roman"/>
                      <w:bCs/>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一般固废</w:t>
                  </w:r>
                </w:p>
              </w:tc>
              <w:tc>
                <w:tcPr>
                  <w:tcW w:w="1529"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w:t>
                  </w:r>
                </w:p>
              </w:tc>
              <w:tc>
                <w:tcPr>
                  <w:tcW w:w="1364" w:type="dxa"/>
                  <w:noWrap w:val="0"/>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eastAsia="宋体" w:cs="Times New Roman"/>
                      <w:bCs/>
                      <w:color w:val="auto"/>
                      <w:sz w:val="21"/>
                      <w:szCs w:val="21"/>
                      <w:lang w:val="en-US" w:eastAsia="zh-CN"/>
                    </w:rPr>
                    <w:t>出售给物资回收公司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4</w:t>
                  </w:r>
                </w:p>
              </w:tc>
              <w:tc>
                <w:tcPr>
                  <w:tcW w:w="1307" w:type="dxa"/>
                  <w:noWrap w:val="0"/>
                  <w:vAlign w:val="center"/>
                </w:tcPr>
                <w:p>
                  <w:pPr>
                    <w:jc w:val="center"/>
                    <w:rPr>
                      <w:rFonts w:hint="default" w:eastAsia="宋体" w:cs="Times New Roman"/>
                      <w:bCs/>
                      <w:color w:val="auto"/>
                      <w:sz w:val="21"/>
                      <w:szCs w:val="21"/>
                      <w:lang w:val="en-US" w:eastAsia="zh-CN"/>
                    </w:rPr>
                  </w:pPr>
                  <w:r>
                    <w:rPr>
                      <w:rFonts w:hint="eastAsia" w:eastAsia="宋体" w:cs="Times New Roman"/>
                      <w:bCs/>
                      <w:color w:val="auto"/>
                      <w:sz w:val="21"/>
                      <w:szCs w:val="21"/>
                      <w:lang w:val="en-US" w:eastAsia="zh-CN"/>
                    </w:rPr>
                    <w:t>无铅焊渣</w:t>
                  </w:r>
                </w:p>
              </w:tc>
              <w:tc>
                <w:tcPr>
                  <w:tcW w:w="1292" w:type="dxa"/>
                  <w:noWrap w:val="0"/>
                  <w:vAlign w:val="center"/>
                </w:tcPr>
                <w:p>
                  <w:pPr>
                    <w:snapToGrid w:val="0"/>
                    <w:jc w:val="center"/>
                    <w:rPr>
                      <w:rFonts w:hint="eastAsia" w:eastAsia="宋体" w:cs="Times New Roman"/>
                      <w:bCs/>
                      <w:color w:val="auto"/>
                      <w:sz w:val="21"/>
                      <w:szCs w:val="21"/>
                      <w:lang w:val="en-US" w:eastAsia="zh-CN"/>
                    </w:rPr>
                  </w:pPr>
                  <w:r>
                    <w:rPr>
                      <w:rFonts w:hint="eastAsia" w:eastAsia="宋体" w:cs="Times New Roman"/>
                      <w:bCs/>
                      <w:color w:val="auto"/>
                      <w:sz w:val="21"/>
                      <w:szCs w:val="21"/>
                      <w:lang w:val="en-US" w:eastAsia="zh-CN"/>
                    </w:rPr>
                    <w:t>5.6</w:t>
                  </w:r>
                  <w:r>
                    <w:rPr>
                      <w:rFonts w:hint="default" w:ascii="Times New Roman" w:hAnsi="Times New Roman" w:eastAsia="宋体" w:cs="Times New Roman"/>
                      <w:bCs/>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一般固废</w:t>
                  </w:r>
                </w:p>
              </w:tc>
              <w:tc>
                <w:tcPr>
                  <w:tcW w:w="1529"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w:t>
                  </w:r>
                </w:p>
              </w:tc>
              <w:tc>
                <w:tcPr>
                  <w:tcW w:w="1364" w:type="dxa"/>
                  <w:noWrap w:val="0"/>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eastAsia="宋体" w:cs="Times New Roman"/>
                      <w:bCs/>
                      <w:color w:val="auto"/>
                      <w:sz w:val="21"/>
                      <w:szCs w:val="21"/>
                      <w:lang w:val="en-US" w:eastAsia="zh-CN"/>
                    </w:rPr>
                    <w:t>出售给物资回收公司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5</w:t>
                  </w:r>
                </w:p>
              </w:tc>
              <w:tc>
                <w:tcPr>
                  <w:tcW w:w="1307" w:type="dxa"/>
                  <w:noWrap w:val="0"/>
                  <w:vAlign w:val="center"/>
                </w:tcPr>
                <w:p>
                  <w:pPr>
                    <w:jc w:val="center"/>
                    <w:rPr>
                      <w:rFonts w:hint="default" w:eastAsia="宋体" w:cs="Times New Roman"/>
                      <w:bCs/>
                      <w:color w:val="auto"/>
                      <w:sz w:val="21"/>
                      <w:szCs w:val="21"/>
                      <w:lang w:val="en-US" w:eastAsia="zh-CN"/>
                    </w:rPr>
                  </w:pPr>
                  <w:r>
                    <w:rPr>
                      <w:rFonts w:hint="eastAsia" w:eastAsia="宋体" w:cs="Times New Roman"/>
                      <w:bCs/>
                      <w:color w:val="auto"/>
                      <w:sz w:val="21"/>
                      <w:szCs w:val="21"/>
                      <w:lang w:val="en-US" w:eastAsia="zh-CN"/>
                    </w:rPr>
                    <w:t>空气瓶</w:t>
                  </w:r>
                </w:p>
              </w:tc>
              <w:tc>
                <w:tcPr>
                  <w:tcW w:w="1292" w:type="dxa"/>
                  <w:noWrap w:val="0"/>
                  <w:vAlign w:val="center"/>
                </w:tcPr>
                <w:p>
                  <w:pPr>
                    <w:snapToGrid w:val="0"/>
                    <w:jc w:val="center"/>
                    <w:rPr>
                      <w:rFonts w:hint="default" w:eastAsia="宋体" w:cs="Times New Roman"/>
                      <w:bCs/>
                      <w:color w:val="auto"/>
                      <w:sz w:val="21"/>
                      <w:szCs w:val="21"/>
                      <w:lang w:val="en-US" w:eastAsia="zh-CN"/>
                    </w:rPr>
                  </w:pPr>
                  <w:r>
                    <w:rPr>
                      <w:rFonts w:hint="eastAsia" w:eastAsia="宋体" w:cs="Times New Roman"/>
                      <w:bCs/>
                      <w:color w:val="auto"/>
                      <w:sz w:val="21"/>
                      <w:szCs w:val="21"/>
                      <w:lang w:val="en-US" w:eastAsia="zh-CN"/>
                    </w:rPr>
                    <w:t>0.5</w:t>
                  </w:r>
                  <w:r>
                    <w:rPr>
                      <w:rFonts w:hint="default" w:ascii="Times New Roman" w:hAnsi="Times New Roman" w:eastAsia="宋体" w:cs="Times New Roman"/>
                      <w:bCs/>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一般固废</w:t>
                  </w:r>
                </w:p>
              </w:tc>
              <w:tc>
                <w:tcPr>
                  <w:tcW w:w="1529"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w:t>
                  </w:r>
                </w:p>
              </w:tc>
              <w:tc>
                <w:tcPr>
                  <w:tcW w:w="1364" w:type="dxa"/>
                  <w:noWrap w:val="0"/>
                  <w:vAlign w:val="center"/>
                </w:tcPr>
                <w:p>
                  <w:pPr>
                    <w:jc w:val="center"/>
                    <w:rPr>
                      <w:rFonts w:hint="default" w:eastAsia="宋体" w:cs="Times New Roman"/>
                      <w:bCs/>
                      <w:color w:val="auto"/>
                      <w:sz w:val="21"/>
                      <w:szCs w:val="21"/>
                      <w:lang w:val="en-US" w:eastAsia="zh-CN"/>
                    </w:rPr>
                  </w:pPr>
                  <w:r>
                    <w:rPr>
                      <w:rFonts w:hint="eastAsia" w:eastAsia="宋体" w:cs="Times New Roman"/>
                      <w:bCs/>
                      <w:color w:val="auto"/>
                      <w:sz w:val="21"/>
                      <w:szCs w:val="21"/>
                      <w:lang w:val="en-US" w:eastAsia="zh-CN"/>
                    </w:rPr>
                    <w:t>供应商回收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6</w:t>
                  </w:r>
                </w:p>
              </w:tc>
              <w:tc>
                <w:tcPr>
                  <w:tcW w:w="1307"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收集的塑粉</w:t>
                  </w:r>
                </w:p>
              </w:tc>
              <w:tc>
                <w:tcPr>
                  <w:tcW w:w="1292" w:type="dxa"/>
                  <w:noWrap w:val="0"/>
                  <w:vAlign w:val="center"/>
                </w:tcPr>
                <w:p>
                  <w:pPr>
                    <w:snapToGrid w:val="0"/>
                    <w:jc w:val="center"/>
                    <w:rPr>
                      <w:rFonts w:hint="default" w:ascii="Times New Roman" w:hAnsi="Times New Roman" w:eastAsia="宋体" w:cs="Times New Roman"/>
                      <w:bCs/>
                      <w:color w:val="auto"/>
                      <w:sz w:val="21"/>
                      <w:szCs w:val="21"/>
                    </w:rPr>
                  </w:pPr>
                  <w:r>
                    <w:rPr>
                      <w:rFonts w:hint="eastAsia" w:cs="Times New Roman"/>
                      <w:bCs/>
                      <w:color w:val="auto"/>
                      <w:sz w:val="21"/>
                      <w:szCs w:val="21"/>
                      <w:lang w:val="en-US" w:eastAsia="zh-CN"/>
                    </w:rPr>
                    <w:t>50.494</w:t>
                  </w:r>
                  <w:r>
                    <w:rPr>
                      <w:rFonts w:hint="default" w:ascii="Times New Roman" w:hAnsi="Times New Roman" w:eastAsia="宋体" w:cs="Times New Roman"/>
                      <w:bCs/>
                      <w:color w:val="auto"/>
                      <w:sz w:val="21"/>
                      <w:szCs w:val="21"/>
                    </w:rPr>
                    <w:t>t/a</w:t>
                  </w:r>
                </w:p>
              </w:tc>
              <w:tc>
                <w:tcPr>
                  <w:tcW w:w="1160" w:type="dxa"/>
                  <w:noWrap w:val="0"/>
                  <w:vAlign w:val="center"/>
                </w:tcPr>
                <w:p>
                  <w:pPr>
                    <w:jc w:val="center"/>
                    <w:rPr>
                      <w:rFonts w:hint="eastAsia" w:ascii="Times New Roman" w:hAnsi="Times New Roman" w:eastAsia="宋体" w:cs="Times New Roman"/>
                      <w:bCs/>
                      <w:color w:val="auto"/>
                      <w:sz w:val="21"/>
                      <w:szCs w:val="21"/>
                      <w:lang w:eastAsia="zh-CN"/>
                    </w:rPr>
                  </w:pPr>
                  <w:r>
                    <w:rPr>
                      <w:rFonts w:hint="eastAsia" w:eastAsia="宋体" w:cs="Times New Roman"/>
                      <w:bCs/>
                      <w:color w:val="auto"/>
                      <w:sz w:val="21"/>
                      <w:szCs w:val="21"/>
                      <w:lang w:val="en-US" w:eastAsia="zh-CN"/>
                    </w:rPr>
                    <w:t>/</w:t>
                  </w:r>
                </w:p>
              </w:tc>
              <w:tc>
                <w:tcPr>
                  <w:tcW w:w="1529"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w:t>
                  </w:r>
                </w:p>
              </w:tc>
              <w:tc>
                <w:tcPr>
                  <w:tcW w:w="1364"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eastAsia="宋体" w:cs="Times New Roman"/>
                      <w:bCs/>
                      <w:color w:val="auto"/>
                      <w:sz w:val="21"/>
                      <w:szCs w:val="21"/>
                      <w:lang w:val="en-US" w:eastAsia="zh-CN"/>
                    </w:rPr>
                    <w:t>回用于生产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 w:val="21"/>
                      <w:szCs w:val="21"/>
                    </w:rPr>
                    <w:t>7</w:t>
                  </w:r>
                </w:p>
              </w:tc>
              <w:tc>
                <w:tcPr>
                  <w:tcW w:w="1307" w:type="dxa"/>
                  <w:noWrap w:val="0"/>
                  <w:vAlign w:val="center"/>
                </w:tcPr>
                <w:p>
                  <w:pPr>
                    <w:jc w:val="center"/>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废包装桶</w:t>
                  </w:r>
                </w:p>
              </w:tc>
              <w:tc>
                <w:tcPr>
                  <w:tcW w:w="1292" w:type="dxa"/>
                  <w:noWrap w:val="0"/>
                  <w:vAlign w:val="center"/>
                </w:tcPr>
                <w:p>
                  <w:pPr>
                    <w:snapToGrid w:val="0"/>
                    <w:jc w:val="center"/>
                    <w:rPr>
                      <w:rFonts w:hint="default" w:ascii="Times New Roman" w:hAnsi="Times New Roman" w:eastAsia="宋体" w:cs="Times New Roman"/>
                      <w:bCs/>
                      <w:color w:val="auto"/>
                      <w:sz w:val="21"/>
                      <w:szCs w:val="21"/>
                    </w:rPr>
                  </w:pPr>
                  <w:r>
                    <w:rPr>
                      <w:rFonts w:hint="eastAsia" w:cs="Times New Roman"/>
                      <w:bCs/>
                      <w:color w:val="auto"/>
                      <w:sz w:val="21"/>
                      <w:szCs w:val="21"/>
                      <w:lang w:val="en-US" w:eastAsia="zh-CN"/>
                    </w:rPr>
                    <w:t>1.2</w:t>
                  </w:r>
                  <w:r>
                    <w:rPr>
                      <w:rFonts w:hint="default" w:ascii="Times New Roman" w:hAnsi="Times New Roman" w:eastAsia="宋体" w:cs="Times New Roman"/>
                      <w:bCs/>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危险废物</w:t>
                  </w:r>
                </w:p>
              </w:tc>
              <w:tc>
                <w:tcPr>
                  <w:tcW w:w="1529"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cs="Times New Roman"/>
                      <w:bCs/>
                      <w:color w:val="auto"/>
                      <w:sz w:val="21"/>
                      <w:szCs w:val="21"/>
                      <w:lang w:val="en-US" w:eastAsia="zh-CN"/>
                    </w:rPr>
                  </w:pPr>
                  <w:r>
                    <w:rPr>
                      <w:rFonts w:hint="eastAsia" w:cs="Times New Roman"/>
                      <w:bCs/>
                      <w:color w:val="auto"/>
                      <w:sz w:val="21"/>
                      <w:szCs w:val="21"/>
                      <w:lang w:val="en-US" w:eastAsia="zh-CN"/>
                    </w:rPr>
                    <w:t>HW49</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color w:val="auto"/>
                      <w:lang w:val="en-US" w:eastAsia="zh-CN"/>
                    </w:rPr>
                  </w:pPr>
                  <w:r>
                    <w:rPr>
                      <w:rFonts w:hint="eastAsia" w:cs="Times New Roman"/>
                      <w:bCs/>
                      <w:color w:val="auto"/>
                      <w:sz w:val="21"/>
                      <w:szCs w:val="21"/>
                      <w:lang w:val="en-US" w:eastAsia="zh-CN"/>
                    </w:rPr>
                    <w:t>（900-041-49）</w:t>
                  </w:r>
                </w:p>
              </w:tc>
              <w:tc>
                <w:tcPr>
                  <w:tcW w:w="1364" w:type="dxa"/>
                  <w:vMerge w:val="restart"/>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定期委托相关资质单位处置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eastAsia" w:ascii="Times New Roman" w:hAnsi="Times New Roman" w:eastAsia="宋体" w:cs="Times New Roman"/>
                      <w:bCs/>
                      <w:color w:val="auto"/>
                      <w:sz w:val="21"/>
                      <w:szCs w:val="21"/>
                      <w:lang w:val="en-US" w:eastAsia="zh-CN"/>
                    </w:rPr>
                  </w:pPr>
                  <w:r>
                    <w:rPr>
                      <w:rFonts w:hint="eastAsia" w:eastAsia="宋体" w:cs="Times New Roman"/>
                      <w:bCs/>
                      <w:color w:val="auto"/>
                      <w:sz w:val="21"/>
                      <w:szCs w:val="21"/>
                      <w:lang w:val="en-US" w:eastAsia="zh-CN"/>
                    </w:rPr>
                    <w:t>8</w:t>
                  </w:r>
                </w:p>
              </w:tc>
              <w:tc>
                <w:tcPr>
                  <w:tcW w:w="1307" w:type="dxa"/>
                  <w:noWrap w:val="0"/>
                  <w:vAlign w:val="center"/>
                </w:tcPr>
                <w:p>
                  <w:pPr>
                    <w:jc w:val="center"/>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漆渣</w:t>
                  </w:r>
                </w:p>
              </w:tc>
              <w:tc>
                <w:tcPr>
                  <w:tcW w:w="1292" w:type="dxa"/>
                  <w:noWrap w:val="0"/>
                  <w:vAlign w:val="center"/>
                </w:tcPr>
                <w:p>
                  <w:pPr>
                    <w:snapToGrid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0.06</w:t>
                  </w:r>
                  <w:r>
                    <w:rPr>
                      <w:rFonts w:hint="default" w:ascii="Times New Roman" w:hAnsi="Times New Roman" w:eastAsia="宋体" w:cs="Times New Roman"/>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危险废物</w:t>
                  </w:r>
                </w:p>
              </w:tc>
              <w:tc>
                <w:tcPr>
                  <w:tcW w:w="1529"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cs="Times New Roman"/>
                      <w:bCs/>
                      <w:color w:val="auto"/>
                      <w:sz w:val="21"/>
                      <w:szCs w:val="21"/>
                      <w:lang w:val="en-US" w:eastAsia="zh-CN"/>
                    </w:rPr>
                  </w:pPr>
                  <w:r>
                    <w:rPr>
                      <w:rFonts w:hint="eastAsia" w:cs="Times New Roman"/>
                      <w:bCs/>
                      <w:color w:val="auto"/>
                      <w:sz w:val="21"/>
                      <w:szCs w:val="21"/>
                      <w:lang w:val="en-US" w:eastAsia="zh-CN"/>
                    </w:rPr>
                    <w:t>HW12</w:t>
                  </w:r>
                </w:p>
                <w:p>
                  <w:pPr>
                    <w:jc w:val="center"/>
                    <w:rPr>
                      <w:rFonts w:hint="default" w:ascii="Times New Roman" w:hAnsi="Times New Roman" w:eastAsia="宋体" w:cs="Times New Roman"/>
                      <w:bCs/>
                      <w:color w:val="auto"/>
                      <w:sz w:val="21"/>
                      <w:szCs w:val="21"/>
                    </w:rPr>
                  </w:pPr>
                  <w:r>
                    <w:rPr>
                      <w:rFonts w:hint="eastAsia" w:cs="Times New Roman"/>
                      <w:bCs/>
                      <w:color w:val="auto"/>
                      <w:sz w:val="21"/>
                      <w:szCs w:val="21"/>
                      <w:lang w:val="en-US" w:eastAsia="zh-CN"/>
                    </w:rPr>
                    <w:t>（900-252-12）</w:t>
                  </w:r>
                </w:p>
              </w:tc>
              <w:tc>
                <w:tcPr>
                  <w:tcW w:w="1364" w:type="dxa"/>
                  <w:vMerge w:val="continue"/>
                  <w:noWrap w:val="0"/>
                  <w:vAlign w:val="center"/>
                </w:tcPr>
                <w:p>
                  <w:pPr>
                    <w:jc w:val="center"/>
                    <w:rPr>
                      <w:rFonts w:hint="default" w:ascii="Times New Roman" w:hAnsi="Times New Roman" w:eastAsia="宋体" w:cs="Times New Roman"/>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eastAsia" w:ascii="Times New Roman" w:hAnsi="Times New Roman" w:eastAsia="宋体" w:cs="Times New Roman"/>
                      <w:bCs/>
                      <w:color w:val="auto"/>
                      <w:sz w:val="21"/>
                      <w:szCs w:val="21"/>
                      <w:lang w:val="en-US" w:eastAsia="zh-CN"/>
                    </w:rPr>
                  </w:pPr>
                  <w:r>
                    <w:rPr>
                      <w:rFonts w:hint="eastAsia" w:eastAsia="宋体" w:cs="Times New Roman"/>
                      <w:bCs/>
                      <w:color w:val="auto"/>
                      <w:sz w:val="21"/>
                      <w:szCs w:val="21"/>
                      <w:lang w:val="en-US" w:eastAsia="zh-CN"/>
                    </w:rPr>
                    <w:t>9</w:t>
                  </w:r>
                </w:p>
              </w:tc>
              <w:tc>
                <w:tcPr>
                  <w:tcW w:w="1307" w:type="dxa"/>
                  <w:noWrap w:val="0"/>
                  <w:vAlign w:val="center"/>
                </w:tcPr>
                <w:p>
                  <w:pPr>
                    <w:jc w:val="center"/>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废毛刷</w:t>
                  </w:r>
                </w:p>
              </w:tc>
              <w:tc>
                <w:tcPr>
                  <w:tcW w:w="1292" w:type="dxa"/>
                  <w:noWrap w:val="0"/>
                  <w:vAlign w:val="center"/>
                </w:tcPr>
                <w:p>
                  <w:pPr>
                    <w:snapToGrid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0.5</w:t>
                  </w:r>
                  <w:r>
                    <w:rPr>
                      <w:rFonts w:hint="default" w:ascii="Times New Roman" w:hAnsi="Times New Roman" w:eastAsia="宋体" w:cs="Times New Roman"/>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危险废物</w:t>
                  </w:r>
                </w:p>
              </w:tc>
              <w:tc>
                <w:tcPr>
                  <w:tcW w:w="1529"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cs="Times New Roman"/>
                      <w:bCs/>
                      <w:color w:val="auto"/>
                      <w:sz w:val="21"/>
                      <w:szCs w:val="21"/>
                      <w:lang w:val="en-US" w:eastAsia="zh-CN"/>
                    </w:rPr>
                  </w:pPr>
                  <w:r>
                    <w:rPr>
                      <w:rFonts w:hint="eastAsia" w:cs="Times New Roman"/>
                      <w:bCs/>
                      <w:color w:val="auto"/>
                      <w:sz w:val="21"/>
                      <w:szCs w:val="21"/>
                      <w:lang w:val="en-US" w:eastAsia="zh-CN"/>
                    </w:rPr>
                    <w:t>HW49</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cs="Times New Roman"/>
                      <w:bCs/>
                      <w:color w:val="auto"/>
                      <w:sz w:val="21"/>
                      <w:szCs w:val="21"/>
                      <w:lang w:val="en-US" w:eastAsia="zh-CN"/>
                    </w:rPr>
                  </w:pPr>
                  <w:r>
                    <w:rPr>
                      <w:rFonts w:hint="eastAsia" w:cs="Times New Roman"/>
                      <w:bCs/>
                      <w:color w:val="auto"/>
                      <w:sz w:val="21"/>
                      <w:szCs w:val="21"/>
                      <w:lang w:val="en-US" w:eastAsia="zh-CN"/>
                    </w:rPr>
                    <w:t>（900-041-49）</w:t>
                  </w:r>
                </w:p>
              </w:tc>
              <w:tc>
                <w:tcPr>
                  <w:tcW w:w="1364" w:type="dxa"/>
                  <w:vMerge w:val="continue"/>
                  <w:noWrap w:val="0"/>
                  <w:vAlign w:val="center"/>
                </w:tcPr>
                <w:p>
                  <w:pPr>
                    <w:jc w:val="center"/>
                    <w:rPr>
                      <w:rFonts w:hint="default" w:ascii="Times New Roman" w:hAnsi="Times New Roman" w:eastAsia="宋体" w:cs="Times New Roman"/>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18" w:type="dxa"/>
                  <w:noWrap w:val="0"/>
                  <w:vAlign w:val="center"/>
                </w:tcPr>
                <w:p>
                  <w:pPr>
                    <w:jc w:val="center"/>
                    <w:rPr>
                      <w:rFonts w:hint="default" w:ascii="Times New Roman" w:hAnsi="Times New Roman" w:eastAsia="宋体" w:cs="Times New Roman"/>
                      <w:bCs/>
                      <w:color w:val="auto"/>
                      <w:sz w:val="21"/>
                      <w:szCs w:val="21"/>
                      <w:lang w:val="en-US" w:eastAsia="zh-CN"/>
                    </w:rPr>
                  </w:pPr>
                  <w:r>
                    <w:rPr>
                      <w:rFonts w:hint="eastAsia" w:eastAsia="宋体" w:cs="Times New Roman"/>
                      <w:bCs/>
                      <w:color w:val="auto"/>
                      <w:sz w:val="21"/>
                      <w:szCs w:val="21"/>
                      <w:lang w:val="en-US" w:eastAsia="zh-CN"/>
                    </w:rPr>
                    <w:t>10</w:t>
                  </w:r>
                </w:p>
              </w:tc>
              <w:tc>
                <w:tcPr>
                  <w:tcW w:w="1307" w:type="dxa"/>
                  <w:noWrap w:val="0"/>
                  <w:vAlign w:val="center"/>
                </w:tcPr>
                <w:p>
                  <w:pPr>
                    <w:jc w:val="center"/>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废活性炭</w:t>
                  </w:r>
                </w:p>
              </w:tc>
              <w:tc>
                <w:tcPr>
                  <w:tcW w:w="1292" w:type="dxa"/>
                  <w:noWrap w:val="0"/>
                  <w:vAlign w:val="center"/>
                </w:tcPr>
                <w:p>
                  <w:pPr>
                    <w:snapToGrid w:val="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8</w:t>
                  </w:r>
                  <w:r>
                    <w:rPr>
                      <w:rFonts w:hint="default" w:ascii="Times New Roman" w:hAnsi="Times New Roman" w:eastAsia="宋体" w:cs="Times New Roman"/>
                      <w:color w:val="auto"/>
                      <w:sz w:val="21"/>
                      <w:szCs w:val="21"/>
                    </w:rPr>
                    <w:t>t/a</w:t>
                  </w:r>
                </w:p>
              </w:tc>
              <w:tc>
                <w:tcPr>
                  <w:tcW w:w="1160" w:type="dxa"/>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危险废物</w:t>
                  </w:r>
                </w:p>
              </w:tc>
              <w:tc>
                <w:tcPr>
                  <w:tcW w:w="1529"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cs="Times New Roman"/>
                      <w:bCs/>
                      <w:color w:val="auto"/>
                      <w:sz w:val="21"/>
                      <w:szCs w:val="21"/>
                      <w:lang w:val="en-US" w:eastAsia="zh-CN"/>
                    </w:rPr>
                  </w:pPr>
                  <w:r>
                    <w:rPr>
                      <w:rFonts w:hint="eastAsia" w:cs="Times New Roman"/>
                      <w:bCs/>
                      <w:color w:val="auto"/>
                      <w:sz w:val="21"/>
                      <w:szCs w:val="21"/>
                      <w:lang w:val="en-US" w:eastAsia="zh-CN"/>
                    </w:rPr>
                    <w:t>HW49</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cs="Times New Roman"/>
                      <w:bCs/>
                      <w:color w:val="auto"/>
                      <w:sz w:val="21"/>
                      <w:szCs w:val="21"/>
                      <w:lang w:val="en-US" w:eastAsia="zh-CN"/>
                    </w:rPr>
                  </w:pPr>
                  <w:r>
                    <w:rPr>
                      <w:rFonts w:hint="eastAsia" w:cs="Times New Roman"/>
                      <w:bCs/>
                      <w:color w:val="auto"/>
                      <w:sz w:val="21"/>
                      <w:szCs w:val="21"/>
                      <w:lang w:val="en-US" w:eastAsia="zh-CN"/>
                    </w:rPr>
                    <w:t>（900-039-49）</w:t>
                  </w:r>
                </w:p>
              </w:tc>
              <w:tc>
                <w:tcPr>
                  <w:tcW w:w="1364" w:type="dxa"/>
                  <w:vMerge w:val="continue"/>
                  <w:noWrap w:val="0"/>
                  <w:vAlign w:val="center"/>
                </w:tcPr>
                <w:p>
                  <w:pPr>
                    <w:jc w:val="center"/>
                    <w:rPr>
                      <w:rFonts w:hint="default" w:ascii="Times New Roman" w:hAnsi="Times New Roman" w:eastAsia="宋体" w:cs="Times New Roman"/>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25" w:type="dxa"/>
                  <w:gridSpan w:val="2"/>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合计</w:t>
                  </w:r>
                </w:p>
              </w:tc>
              <w:tc>
                <w:tcPr>
                  <w:tcW w:w="1292" w:type="dxa"/>
                  <w:noWrap w:val="0"/>
                  <w:vAlign w:val="center"/>
                </w:tcPr>
                <w:p>
                  <w:pPr>
                    <w:jc w:val="center"/>
                    <w:rPr>
                      <w:rFonts w:hint="default" w:ascii="Times New Roman" w:hAnsi="Times New Roman" w:eastAsia="宋体" w:cs="Times New Roman"/>
                      <w:bCs/>
                      <w:color w:val="auto"/>
                      <w:sz w:val="21"/>
                      <w:szCs w:val="21"/>
                    </w:rPr>
                  </w:pPr>
                  <w:r>
                    <w:rPr>
                      <w:rFonts w:hint="eastAsia" w:cs="Times New Roman"/>
                      <w:bCs/>
                      <w:color w:val="auto"/>
                      <w:sz w:val="21"/>
                      <w:szCs w:val="21"/>
                      <w:lang w:val="en-US" w:eastAsia="zh-CN"/>
                    </w:rPr>
                    <w:t>235.034</w:t>
                  </w:r>
                  <w:r>
                    <w:rPr>
                      <w:rFonts w:hint="default" w:ascii="Times New Roman" w:hAnsi="Times New Roman" w:eastAsia="宋体" w:cs="Times New Roman"/>
                      <w:bCs/>
                      <w:color w:val="auto"/>
                      <w:sz w:val="21"/>
                      <w:szCs w:val="21"/>
                    </w:rPr>
                    <w:t>t/a</w:t>
                  </w:r>
                </w:p>
              </w:tc>
              <w:tc>
                <w:tcPr>
                  <w:tcW w:w="4053" w:type="dxa"/>
                  <w:gridSpan w:val="3"/>
                  <w:noWrap w:val="0"/>
                  <w:vAlign w:val="center"/>
                </w:tcPr>
                <w:p>
                  <w:pPr>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不对外排放</w:t>
                  </w:r>
                </w:p>
              </w:tc>
            </w:tr>
          </w:tbl>
          <w:p>
            <w:pPr>
              <w:spacing w:line="360" w:lineRule="auto"/>
              <w:ind w:firstLine="480" w:firstLineChars="200"/>
              <w:rPr>
                <w:rFonts w:hint="eastAsia" w:eastAsia="宋体" w:cs="Times New Roman"/>
                <w:color w:val="auto"/>
                <w:lang w:val="en-US" w:eastAsia="zh-CN"/>
              </w:rPr>
            </w:pPr>
            <w:r>
              <w:rPr>
                <w:rFonts w:hint="eastAsia" w:eastAsia="宋体" w:cs="Times New Roman"/>
                <w:color w:val="auto"/>
                <w:lang w:val="en-US" w:eastAsia="zh-CN"/>
              </w:rPr>
              <w:t>公司在涂装车间东南侧设有一座危废仓库，面积约为25m</w:t>
            </w:r>
            <w:r>
              <w:rPr>
                <w:rFonts w:hint="eastAsia" w:eastAsia="宋体" w:cs="Times New Roman"/>
                <w:color w:val="auto"/>
                <w:vertAlign w:val="superscript"/>
                <w:lang w:val="en-US" w:eastAsia="zh-CN"/>
              </w:rPr>
              <w:t>2</w:t>
            </w:r>
            <w:r>
              <w:rPr>
                <w:rFonts w:hint="eastAsia" w:eastAsia="宋体" w:cs="Times New Roman"/>
                <w:color w:val="auto"/>
                <w:lang w:val="en-US" w:eastAsia="zh-CN"/>
              </w:rPr>
              <w:t>，产生的固废均暂存于该危废仓库内，定期委托有资质的危废单位进行集中处置，危废仓库的建设能够满足《危险废物贮存污染控制标准》（GB18597-2023）中相关要求。</w:t>
            </w:r>
          </w:p>
          <w:p>
            <w:pPr>
              <w:spacing w:line="360" w:lineRule="auto"/>
              <w:jc w:val="left"/>
              <w:rPr>
                <w:rFonts w:hint="eastAsia" w:ascii="Times New Roman" w:hAnsi="Times New Roman" w:cs="Times New Roman"/>
                <w:b/>
                <w:color w:val="FF0000"/>
                <w:szCs w:val="24"/>
                <w:lang w:val="en-US" w:eastAsia="zh-CN"/>
              </w:rPr>
            </w:pPr>
          </w:p>
          <w:p>
            <w:pPr>
              <w:spacing w:line="360" w:lineRule="auto"/>
              <w:jc w:val="left"/>
              <w:rPr>
                <w:b/>
                <w:color w:val="auto"/>
                <w:szCs w:val="24"/>
              </w:rPr>
            </w:pPr>
            <w:r>
              <w:rPr>
                <w:rFonts w:hint="eastAsia"/>
                <w:b/>
                <w:color w:val="auto"/>
                <w:szCs w:val="24"/>
              </w:rPr>
              <w:t>2.12.</w:t>
            </w:r>
            <w:r>
              <w:rPr>
                <w:rFonts w:hint="eastAsia"/>
                <w:b/>
                <w:color w:val="auto"/>
                <w:szCs w:val="24"/>
                <w:lang w:val="en-US" w:eastAsia="zh-CN"/>
              </w:rPr>
              <w:t>7原有</w:t>
            </w:r>
            <w:r>
              <w:rPr>
                <w:rFonts w:hint="eastAsia"/>
                <w:b/>
                <w:color w:val="auto"/>
                <w:szCs w:val="24"/>
              </w:rPr>
              <w:t>项目污染物防治措施</w:t>
            </w:r>
          </w:p>
          <w:p>
            <w:pPr>
              <w:spacing w:line="360" w:lineRule="auto"/>
              <w:jc w:val="center"/>
              <w:rPr>
                <w:b/>
                <w:bCs/>
                <w:color w:val="auto"/>
              </w:rPr>
            </w:pPr>
            <w:r>
              <w:rPr>
                <w:b/>
                <w:bCs/>
                <w:color w:val="auto"/>
              </w:rPr>
              <w:t>表</w:t>
            </w:r>
            <w:r>
              <w:rPr>
                <w:rFonts w:hint="eastAsia"/>
                <w:b/>
                <w:bCs/>
                <w:color w:val="auto"/>
              </w:rPr>
              <w:t>2</w:t>
            </w:r>
            <w:r>
              <w:rPr>
                <w:b/>
                <w:bCs/>
                <w:color w:val="auto"/>
              </w:rPr>
              <w:t>-</w:t>
            </w:r>
            <w:r>
              <w:rPr>
                <w:rFonts w:hint="eastAsia"/>
                <w:b/>
                <w:bCs/>
                <w:color w:val="auto"/>
              </w:rPr>
              <w:t>2</w:t>
            </w:r>
            <w:r>
              <w:rPr>
                <w:rFonts w:hint="eastAsia"/>
                <w:b/>
                <w:bCs/>
                <w:color w:val="auto"/>
                <w:lang w:val="en-US" w:eastAsia="zh-CN"/>
              </w:rPr>
              <w:t>5</w:t>
            </w:r>
            <w:r>
              <w:rPr>
                <w:rFonts w:hint="eastAsia"/>
                <w:b/>
                <w:bCs/>
                <w:color w:val="auto"/>
              </w:rPr>
              <w:t xml:space="preserve">  </w:t>
            </w:r>
            <w:r>
              <w:rPr>
                <w:rFonts w:hint="eastAsia"/>
                <w:b/>
                <w:bCs/>
                <w:color w:val="auto"/>
                <w:lang w:val="en-US" w:eastAsia="zh-CN"/>
              </w:rPr>
              <w:t>原有</w:t>
            </w:r>
            <w:r>
              <w:rPr>
                <w:b/>
                <w:bCs/>
                <w:color w:val="auto"/>
              </w:rPr>
              <w:t>项目环保设施环评及实际建设情况一览表</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1"/>
              <w:gridCol w:w="954"/>
              <w:gridCol w:w="2369"/>
              <w:gridCol w:w="2330"/>
              <w:gridCol w:w="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Align w:val="center"/>
                </w:tcPr>
                <w:p>
                  <w:pPr>
                    <w:pStyle w:val="103"/>
                    <w:spacing w:line="240" w:lineRule="auto"/>
                    <w:ind w:left="-120" w:right="-120" w:firstLine="0"/>
                    <w:jc w:val="center"/>
                    <w:rPr>
                      <w:rFonts w:hint="default" w:ascii="Times New Roman" w:hAnsi="Times New Roman" w:cs="Times New Roman"/>
                      <w:b/>
                      <w:bCs/>
                      <w:color w:val="auto"/>
                      <w:kern w:val="2"/>
                      <w:sz w:val="21"/>
                      <w:szCs w:val="21"/>
                    </w:rPr>
                  </w:pPr>
                  <w:r>
                    <w:rPr>
                      <w:rFonts w:hint="default" w:ascii="Times New Roman" w:hAnsi="Times New Roman" w:cs="Times New Roman"/>
                      <w:b/>
                      <w:bCs/>
                      <w:color w:val="auto"/>
                      <w:kern w:val="2"/>
                      <w:sz w:val="21"/>
                      <w:szCs w:val="21"/>
                    </w:rPr>
                    <w:t>类别</w:t>
                  </w:r>
                </w:p>
              </w:tc>
              <w:tc>
                <w:tcPr>
                  <w:tcW w:w="954" w:type="dxa"/>
                  <w:vAlign w:val="center"/>
                </w:tcPr>
                <w:p>
                  <w:pPr>
                    <w:pStyle w:val="103"/>
                    <w:spacing w:line="240" w:lineRule="auto"/>
                    <w:ind w:left="-120" w:right="-120" w:firstLine="0"/>
                    <w:jc w:val="center"/>
                    <w:rPr>
                      <w:rFonts w:hint="default" w:ascii="Times New Roman" w:hAnsi="Times New Roman" w:cs="Times New Roman"/>
                      <w:b/>
                      <w:bCs/>
                      <w:color w:val="auto"/>
                      <w:kern w:val="2"/>
                      <w:sz w:val="21"/>
                      <w:szCs w:val="21"/>
                    </w:rPr>
                  </w:pPr>
                  <w:r>
                    <w:rPr>
                      <w:rFonts w:hint="default" w:ascii="Times New Roman" w:hAnsi="Times New Roman" w:cs="Times New Roman"/>
                      <w:b/>
                      <w:bCs/>
                      <w:color w:val="auto"/>
                      <w:kern w:val="2"/>
                      <w:sz w:val="21"/>
                      <w:szCs w:val="21"/>
                    </w:rPr>
                    <w:t>污染源</w:t>
                  </w:r>
                </w:p>
              </w:tc>
              <w:tc>
                <w:tcPr>
                  <w:tcW w:w="2369" w:type="dxa"/>
                  <w:vAlign w:val="center"/>
                </w:tcPr>
                <w:p>
                  <w:pPr>
                    <w:pStyle w:val="103"/>
                    <w:spacing w:line="240" w:lineRule="auto"/>
                    <w:ind w:left="-120" w:right="-120" w:firstLine="0"/>
                    <w:jc w:val="center"/>
                    <w:rPr>
                      <w:rFonts w:hint="default" w:ascii="Times New Roman" w:hAnsi="Times New Roman" w:cs="Times New Roman"/>
                      <w:b/>
                      <w:bCs/>
                      <w:color w:val="auto"/>
                      <w:kern w:val="2"/>
                      <w:sz w:val="21"/>
                      <w:szCs w:val="21"/>
                    </w:rPr>
                  </w:pPr>
                  <w:r>
                    <w:rPr>
                      <w:rFonts w:hint="default" w:ascii="Times New Roman" w:hAnsi="Times New Roman" w:cs="Times New Roman"/>
                      <w:b/>
                      <w:bCs/>
                      <w:color w:val="auto"/>
                      <w:kern w:val="2"/>
                      <w:sz w:val="21"/>
                      <w:szCs w:val="21"/>
                    </w:rPr>
                    <w:t>环评要求</w:t>
                  </w:r>
                </w:p>
              </w:tc>
              <w:tc>
                <w:tcPr>
                  <w:tcW w:w="2330" w:type="dxa"/>
                  <w:vAlign w:val="center"/>
                </w:tcPr>
                <w:p>
                  <w:pPr>
                    <w:pStyle w:val="103"/>
                    <w:spacing w:line="240" w:lineRule="auto"/>
                    <w:ind w:left="-120" w:right="-120" w:firstLine="0"/>
                    <w:jc w:val="center"/>
                    <w:rPr>
                      <w:rFonts w:hint="default" w:ascii="Times New Roman" w:hAnsi="Times New Roman" w:cs="Times New Roman"/>
                      <w:b/>
                      <w:bCs/>
                      <w:color w:val="auto"/>
                      <w:kern w:val="2"/>
                      <w:sz w:val="21"/>
                      <w:szCs w:val="21"/>
                    </w:rPr>
                  </w:pPr>
                  <w:r>
                    <w:rPr>
                      <w:rFonts w:hint="default" w:ascii="Times New Roman" w:hAnsi="Times New Roman" w:cs="Times New Roman"/>
                      <w:b/>
                      <w:bCs/>
                      <w:color w:val="auto"/>
                      <w:kern w:val="2"/>
                      <w:sz w:val="21"/>
                      <w:szCs w:val="21"/>
                    </w:rPr>
                    <w:t>实际建设情况</w:t>
                  </w:r>
                </w:p>
              </w:tc>
              <w:tc>
                <w:tcPr>
                  <w:tcW w:w="997" w:type="dxa"/>
                  <w:vAlign w:val="center"/>
                </w:tcPr>
                <w:p>
                  <w:pPr>
                    <w:pStyle w:val="103"/>
                    <w:spacing w:line="240" w:lineRule="auto"/>
                    <w:ind w:left="-120" w:right="-120" w:firstLine="0"/>
                    <w:jc w:val="center"/>
                    <w:rPr>
                      <w:rFonts w:hint="default" w:ascii="Times New Roman" w:hAnsi="Times New Roman" w:cs="Times New Roman"/>
                      <w:b/>
                      <w:bCs/>
                      <w:color w:val="auto"/>
                      <w:kern w:val="2"/>
                      <w:sz w:val="21"/>
                      <w:szCs w:val="21"/>
                    </w:rPr>
                  </w:pPr>
                  <w:r>
                    <w:rPr>
                      <w:rFonts w:hint="default" w:ascii="Times New Roman" w:hAnsi="Times New Roman" w:cs="Times New Roman"/>
                      <w:b/>
                      <w:bCs/>
                      <w:color w:val="auto"/>
                      <w:kern w:val="2"/>
                      <w:sz w:val="21"/>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restart"/>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废水</w:t>
                  </w:r>
                </w:p>
              </w:tc>
              <w:tc>
                <w:tcPr>
                  <w:tcW w:w="954"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焊接废气</w:t>
                  </w:r>
                </w:p>
              </w:tc>
              <w:tc>
                <w:tcPr>
                  <w:tcW w:w="2369" w:type="dxa"/>
                  <w:vAlign w:val="center"/>
                </w:tcPr>
                <w:p>
                  <w:pP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加强车间通风。</w:t>
                  </w:r>
                </w:p>
              </w:tc>
              <w:tc>
                <w:tcPr>
                  <w:tcW w:w="2330" w:type="dxa"/>
                  <w:vAlign w:val="center"/>
                </w:tcPr>
                <w:p>
                  <w:pP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加强车间通风。</w:t>
                  </w:r>
                </w:p>
              </w:tc>
              <w:tc>
                <w:tcPr>
                  <w:tcW w:w="997"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continue"/>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p>
              </w:tc>
              <w:tc>
                <w:tcPr>
                  <w:tcW w:w="954" w:type="dxa"/>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切割废气</w:t>
                  </w:r>
                </w:p>
              </w:tc>
              <w:tc>
                <w:tcPr>
                  <w:tcW w:w="2369" w:type="dxa"/>
                  <w:vAlign w:val="center"/>
                </w:tcPr>
                <w:p>
                  <w:pPr>
                    <w:keepNext w:val="0"/>
                    <w:keepLines w:val="0"/>
                    <w:widowControl/>
                    <w:suppressLineNumbers w:val="0"/>
                    <w:jc w:val="left"/>
                    <w:rPr>
                      <w:rFonts w:hint="default" w:ascii="Times New Roman" w:hAnsi="Times New Roman" w:cs="Times New Roman"/>
                      <w:color w:val="auto"/>
                      <w:sz w:val="21"/>
                      <w:szCs w:val="21"/>
                    </w:rPr>
                  </w:pPr>
                  <w:r>
                    <w:rPr>
                      <w:rFonts w:hint="eastAsia" w:cs="Times New Roman"/>
                      <w:color w:val="auto"/>
                      <w:sz w:val="21"/>
                      <w:szCs w:val="21"/>
                      <w:lang w:val="en-US" w:eastAsia="zh-CN"/>
                    </w:rPr>
                    <w:t>加强车间通风。</w:t>
                  </w:r>
                </w:p>
              </w:tc>
              <w:tc>
                <w:tcPr>
                  <w:tcW w:w="2330" w:type="dxa"/>
                  <w:vAlign w:val="center"/>
                </w:tcPr>
                <w:p>
                  <w:pPr>
                    <w:keepNext w:val="0"/>
                    <w:keepLines w:val="0"/>
                    <w:widowControl/>
                    <w:suppressLineNumbers w:val="0"/>
                    <w:jc w:val="left"/>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加强车间通风。</w:t>
                  </w:r>
                </w:p>
              </w:tc>
              <w:tc>
                <w:tcPr>
                  <w:tcW w:w="997"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continue"/>
                  <w:vAlign w:val="center"/>
                </w:tcPr>
                <w:p>
                  <w:pPr>
                    <w:pStyle w:val="103"/>
                    <w:spacing w:line="240" w:lineRule="auto"/>
                    <w:ind w:left="-120" w:right="-120" w:firstLine="0"/>
                    <w:jc w:val="center"/>
                    <w:rPr>
                      <w:rFonts w:hint="default" w:ascii="Times New Roman" w:hAnsi="Times New Roman" w:cs="Times New Roman"/>
                      <w:bCs/>
                      <w:color w:val="FF0000"/>
                      <w:kern w:val="2"/>
                      <w:sz w:val="21"/>
                      <w:szCs w:val="21"/>
                    </w:rPr>
                  </w:pPr>
                </w:p>
              </w:tc>
              <w:tc>
                <w:tcPr>
                  <w:tcW w:w="954"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抛丸粉尘</w:t>
                  </w:r>
                </w:p>
              </w:tc>
              <w:tc>
                <w:tcPr>
                  <w:tcW w:w="2369" w:type="dxa"/>
                  <w:vAlign w:val="center"/>
                </w:tcPr>
                <w:p>
                  <w:pPr>
                    <w:keepNext w:val="0"/>
                    <w:keepLines w:val="0"/>
                    <w:widowControl/>
                    <w:suppressLineNumbers w:val="0"/>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经抛丸机自带的布袋除尘装置处理后，尾气通过一根15m排气筒高空排放。</w:t>
                  </w:r>
                </w:p>
              </w:tc>
              <w:tc>
                <w:tcPr>
                  <w:tcW w:w="2330" w:type="dxa"/>
                  <w:vAlign w:val="center"/>
                </w:tcPr>
                <w:p>
                  <w:pPr>
                    <w:keepNext w:val="0"/>
                    <w:keepLines w:val="0"/>
                    <w:widowControl/>
                    <w:suppressLineNumbers w:val="0"/>
                    <w:jc w:val="left"/>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经脉冲</w:t>
                  </w:r>
                  <w:r>
                    <w:rPr>
                      <w:rFonts w:hint="default" w:ascii="Times New Roman" w:hAnsi="Times New Roman" w:cs="Times New Roman"/>
                      <w:color w:val="auto"/>
                      <w:sz w:val="21"/>
                      <w:szCs w:val="21"/>
                    </w:rPr>
                    <w:t>布袋除尘装置处理后，尾气通过一根15m排气筒</w:t>
                  </w:r>
                  <w:r>
                    <w:rPr>
                      <w:rFonts w:hint="eastAsia" w:cs="Times New Roman"/>
                      <w:color w:val="auto"/>
                      <w:sz w:val="21"/>
                      <w:szCs w:val="21"/>
                      <w:lang w:eastAsia="zh-CN"/>
                    </w:rPr>
                    <w:t>（</w:t>
                  </w:r>
                  <w:r>
                    <w:rPr>
                      <w:rFonts w:hint="eastAsia" w:cs="Times New Roman"/>
                      <w:color w:val="auto"/>
                      <w:sz w:val="21"/>
                      <w:szCs w:val="21"/>
                      <w:lang w:val="en-US" w:eastAsia="zh-CN"/>
                    </w:rPr>
                    <w:t>DA002</w:t>
                  </w:r>
                  <w:r>
                    <w:rPr>
                      <w:rFonts w:hint="eastAsia" w:cs="Times New Roman"/>
                      <w:color w:val="auto"/>
                      <w:sz w:val="21"/>
                      <w:szCs w:val="21"/>
                      <w:lang w:eastAsia="zh-CN"/>
                    </w:rPr>
                    <w:t>）</w:t>
                  </w:r>
                  <w:r>
                    <w:rPr>
                      <w:rFonts w:hint="default" w:ascii="Times New Roman" w:hAnsi="Times New Roman" w:cs="Times New Roman"/>
                      <w:color w:val="auto"/>
                      <w:sz w:val="21"/>
                      <w:szCs w:val="21"/>
                    </w:rPr>
                    <w:t>高空排放。</w:t>
                  </w:r>
                </w:p>
              </w:tc>
              <w:tc>
                <w:tcPr>
                  <w:tcW w:w="997" w:type="dxa"/>
                  <w:vAlign w:val="center"/>
                </w:tcPr>
                <w:p>
                  <w:pPr>
                    <w:pStyle w:val="103"/>
                    <w:spacing w:line="240" w:lineRule="auto"/>
                    <w:ind w:left="-120" w:right="-120" w:firstLine="0"/>
                    <w:jc w:val="center"/>
                    <w:rPr>
                      <w:rFonts w:hint="eastAsia" w:ascii="Times New Roman" w:hAnsi="Times New Roman" w:eastAsia="宋体" w:cs="Times New Roman"/>
                      <w:bCs/>
                      <w:color w:val="auto"/>
                      <w:kern w:val="2"/>
                      <w:sz w:val="21"/>
                      <w:szCs w:val="21"/>
                      <w:lang w:val="en-US" w:eastAsia="zh-CN"/>
                    </w:rPr>
                  </w:pPr>
                  <w:r>
                    <w:rPr>
                      <w:rFonts w:hint="eastAsia" w:cs="Times New Roman"/>
                      <w:bCs/>
                      <w:color w:val="auto"/>
                      <w:kern w:val="2"/>
                      <w:sz w:val="21"/>
                      <w:szCs w:val="21"/>
                      <w:lang w:val="en-US"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continue"/>
                  <w:vAlign w:val="center"/>
                </w:tcPr>
                <w:p>
                  <w:pPr>
                    <w:pStyle w:val="103"/>
                    <w:spacing w:line="240" w:lineRule="auto"/>
                    <w:ind w:left="-120" w:right="-120" w:firstLine="0"/>
                    <w:jc w:val="center"/>
                    <w:rPr>
                      <w:rFonts w:hint="default" w:ascii="Times New Roman" w:hAnsi="Times New Roman" w:cs="Times New Roman"/>
                      <w:bCs/>
                      <w:color w:val="FF0000"/>
                      <w:kern w:val="2"/>
                      <w:sz w:val="21"/>
                      <w:szCs w:val="21"/>
                    </w:rPr>
                  </w:pPr>
                </w:p>
              </w:tc>
              <w:tc>
                <w:tcPr>
                  <w:tcW w:w="954"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喷塑废气</w:t>
                  </w:r>
                </w:p>
              </w:tc>
              <w:tc>
                <w:tcPr>
                  <w:tcW w:w="2369" w:type="dxa"/>
                  <w:vAlign w:val="center"/>
                </w:tcPr>
                <w:p>
                  <w:pPr>
                    <w:keepNext w:val="0"/>
                    <w:keepLines w:val="0"/>
                    <w:widowControl/>
                    <w:suppressLineNumbers w:val="0"/>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企业拟设专门的喷塑房，工作时呈负压状态，废气通过吸风装置收集后进入回收装置(旋风自动回收装置+滤芯过滤装置)+布袋除尘+两级活性炭装置处理后通过一根15米高的排气简排放。</w:t>
                  </w:r>
                </w:p>
              </w:tc>
              <w:tc>
                <w:tcPr>
                  <w:tcW w:w="2330" w:type="dxa"/>
                  <w:vAlign w:val="center"/>
                </w:tcPr>
                <w:p>
                  <w:pPr>
                    <w:keepNext w:val="0"/>
                    <w:keepLines w:val="0"/>
                    <w:widowControl/>
                    <w:suppressLineNumbers w:val="0"/>
                    <w:jc w:val="left"/>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废气通过</w:t>
                  </w:r>
                  <w:r>
                    <w:rPr>
                      <w:rFonts w:hint="eastAsia" w:cs="Times New Roman"/>
                      <w:color w:val="auto"/>
                      <w:sz w:val="21"/>
                      <w:szCs w:val="21"/>
                      <w:lang w:val="en-US" w:eastAsia="zh-CN"/>
                    </w:rPr>
                    <w:t>滤芯除尘+布袋除尘器+</w:t>
                  </w:r>
                  <w:r>
                    <w:rPr>
                      <w:rFonts w:hint="default" w:ascii="Times New Roman" w:hAnsi="Times New Roman" w:cs="Times New Roman"/>
                      <w:color w:val="auto"/>
                      <w:sz w:val="21"/>
                      <w:szCs w:val="21"/>
                      <w:lang w:val="en-US" w:eastAsia="zh-CN"/>
                    </w:rPr>
                    <w:t>两级活性炭吸附装置处理</w:t>
                  </w:r>
                  <w:r>
                    <w:rPr>
                      <w:rFonts w:hint="default" w:ascii="Times New Roman" w:hAnsi="Times New Roman" w:cs="Times New Roman"/>
                      <w:color w:val="auto"/>
                      <w:sz w:val="21"/>
                      <w:szCs w:val="21"/>
                    </w:rPr>
                    <w:t>，尾气通过一根15m排气筒</w:t>
                  </w:r>
                  <w:r>
                    <w:rPr>
                      <w:rFonts w:hint="eastAsia" w:cs="Times New Roman"/>
                      <w:color w:val="auto"/>
                      <w:sz w:val="21"/>
                      <w:szCs w:val="21"/>
                      <w:lang w:eastAsia="zh-CN"/>
                    </w:rPr>
                    <w:t>（</w:t>
                  </w:r>
                  <w:r>
                    <w:rPr>
                      <w:rFonts w:hint="eastAsia" w:cs="Times New Roman"/>
                      <w:color w:val="auto"/>
                      <w:sz w:val="21"/>
                      <w:szCs w:val="21"/>
                      <w:lang w:val="en-US" w:eastAsia="zh-CN"/>
                    </w:rPr>
                    <w:t>DA003</w:t>
                  </w:r>
                  <w:r>
                    <w:rPr>
                      <w:rFonts w:hint="eastAsia" w:cs="Times New Roman"/>
                      <w:color w:val="auto"/>
                      <w:sz w:val="21"/>
                      <w:szCs w:val="21"/>
                      <w:lang w:eastAsia="zh-CN"/>
                    </w:rPr>
                    <w:t>）</w:t>
                  </w:r>
                  <w:r>
                    <w:rPr>
                      <w:rFonts w:hint="default" w:ascii="Times New Roman" w:hAnsi="Times New Roman" w:cs="Times New Roman"/>
                      <w:color w:val="auto"/>
                      <w:sz w:val="21"/>
                      <w:szCs w:val="21"/>
                    </w:rPr>
                    <w:t>高空排放。</w:t>
                  </w:r>
                </w:p>
              </w:tc>
              <w:tc>
                <w:tcPr>
                  <w:tcW w:w="997"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eastAsia" w:cs="Times New Roman"/>
                      <w:bCs/>
                      <w:color w:val="auto"/>
                      <w:kern w:val="2"/>
                      <w:sz w:val="21"/>
                      <w:szCs w:val="21"/>
                      <w:lang w:val="en-US"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continue"/>
                  <w:vAlign w:val="center"/>
                </w:tcPr>
                <w:p>
                  <w:pPr>
                    <w:pStyle w:val="103"/>
                    <w:spacing w:line="240" w:lineRule="auto"/>
                    <w:ind w:left="-120" w:right="-120" w:firstLine="0"/>
                    <w:jc w:val="center"/>
                    <w:rPr>
                      <w:rFonts w:hint="default" w:ascii="Times New Roman" w:hAnsi="Times New Roman" w:cs="Times New Roman"/>
                      <w:bCs/>
                      <w:color w:val="FF0000"/>
                      <w:kern w:val="2"/>
                      <w:sz w:val="21"/>
                      <w:szCs w:val="21"/>
                    </w:rPr>
                  </w:pPr>
                </w:p>
              </w:tc>
              <w:tc>
                <w:tcPr>
                  <w:tcW w:w="954" w:type="dxa"/>
                  <w:vAlign w:val="center"/>
                </w:tcPr>
                <w:p>
                  <w:pPr>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油漆废气</w:t>
                  </w:r>
                </w:p>
              </w:tc>
              <w:tc>
                <w:tcPr>
                  <w:tcW w:w="2369" w:type="dxa"/>
                  <w:vAlign w:val="center"/>
                </w:tcPr>
                <w:p>
                  <w:pP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企业拟设置专门的油漆房，废气经收集后通过两级活性炭吸附处理后，尾气通过一根15m排气简高空排放。</w:t>
                  </w:r>
                </w:p>
              </w:tc>
              <w:tc>
                <w:tcPr>
                  <w:tcW w:w="2330" w:type="dxa"/>
                  <w:vAlign w:val="center"/>
                </w:tcPr>
                <w:p>
                  <w:pP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设置刷漆房，</w:t>
                  </w:r>
                  <w:r>
                    <w:rPr>
                      <w:rFonts w:hint="default" w:ascii="Times New Roman" w:hAnsi="Times New Roman" w:eastAsia="宋体" w:cs="Times New Roman"/>
                      <w:color w:val="auto"/>
                      <w:sz w:val="21"/>
                      <w:szCs w:val="21"/>
                      <w:lang w:val="en-US" w:eastAsia="zh-CN"/>
                    </w:rPr>
                    <w:t>废气经收集后通过两级活性炭吸附处理后，尾气通过一根15m排气简</w:t>
                  </w:r>
                  <w:r>
                    <w:rPr>
                      <w:rFonts w:hint="eastAsia" w:cs="Times New Roman"/>
                      <w:color w:val="auto"/>
                      <w:sz w:val="21"/>
                      <w:szCs w:val="21"/>
                      <w:lang w:eastAsia="zh-CN"/>
                    </w:rPr>
                    <w:t>（</w:t>
                  </w:r>
                  <w:r>
                    <w:rPr>
                      <w:rFonts w:hint="eastAsia" w:cs="Times New Roman"/>
                      <w:color w:val="auto"/>
                      <w:sz w:val="21"/>
                      <w:szCs w:val="21"/>
                      <w:lang w:val="en-US" w:eastAsia="zh-CN"/>
                    </w:rPr>
                    <w:t>DA001</w:t>
                  </w:r>
                  <w:r>
                    <w:rPr>
                      <w:rFonts w:hint="eastAsia" w:cs="Times New Roman"/>
                      <w:color w:val="auto"/>
                      <w:sz w:val="21"/>
                      <w:szCs w:val="21"/>
                      <w:lang w:eastAsia="zh-CN"/>
                    </w:rPr>
                    <w:t>）</w:t>
                  </w:r>
                  <w:r>
                    <w:rPr>
                      <w:rFonts w:hint="default" w:ascii="Times New Roman" w:hAnsi="Times New Roman" w:eastAsia="宋体" w:cs="Times New Roman"/>
                      <w:color w:val="auto"/>
                      <w:sz w:val="21"/>
                      <w:szCs w:val="21"/>
                      <w:lang w:val="en-US" w:eastAsia="zh-CN"/>
                    </w:rPr>
                    <w:t>高空排放。</w:t>
                  </w:r>
                </w:p>
              </w:tc>
              <w:tc>
                <w:tcPr>
                  <w:tcW w:w="997" w:type="dxa"/>
                  <w:vAlign w:val="center"/>
                </w:tcPr>
                <w:p>
                  <w:pPr>
                    <w:pStyle w:val="103"/>
                    <w:spacing w:line="240" w:lineRule="auto"/>
                    <w:ind w:left="-120" w:right="-120" w:firstLine="0"/>
                    <w:jc w:val="center"/>
                    <w:rPr>
                      <w:rFonts w:hint="eastAsia" w:ascii="Times New Roman" w:hAnsi="Times New Roman" w:eastAsia="宋体" w:cs="Times New Roman"/>
                      <w:bCs/>
                      <w:color w:val="auto"/>
                      <w:kern w:val="2"/>
                      <w:sz w:val="21"/>
                      <w:szCs w:val="21"/>
                      <w:lang w:val="en-US" w:eastAsia="zh-CN"/>
                    </w:rPr>
                  </w:pPr>
                  <w:r>
                    <w:rPr>
                      <w:rFonts w:hint="eastAsia" w:cs="Times New Roman"/>
                      <w:bCs/>
                      <w:color w:val="auto"/>
                      <w:kern w:val="2"/>
                      <w:sz w:val="21"/>
                      <w:szCs w:val="21"/>
                      <w:lang w:val="en-US"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restart"/>
                  <w:vAlign w:val="center"/>
                </w:tcPr>
                <w:p>
                  <w:pPr>
                    <w:pStyle w:val="103"/>
                    <w:spacing w:line="240" w:lineRule="auto"/>
                    <w:ind w:left="-120" w:leftChars="0" w:right="-120" w:rightChars="0" w:firstLine="0" w:firstLineChars="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废水</w:t>
                  </w:r>
                </w:p>
              </w:tc>
              <w:tc>
                <w:tcPr>
                  <w:tcW w:w="954"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生活污水</w:t>
                  </w:r>
                </w:p>
              </w:tc>
              <w:tc>
                <w:tcPr>
                  <w:tcW w:w="2369" w:type="dxa"/>
                  <w:vAlign w:val="center"/>
                </w:tcPr>
                <w:p>
                  <w:pPr>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经化粪池预处理后纳管集中处理。</w:t>
                  </w:r>
                </w:p>
              </w:tc>
              <w:tc>
                <w:tcPr>
                  <w:tcW w:w="2330" w:type="dxa"/>
                  <w:vAlign w:val="center"/>
                </w:tcPr>
                <w:p>
                  <w:pPr>
                    <w:rPr>
                      <w:rFonts w:hint="default" w:ascii="Times New Roman" w:hAnsi="Times New Roman" w:eastAsia="宋体" w:cs="Times New Roman"/>
                      <w:color w:val="auto"/>
                      <w:kern w:val="2"/>
                      <w:sz w:val="21"/>
                      <w:szCs w:val="21"/>
                      <w:lang w:val="zh-CN" w:eastAsia="zh-CN" w:bidi="ar-SA"/>
                    </w:rPr>
                  </w:pPr>
                  <w:r>
                    <w:rPr>
                      <w:rFonts w:hint="default" w:ascii="Times New Roman" w:hAnsi="Times New Roman" w:cs="Times New Roman"/>
                      <w:color w:val="auto"/>
                      <w:sz w:val="21"/>
                      <w:szCs w:val="21"/>
                    </w:rPr>
                    <w:t>经化粪池预处理后纳管集中处理。</w:t>
                  </w:r>
                </w:p>
              </w:tc>
              <w:tc>
                <w:tcPr>
                  <w:tcW w:w="997"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continue"/>
                  <w:vAlign w:val="center"/>
                </w:tcPr>
                <w:p>
                  <w:pPr>
                    <w:pStyle w:val="103"/>
                    <w:spacing w:line="240" w:lineRule="auto"/>
                    <w:ind w:left="-120" w:leftChars="0" w:right="-120" w:rightChars="0" w:firstLine="0" w:firstLineChars="0"/>
                    <w:jc w:val="center"/>
                    <w:rPr>
                      <w:rFonts w:hint="default" w:ascii="Times New Roman" w:hAnsi="Times New Roman" w:cs="Times New Roman"/>
                      <w:bCs/>
                      <w:color w:val="auto"/>
                      <w:kern w:val="2"/>
                      <w:sz w:val="21"/>
                      <w:szCs w:val="21"/>
                    </w:rPr>
                  </w:pPr>
                </w:p>
              </w:tc>
              <w:tc>
                <w:tcPr>
                  <w:tcW w:w="954"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试压废水</w:t>
                  </w:r>
                </w:p>
              </w:tc>
              <w:tc>
                <w:tcPr>
                  <w:tcW w:w="2369" w:type="dxa"/>
                  <w:vAlign w:val="center"/>
                </w:tcPr>
                <w:p>
                  <w:pPr>
                    <w:keepNext w:val="0"/>
                    <w:keepLines w:val="0"/>
                    <w:widowControl/>
                    <w:suppressLineNumbers w:val="0"/>
                    <w:jc w:val="left"/>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试压水循环使用，不排放。</w:t>
                  </w:r>
                </w:p>
              </w:tc>
              <w:tc>
                <w:tcPr>
                  <w:tcW w:w="2330" w:type="dxa"/>
                  <w:vAlign w:val="center"/>
                </w:tcPr>
                <w:p>
                  <w:pP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试压水循环使用，不排放。</w:t>
                  </w:r>
                </w:p>
              </w:tc>
              <w:tc>
                <w:tcPr>
                  <w:tcW w:w="997" w:type="dxa"/>
                  <w:vAlign w:val="center"/>
                </w:tcPr>
                <w:p>
                  <w:pPr>
                    <w:pStyle w:val="103"/>
                    <w:spacing w:line="240" w:lineRule="auto"/>
                    <w:ind w:left="-120" w:right="-120" w:firstLine="0"/>
                    <w:jc w:val="center"/>
                    <w:rPr>
                      <w:rFonts w:hint="default" w:ascii="Times New Roman" w:hAnsi="Times New Roman" w:eastAsia="宋体" w:cs="Times New Roman"/>
                      <w:bCs/>
                      <w:color w:val="auto"/>
                      <w:kern w:val="2"/>
                      <w:sz w:val="21"/>
                      <w:szCs w:val="21"/>
                      <w:lang w:val="en-US" w:eastAsia="zh-CN"/>
                    </w:rPr>
                  </w:pPr>
                  <w:r>
                    <w:rPr>
                      <w:rFonts w:hint="eastAsia" w:ascii="Times New Roman" w:hAnsi="Times New Roman" w:cs="Times New Roman"/>
                      <w:bCs/>
                      <w:color w:val="auto"/>
                      <w:kern w:val="2"/>
                      <w:sz w:val="21"/>
                      <w:szCs w:val="21"/>
                      <w:lang w:val="en-US"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3" w:hRule="atLeast"/>
                <w:jc w:val="center"/>
              </w:trPr>
              <w:tc>
                <w:tcPr>
                  <w:tcW w:w="721"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噪声</w:t>
                  </w:r>
                </w:p>
              </w:tc>
              <w:tc>
                <w:tcPr>
                  <w:tcW w:w="954"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设备噪声</w:t>
                  </w:r>
                </w:p>
              </w:tc>
              <w:tc>
                <w:tcPr>
                  <w:tcW w:w="2369" w:type="dxa"/>
                  <w:vAlign w:val="center"/>
                </w:tcPr>
                <w:p>
                  <w:pPr>
                    <w:keepNext w:val="0"/>
                    <w:keepLines w:val="0"/>
                    <w:pageBreakBefore w:val="0"/>
                    <w:widowControl/>
                    <w:suppressLineNumbers w:val="0"/>
                    <w:kinsoku/>
                    <w:wordWrap/>
                    <w:overflowPunct/>
                    <w:topLinePunct w:val="0"/>
                    <w:autoSpaceDE/>
                    <w:autoSpaceDN/>
                    <w:bidi w:val="0"/>
                    <w:adjustRightInd/>
                    <w:snapToGrid/>
                    <w:spacing w:line="310" w:lineRule="exact"/>
                    <w:jc w:val="left"/>
                    <w:textAlignment w:val="auto"/>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选用噪声低、振动小的设备</w:t>
                  </w:r>
                  <w:r>
                    <w:rPr>
                      <w:rFonts w:hint="eastAsia" w:eastAsia="宋体" w:cs="Times New Roman"/>
                      <w:color w:val="auto"/>
                      <w:kern w:val="0"/>
                      <w:sz w:val="21"/>
                      <w:szCs w:val="21"/>
                      <w:lang w:val="en-US" w:eastAsia="zh-CN" w:bidi="ar"/>
                    </w:rPr>
                    <w:t>；</w:t>
                  </w:r>
                  <w:r>
                    <w:rPr>
                      <w:rFonts w:hint="eastAsia" w:ascii="Times New Roman" w:hAnsi="Times New Roman" w:eastAsia="宋体" w:cs="Times New Roman"/>
                      <w:color w:val="auto"/>
                      <w:kern w:val="0"/>
                      <w:sz w:val="21"/>
                      <w:szCs w:val="21"/>
                      <w:lang w:val="en-US" w:eastAsia="zh-CN" w:bidi="ar"/>
                    </w:rPr>
                    <w:t>对高噪声设备加设减震垫</w:t>
                  </w:r>
                  <w:r>
                    <w:rPr>
                      <w:rFonts w:hint="eastAsia" w:eastAsia="宋体" w:cs="Times New Roman"/>
                      <w:color w:val="auto"/>
                      <w:kern w:val="0"/>
                      <w:sz w:val="21"/>
                      <w:szCs w:val="21"/>
                      <w:lang w:val="en-US" w:eastAsia="zh-CN" w:bidi="ar"/>
                    </w:rPr>
                    <w:t>；</w:t>
                  </w:r>
                  <w:r>
                    <w:rPr>
                      <w:rFonts w:hint="eastAsia" w:ascii="Times New Roman" w:hAnsi="Times New Roman" w:eastAsia="宋体" w:cs="Times New Roman"/>
                      <w:color w:val="auto"/>
                      <w:kern w:val="0"/>
                      <w:sz w:val="21"/>
                      <w:szCs w:val="21"/>
                      <w:lang w:val="en-US" w:eastAsia="zh-CN" w:bidi="ar"/>
                    </w:rPr>
                    <w:t>合理布置设备位置</w:t>
                  </w:r>
                  <w:r>
                    <w:rPr>
                      <w:rFonts w:hint="eastAsia" w:eastAsia="宋体" w:cs="Times New Roman"/>
                      <w:color w:val="auto"/>
                      <w:kern w:val="0"/>
                      <w:sz w:val="21"/>
                      <w:szCs w:val="21"/>
                      <w:lang w:val="en-US" w:eastAsia="zh-CN" w:bidi="ar"/>
                    </w:rPr>
                    <w:t>；</w:t>
                  </w:r>
                  <w:r>
                    <w:rPr>
                      <w:rFonts w:hint="eastAsia" w:ascii="Times New Roman" w:hAnsi="Times New Roman" w:eastAsia="宋体" w:cs="Times New Roman"/>
                      <w:color w:val="auto"/>
                      <w:kern w:val="0"/>
                      <w:sz w:val="21"/>
                      <w:szCs w:val="21"/>
                      <w:lang w:val="en-US" w:eastAsia="zh-CN" w:bidi="ar"/>
                    </w:rPr>
                    <w:t>车间安装隔声门窗。</w:t>
                  </w:r>
                </w:p>
              </w:tc>
              <w:tc>
                <w:tcPr>
                  <w:tcW w:w="2330" w:type="dxa"/>
                  <w:vAlign w:val="center"/>
                </w:tcPr>
                <w:p>
                  <w:pPr>
                    <w:keepNext w:val="0"/>
                    <w:keepLines w:val="0"/>
                    <w:widowControl/>
                    <w:suppressLineNumbers w:val="0"/>
                    <w:jc w:val="left"/>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企业已合理布置设备，</w:t>
                  </w:r>
                  <w:r>
                    <w:rPr>
                      <w:rFonts w:hint="eastAsia" w:eastAsia="宋体" w:cs="Times New Roman"/>
                      <w:color w:val="auto"/>
                      <w:kern w:val="0"/>
                      <w:sz w:val="21"/>
                      <w:szCs w:val="21"/>
                      <w:lang w:val="en-US" w:eastAsia="zh-CN" w:bidi="ar"/>
                    </w:rPr>
                    <w:t>设备加设减震垫，</w:t>
                  </w:r>
                  <w:r>
                    <w:rPr>
                      <w:rFonts w:hint="default" w:ascii="Times New Roman" w:hAnsi="Times New Roman" w:eastAsia="宋体" w:cs="Times New Roman"/>
                      <w:color w:val="auto"/>
                      <w:kern w:val="0"/>
                      <w:sz w:val="21"/>
                      <w:szCs w:val="21"/>
                      <w:lang w:val="en-US" w:eastAsia="zh-CN" w:bidi="ar"/>
                    </w:rPr>
                    <w:t>平时加强了生产管理和设备维护保养。</w:t>
                  </w:r>
                </w:p>
              </w:tc>
              <w:tc>
                <w:tcPr>
                  <w:tcW w:w="997"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restart"/>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固体</w:t>
                  </w:r>
                </w:p>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废物</w:t>
                  </w:r>
                </w:p>
              </w:tc>
              <w:tc>
                <w:tcPr>
                  <w:tcW w:w="954" w:type="dxa"/>
                  <w:vAlign w:val="center"/>
                </w:tcPr>
                <w:p>
                  <w:pPr>
                    <w:jc w:val="center"/>
                    <w:rPr>
                      <w:rFonts w:hint="eastAsia" w:ascii="Times New Roman" w:hAnsi="Times New Roman" w:eastAsia="宋体" w:cs="Times New Roman"/>
                      <w:bCs/>
                      <w:color w:val="auto"/>
                      <w:sz w:val="21"/>
                      <w:szCs w:val="21"/>
                      <w:lang w:eastAsia="zh-CN"/>
                    </w:rPr>
                  </w:pPr>
                  <w:r>
                    <w:rPr>
                      <w:rFonts w:hint="eastAsia" w:ascii="Times New Roman" w:hAnsi="Times New Roman" w:cs="Times New Roman"/>
                      <w:bCs/>
                      <w:color w:val="auto"/>
                      <w:sz w:val="21"/>
                      <w:szCs w:val="21"/>
                      <w:lang w:val="en-US" w:eastAsia="zh-CN"/>
                    </w:rPr>
                    <w:t>一般固废</w:t>
                  </w:r>
                </w:p>
              </w:tc>
              <w:tc>
                <w:tcPr>
                  <w:tcW w:w="2369" w:type="dxa"/>
                  <w:vAlign w:val="center"/>
                </w:tcPr>
                <w:p>
                  <w:pPr>
                    <w:keepNext w:val="0"/>
                    <w:keepLines w:val="0"/>
                    <w:widowControl/>
                    <w:suppressLineNumbers w:val="0"/>
                    <w:jc w:val="left"/>
                    <w:rPr>
                      <w:rFonts w:hint="default" w:ascii="Times New Roman" w:hAnsi="Times New Roman" w:cs="Times New Roman"/>
                      <w:color w:val="auto"/>
                      <w:sz w:val="21"/>
                      <w:szCs w:val="21"/>
                    </w:rPr>
                  </w:pPr>
                  <w:r>
                    <w:rPr>
                      <w:rFonts w:hint="eastAsia" w:ascii="宋体" w:hAnsi="宋体" w:eastAsia="宋体" w:cs="宋体"/>
                      <w:color w:val="auto"/>
                      <w:kern w:val="0"/>
                      <w:sz w:val="21"/>
                      <w:szCs w:val="21"/>
                      <w:lang w:val="en-US" w:eastAsia="zh-CN" w:bidi="ar"/>
                    </w:rPr>
                    <w:t>金属边角料、无铅焊渣、</w:t>
                  </w:r>
                  <w:r>
                    <w:rPr>
                      <w:rFonts w:hint="eastAsia" w:ascii="Times New Roman" w:hAnsi="Times New Roman" w:eastAsia="宋体" w:cs="Times New Roman"/>
                      <w:bCs/>
                      <w:color w:val="auto"/>
                      <w:sz w:val="21"/>
                      <w:szCs w:val="21"/>
                      <w:lang w:val="en-US" w:eastAsia="zh-CN"/>
                    </w:rPr>
                    <w:t>收集的金属粉尘</w:t>
                  </w:r>
                  <w:r>
                    <w:rPr>
                      <w:rFonts w:hint="eastAsia" w:ascii="宋体" w:hAnsi="宋体" w:eastAsia="宋体" w:cs="宋体"/>
                      <w:color w:val="auto"/>
                      <w:kern w:val="0"/>
                      <w:sz w:val="21"/>
                      <w:szCs w:val="21"/>
                      <w:lang w:val="en-US" w:eastAsia="zh-CN" w:bidi="ar"/>
                    </w:rPr>
                    <w:t>出售给物资回收公司；空气瓶由供应商回收；收集的塑粉回用于生产；生活垃圾委托当地环卫部门统一清运填埋处理。</w:t>
                  </w:r>
                </w:p>
              </w:tc>
              <w:tc>
                <w:tcPr>
                  <w:tcW w:w="2330" w:type="dxa"/>
                  <w:vAlign w:val="center"/>
                </w:tcPr>
                <w:p>
                  <w:pPr>
                    <w:rPr>
                      <w:rFonts w:hint="default" w:ascii="Times New Roman" w:hAnsi="Times New Roman" w:cs="Times New Roman"/>
                      <w:color w:val="auto"/>
                      <w:sz w:val="21"/>
                      <w:szCs w:val="21"/>
                      <w:lang w:val="en-US"/>
                    </w:rPr>
                  </w:pPr>
                  <w:r>
                    <w:rPr>
                      <w:rFonts w:hint="eastAsia" w:ascii="宋体" w:hAnsi="宋体" w:eastAsia="宋体" w:cs="宋体"/>
                      <w:color w:val="auto"/>
                      <w:kern w:val="0"/>
                      <w:sz w:val="21"/>
                      <w:szCs w:val="21"/>
                      <w:lang w:val="en-US" w:eastAsia="zh-CN" w:bidi="ar"/>
                    </w:rPr>
                    <w:t>金属边角料、无铅焊渣、</w:t>
                  </w:r>
                  <w:r>
                    <w:rPr>
                      <w:rFonts w:hint="eastAsia" w:ascii="Times New Roman" w:hAnsi="Times New Roman" w:eastAsia="宋体" w:cs="Times New Roman"/>
                      <w:bCs/>
                      <w:color w:val="auto"/>
                      <w:sz w:val="21"/>
                      <w:szCs w:val="21"/>
                      <w:lang w:val="en-US" w:eastAsia="zh-CN"/>
                    </w:rPr>
                    <w:t>收集的金属粉尘</w:t>
                  </w:r>
                  <w:r>
                    <w:rPr>
                      <w:rFonts w:hint="eastAsia" w:ascii="宋体" w:hAnsi="宋体" w:eastAsia="宋体" w:cs="宋体"/>
                      <w:color w:val="auto"/>
                      <w:kern w:val="0"/>
                      <w:sz w:val="21"/>
                      <w:szCs w:val="21"/>
                      <w:lang w:val="en-US" w:eastAsia="zh-CN" w:bidi="ar"/>
                    </w:rPr>
                    <w:t>分类收集后出售给废旧物资回收公司；空气瓶由供应商回收；收集的塑粉回用于生产；生活垃圾委托当地环卫部门统一清运填埋处理。</w:t>
                  </w:r>
                </w:p>
              </w:tc>
              <w:tc>
                <w:tcPr>
                  <w:tcW w:w="997" w:type="dxa"/>
                  <w:vAlign w:val="center"/>
                </w:tcPr>
                <w:p>
                  <w:pPr>
                    <w:pStyle w:val="103"/>
                    <w:spacing w:line="240" w:lineRule="auto"/>
                    <w:ind w:left="-120" w:right="-120" w:firstLine="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21" w:type="dxa"/>
                  <w:vMerge w:val="continue"/>
                  <w:vAlign w:val="center"/>
                </w:tcPr>
                <w:p>
                  <w:pPr>
                    <w:pStyle w:val="123"/>
                    <w:spacing w:line="240" w:lineRule="auto"/>
                    <w:ind w:firstLine="420"/>
                    <w:jc w:val="center"/>
                    <w:rPr>
                      <w:rFonts w:hint="default" w:ascii="Times New Roman" w:hAnsi="Times New Roman" w:cs="Times New Roman"/>
                      <w:bCs/>
                      <w:color w:val="FF0000"/>
                      <w:kern w:val="2"/>
                      <w:sz w:val="21"/>
                      <w:szCs w:val="21"/>
                    </w:rPr>
                  </w:pPr>
                </w:p>
              </w:tc>
              <w:tc>
                <w:tcPr>
                  <w:tcW w:w="954" w:type="dxa"/>
                  <w:vAlign w:val="center"/>
                </w:tcPr>
                <w:p>
                  <w:pPr>
                    <w:jc w:val="center"/>
                    <w:rPr>
                      <w:rFonts w:hint="eastAsia" w:ascii="Times New Roman" w:hAnsi="Times New Roman" w:eastAsia="宋体" w:cs="Times New Roman"/>
                      <w:bCs/>
                      <w:color w:val="auto"/>
                      <w:sz w:val="21"/>
                      <w:szCs w:val="21"/>
                      <w:lang w:eastAsia="zh-CN"/>
                    </w:rPr>
                  </w:pPr>
                  <w:r>
                    <w:rPr>
                      <w:rFonts w:hint="eastAsia" w:ascii="Times New Roman" w:hAnsi="Times New Roman" w:cs="Times New Roman"/>
                      <w:bCs/>
                      <w:color w:val="auto"/>
                      <w:sz w:val="21"/>
                      <w:szCs w:val="21"/>
                      <w:lang w:val="en-US" w:eastAsia="zh-CN"/>
                    </w:rPr>
                    <w:t>危险废物</w:t>
                  </w:r>
                </w:p>
              </w:tc>
              <w:tc>
                <w:tcPr>
                  <w:tcW w:w="2369" w:type="dxa"/>
                  <w:vAlign w:val="center"/>
                </w:tcPr>
                <w:p>
                  <w:pPr>
                    <w:keepNext w:val="0"/>
                    <w:keepLines w:val="0"/>
                    <w:widowControl/>
                    <w:suppressLineNumbers w:val="0"/>
                    <w:jc w:val="left"/>
                    <w:rPr>
                      <w:rFonts w:hint="default" w:ascii="Times New Roman" w:hAnsi="Times New Roman" w:cs="Times New Roman"/>
                      <w:color w:val="auto"/>
                      <w:sz w:val="21"/>
                      <w:szCs w:val="21"/>
                      <w:lang w:val="zh-CN"/>
                    </w:rPr>
                  </w:pPr>
                  <w:r>
                    <w:rPr>
                      <w:rFonts w:hint="eastAsia" w:ascii="宋体" w:hAnsi="宋体" w:eastAsia="宋体" w:cs="宋体"/>
                      <w:color w:val="auto"/>
                      <w:kern w:val="0"/>
                      <w:sz w:val="21"/>
                      <w:szCs w:val="21"/>
                      <w:lang w:val="en-US" w:eastAsia="zh-CN" w:bidi="ar"/>
                    </w:rPr>
                    <w:t>废包装桶、漆渣、废毛刷、废活性炭委托资质单位进行处置。</w:t>
                  </w:r>
                </w:p>
              </w:tc>
              <w:tc>
                <w:tcPr>
                  <w:tcW w:w="2330" w:type="dxa"/>
                  <w:vAlign w:val="center"/>
                </w:tcPr>
                <w:p>
                  <w:pPr>
                    <w:rPr>
                      <w:rFonts w:hint="default" w:ascii="Times New Roman" w:hAnsi="Times New Roman" w:cs="Times New Roman"/>
                      <w:color w:val="auto"/>
                      <w:sz w:val="21"/>
                      <w:szCs w:val="21"/>
                      <w:lang w:val="zh-CN"/>
                    </w:rPr>
                  </w:pPr>
                  <w:r>
                    <w:rPr>
                      <w:rFonts w:hint="eastAsia" w:ascii="Times New Roman" w:hAnsi="Times New Roman" w:cs="Times New Roman"/>
                      <w:color w:val="auto"/>
                      <w:sz w:val="21"/>
                      <w:szCs w:val="21"/>
                      <w:lang w:val="en-US" w:eastAsia="zh-CN"/>
                    </w:rPr>
                    <w:t>各类危险废物分别</w:t>
                  </w:r>
                  <w:r>
                    <w:rPr>
                      <w:rFonts w:hint="default" w:ascii="Times New Roman" w:hAnsi="Times New Roman" w:cs="Times New Roman"/>
                      <w:color w:val="auto"/>
                      <w:sz w:val="21"/>
                      <w:szCs w:val="21"/>
                      <w:lang w:val="en-US"/>
                    </w:rPr>
                    <w:t>暂存于</w:t>
                  </w:r>
                  <w:r>
                    <w:rPr>
                      <w:rFonts w:hint="eastAsia" w:ascii="Times New Roman" w:hAnsi="Times New Roman" w:cs="Times New Roman"/>
                      <w:color w:val="auto"/>
                      <w:sz w:val="21"/>
                      <w:szCs w:val="21"/>
                      <w:lang w:val="en-US" w:eastAsia="zh-CN"/>
                    </w:rPr>
                    <w:t>不同</w:t>
                  </w:r>
                  <w:r>
                    <w:rPr>
                      <w:rFonts w:hint="default" w:ascii="Times New Roman" w:hAnsi="Times New Roman" w:cs="Times New Roman"/>
                      <w:color w:val="auto"/>
                      <w:sz w:val="21"/>
                      <w:szCs w:val="21"/>
                      <w:lang w:val="en-US"/>
                    </w:rPr>
                    <w:t>危废暂存间，定期交由有资质的公司处置。</w:t>
                  </w:r>
                </w:p>
              </w:tc>
              <w:tc>
                <w:tcPr>
                  <w:tcW w:w="997" w:type="dxa"/>
                  <w:vAlign w:val="center"/>
                </w:tcPr>
                <w:p>
                  <w:pPr>
                    <w:pStyle w:val="123"/>
                    <w:spacing w:line="240" w:lineRule="auto"/>
                    <w:ind w:firstLine="0" w:firstLineChars="0"/>
                    <w:jc w:val="center"/>
                    <w:rPr>
                      <w:rFonts w:hint="default" w:ascii="Times New Roman" w:hAnsi="Times New Roman" w:cs="Times New Roman"/>
                      <w:bCs/>
                      <w:color w:val="auto"/>
                      <w:kern w:val="2"/>
                      <w:sz w:val="21"/>
                      <w:szCs w:val="21"/>
                    </w:rPr>
                  </w:pPr>
                  <w:r>
                    <w:rPr>
                      <w:rFonts w:hint="default" w:ascii="Times New Roman" w:hAnsi="Times New Roman" w:cs="Times New Roman"/>
                      <w:bCs/>
                      <w:color w:val="auto"/>
                      <w:kern w:val="2"/>
                      <w:sz w:val="21"/>
                      <w:szCs w:val="21"/>
                    </w:rPr>
                    <w:t>已落实</w:t>
                  </w:r>
                </w:p>
              </w:tc>
            </w:tr>
          </w:tbl>
          <w:p>
            <w:pPr>
              <w:pStyle w:val="40"/>
              <w:rPr>
                <w:rFonts w:hint="eastAsia" w:ascii="Times New Roman" w:hAnsi="Times New Roman" w:cs="Times New Roman"/>
                <w:b/>
                <w:color w:val="FF0000"/>
                <w:szCs w:val="24"/>
                <w:lang w:val="en-US" w:eastAsia="zh-CN"/>
              </w:rPr>
            </w:pPr>
          </w:p>
          <w:p>
            <w:pPr>
              <w:spacing w:line="360" w:lineRule="auto"/>
              <w:jc w:val="left"/>
              <w:rPr>
                <w:b/>
                <w:color w:val="auto"/>
                <w:szCs w:val="24"/>
              </w:rPr>
            </w:pPr>
            <w:r>
              <w:rPr>
                <w:rFonts w:hint="eastAsia"/>
                <w:b/>
                <w:color w:val="auto"/>
                <w:szCs w:val="24"/>
              </w:rPr>
              <w:t>2.12.</w:t>
            </w:r>
            <w:r>
              <w:rPr>
                <w:rFonts w:hint="eastAsia"/>
                <w:b/>
                <w:color w:val="auto"/>
                <w:szCs w:val="24"/>
                <w:lang w:val="en-US" w:eastAsia="zh-CN"/>
              </w:rPr>
              <w:t>8原有</w:t>
            </w:r>
            <w:r>
              <w:rPr>
                <w:rFonts w:hint="eastAsia"/>
                <w:b/>
                <w:color w:val="auto"/>
                <w:szCs w:val="24"/>
              </w:rPr>
              <w:t>项目污染物排放</w:t>
            </w:r>
          </w:p>
          <w:p>
            <w:pPr>
              <w:spacing w:line="360" w:lineRule="auto"/>
              <w:ind w:firstLine="480" w:firstLineChars="200"/>
              <w:rPr>
                <w:color w:val="auto"/>
              </w:rPr>
            </w:pPr>
            <w:r>
              <w:rPr>
                <w:rFonts w:hint="eastAsia"/>
                <w:color w:val="auto"/>
              </w:rPr>
              <w:t>根据原有环评及验收资料分析，现有项目纳入总量控制指标的为COD</w:t>
            </w:r>
            <w:r>
              <w:rPr>
                <w:rFonts w:hint="eastAsia"/>
                <w:color w:val="auto"/>
                <w:vertAlign w:val="subscript"/>
                <w:lang w:val="en-US" w:eastAsia="zh-CN"/>
              </w:rPr>
              <w:t>C</w:t>
            </w:r>
            <w:r>
              <w:rPr>
                <w:rFonts w:hint="eastAsia"/>
                <w:color w:val="auto"/>
                <w:vertAlign w:val="subscript"/>
              </w:rPr>
              <w:t>r</w:t>
            </w:r>
            <w:r>
              <w:rPr>
                <w:rFonts w:hint="eastAsia"/>
                <w:color w:val="auto"/>
              </w:rPr>
              <w:t>、氨氮、</w:t>
            </w:r>
            <w:r>
              <w:rPr>
                <w:rFonts w:hint="eastAsia"/>
                <w:color w:val="auto"/>
                <w:lang w:val="en-US" w:eastAsia="zh-CN"/>
              </w:rPr>
              <w:t>挥发性有机物</w:t>
            </w:r>
            <w:r>
              <w:rPr>
                <w:rFonts w:hint="eastAsia"/>
                <w:color w:val="auto"/>
              </w:rPr>
              <w:t>VOCs和</w:t>
            </w:r>
            <w:r>
              <w:rPr>
                <w:rFonts w:hint="eastAsia"/>
                <w:color w:val="auto"/>
                <w:lang w:val="en-US" w:eastAsia="zh-CN"/>
              </w:rPr>
              <w:t>颗粒物</w:t>
            </w:r>
            <w:r>
              <w:rPr>
                <w:rFonts w:hint="eastAsia"/>
                <w:color w:val="auto"/>
              </w:rPr>
              <w:t>，企业总量排放情况详见表2-2</w:t>
            </w:r>
            <w:r>
              <w:rPr>
                <w:rFonts w:hint="eastAsia"/>
                <w:color w:val="auto"/>
                <w:lang w:val="en-US" w:eastAsia="zh-CN"/>
              </w:rPr>
              <w:t>6</w:t>
            </w:r>
            <w:r>
              <w:rPr>
                <w:rFonts w:hint="eastAsia"/>
                <w:color w:val="auto"/>
              </w:rPr>
              <w:t>。</w:t>
            </w:r>
          </w:p>
          <w:p>
            <w:pPr>
              <w:spacing w:line="360" w:lineRule="auto"/>
              <w:jc w:val="center"/>
              <w:rPr>
                <w:b/>
                <w:bCs/>
                <w:color w:val="auto"/>
              </w:rPr>
            </w:pPr>
            <w:r>
              <w:rPr>
                <w:b/>
                <w:bCs/>
                <w:color w:val="auto"/>
              </w:rPr>
              <w:t>表</w:t>
            </w:r>
            <w:r>
              <w:rPr>
                <w:rFonts w:hint="eastAsia"/>
                <w:b/>
                <w:bCs/>
                <w:color w:val="auto"/>
              </w:rPr>
              <w:t>2</w:t>
            </w:r>
            <w:r>
              <w:rPr>
                <w:b/>
                <w:bCs/>
                <w:color w:val="auto"/>
              </w:rPr>
              <w:t>-</w:t>
            </w:r>
            <w:r>
              <w:rPr>
                <w:rFonts w:hint="eastAsia"/>
                <w:b/>
                <w:bCs/>
                <w:color w:val="auto"/>
              </w:rPr>
              <w:t>2</w:t>
            </w:r>
            <w:r>
              <w:rPr>
                <w:rFonts w:hint="eastAsia"/>
                <w:b/>
                <w:bCs/>
                <w:color w:val="auto"/>
                <w:lang w:val="en-US" w:eastAsia="zh-CN"/>
              </w:rPr>
              <w:t xml:space="preserve">6  </w:t>
            </w:r>
            <w:r>
              <w:rPr>
                <w:b/>
                <w:bCs/>
                <w:color w:val="auto"/>
              </w:rPr>
              <w:t>现有项目</w:t>
            </w:r>
            <w:r>
              <w:rPr>
                <w:rFonts w:hint="eastAsia"/>
                <w:b/>
                <w:bCs/>
                <w:color w:val="auto"/>
              </w:rPr>
              <w:t>总量控制指标</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7"/>
              <w:gridCol w:w="1399"/>
              <w:gridCol w:w="1657"/>
              <w:gridCol w:w="1657"/>
              <w:gridCol w:w="1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427" w:type="dxa"/>
                  <w:vAlign w:val="center"/>
                </w:tcPr>
                <w:p>
                  <w:pPr>
                    <w:pStyle w:val="103"/>
                    <w:spacing w:line="240" w:lineRule="auto"/>
                    <w:ind w:left="-120" w:right="-120" w:firstLine="0"/>
                    <w:jc w:val="center"/>
                    <w:rPr>
                      <w:b/>
                      <w:bCs/>
                      <w:color w:val="auto"/>
                      <w:kern w:val="2"/>
                      <w:sz w:val="21"/>
                      <w:szCs w:val="21"/>
                    </w:rPr>
                  </w:pPr>
                  <w:r>
                    <w:rPr>
                      <w:b/>
                      <w:bCs/>
                      <w:color w:val="auto"/>
                      <w:kern w:val="2"/>
                      <w:sz w:val="21"/>
                      <w:szCs w:val="21"/>
                    </w:rPr>
                    <w:t>类别</w:t>
                  </w:r>
                </w:p>
              </w:tc>
              <w:tc>
                <w:tcPr>
                  <w:tcW w:w="1399"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总量控制指标名称</w:t>
                  </w:r>
                </w:p>
              </w:tc>
              <w:tc>
                <w:tcPr>
                  <w:tcW w:w="1657"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原环评许可排放量（t/a）</w:t>
                  </w:r>
                </w:p>
              </w:tc>
              <w:tc>
                <w:tcPr>
                  <w:tcW w:w="1657"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验收时实际排放量（t/a）</w:t>
                  </w:r>
                </w:p>
              </w:tc>
              <w:tc>
                <w:tcPr>
                  <w:tcW w:w="1230"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符合情况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27" w:type="dxa"/>
                  <w:vMerge w:val="restart"/>
                  <w:vAlign w:val="center"/>
                </w:tcPr>
                <w:p>
                  <w:pPr>
                    <w:pStyle w:val="103"/>
                    <w:spacing w:line="240" w:lineRule="auto"/>
                    <w:ind w:left="-120" w:right="-120" w:firstLine="0"/>
                    <w:jc w:val="center"/>
                    <w:rPr>
                      <w:bCs/>
                      <w:color w:val="auto"/>
                      <w:kern w:val="2"/>
                      <w:sz w:val="21"/>
                      <w:szCs w:val="21"/>
                    </w:rPr>
                  </w:pPr>
                  <w:r>
                    <w:rPr>
                      <w:bCs/>
                      <w:color w:val="auto"/>
                      <w:kern w:val="2"/>
                      <w:sz w:val="21"/>
                      <w:szCs w:val="21"/>
                    </w:rPr>
                    <w:t>废水</w:t>
                  </w:r>
                </w:p>
              </w:tc>
              <w:tc>
                <w:tcPr>
                  <w:tcW w:w="1399" w:type="dxa"/>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废水量</w:t>
                  </w:r>
                </w:p>
              </w:tc>
              <w:tc>
                <w:tcPr>
                  <w:tcW w:w="1657" w:type="dxa"/>
                  <w:vAlign w:val="center"/>
                </w:tcPr>
                <w:p>
                  <w:pPr>
                    <w:pStyle w:val="103"/>
                    <w:spacing w:line="240" w:lineRule="auto"/>
                    <w:ind w:left="-120" w:right="-120" w:firstLine="0"/>
                    <w:jc w:val="center"/>
                    <w:rPr>
                      <w:rFonts w:hint="default" w:eastAsia="宋体"/>
                      <w:bCs/>
                      <w:color w:val="auto"/>
                      <w:kern w:val="2"/>
                      <w:sz w:val="21"/>
                      <w:szCs w:val="21"/>
                      <w:lang w:val="en-US" w:eastAsia="zh-CN"/>
                    </w:rPr>
                  </w:pPr>
                  <w:r>
                    <w:rPr>
                      <w:rFonts w:hint="eastAsia"/>
                      <w:bCs/>
                      <w:color w:val="auto"/>
                      <w:kern w:val="2"/>
                      <w:sz w:val="21"/>
                      <w:szCs w:val="21"/>
                      <w:lang w:val="en-US" w:eastAsia="zh-CN"/>
                    </w:rPr>
                    <w:t>1020</w:t>
                  </w:r>
                </w:p>
              </w:tc>
              <w:tc>
                <w:tcPr>
                  <w:tcW w:w="1657" w:type="dxa"/>
                  <w:vAlign w:val="center"/>
                </w:tcPr>
                <w:p>
                  <w:pPr>
                    <w:pStyle w:val="103"/>
                    <w:spacing w:line="240" w:lineRule="auto"/>
                    <w:ind w:left="-120" w:right="-120" w:firstLine="0"/>
                    <w:jc w:val="center"/>
                    <w:rPr>
                      <w:rFonts w:hint="default" w:eastAsia="宋体"/>
                      <w:bCs/>
                      <w:color w:val="auto"/>
                      <w:kern w:val="2"/>
                      <w:sz w:val="21"/>
                      <w:szCs w:val="21"/>
                      <w:lang w:val="en-US" w:eastAsia="zh-CN"/>
                    </w:rPr>
                  </w:pPr>
                  <w:r>
                    <w:rPr>
                      <w:rFonts w:hint="eastAsia"/>
                      <w:bCs/>
                      <w:color w:val="auto"/>
                      <w:kern w:val="2"/>
                      <w:sz w:val="21"/>
                      <w:szCs w:val="21"/>
                      <w:lang w:val="en-US" w:eastAsia="zh-CN"/>
                    </w:rPr>
                    <w:t>1020</w:t>
                  </w:r>
                </w:p>
              </w:tc>
              <w:tc>
                <w:tcPr>
                  <w:tcW w:w="1230" w:type="dxa"/>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27" w:type="dxa"/>
                  <w:vMerge w:val="continue"/>
                  <w:vAlign w:val="center"/>
                </w:tcPr>
                <w:p>
                  <w:pPr>
                    <w:pStyle w:val="103"/>
                    <w:spacing w:line="240" w:lineRule="auto"/>
                    <w:ind w:left="-120" w:right="-120" w:firstLine="0"/>
                    <w:jc w:val="center"/>
                    <w:rPr>
                      <w:bCs/>
                      <w:color w:val="auto"/>
                      <w:kern w:val="2"/>
                      <w:sz w:val="21"/>
                      <w:szCs w:val="21"/>
                    </w:rPr>
                  </w:pPr>
                </w:p>
              </w:tc>
              <w:tc>
                <w:tcPr>
                  <w:tcW w:w="1399" w:type="dxa"/>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COD</w:t>
                  </w:r>
                  <w:r>
                    <w:rPr>
                      <w:rFonts w:hint="eastAsia"/>
                      <w:bCs/>
                      <w:color w:val="auto"/>
                      <w:kern w:val="2"/>
                      <w:sz w:val="21"/>
                      <w:szCs w:val="21"/>
                      <w:vertAlign w:val="subscript"/>
                      <w:lang w:val="en-US" w:eastAsia="zh-CN"/>
                    </w:rPr>
                    <w:t>C</w:t>
                  </w:r>
                  <w:r>
                    <w:rPr>
                      <w:rFonts w:hint="eastAsia"/>
                      <w:bCs/>
                      <w:color w:val="auto"/>
                      <w:kern w:val="2"/>
                      <w:sz w:val="21"/>
                      <w:szCs w:val="21"/>
                      <w:vertAlign w:val="subscript"/>
                    </w:rPr>
                    <w:t>r</w:t>
                  </w:r>
                </w:p>
              </w:tc>
              <w:tc>
                <w:tcPr>
                  <w:tcW w:w="1657" w:type="dxa"/>
                  <w:vAlign w:val="center"/>
                </w:tcPr>
                <w:p>
                  <w:pPr>
                    <w:pStyle w:val="103"/>
                    <w:spacing w:line="240" w:lineRule="auto"/>
                    <w:ind w:left="-120" w:right="-120" w:firstLine="0"/>
                    <w:jc w:val="center"/>
                    <w:rPr>
                      <w:rFonts w:hint="default" w:eastAsia="宋体"/>
                      <w:bCs/>
                      <w:color w:val="auto"/>
                      <w:kern w:val="2"/>
                      <w:sz w:val="21"/>
                      <w:szCs w:val="21"/>
                      <w:lang w:val="en-US" w:eastAsia="zh-CN"/>
                    </w:rPr>
                  </w:pPr>
                  <w:r>
                    <w:rPr>
                      <w:rFonts w:hint="eastAsia"/>
                      <w:bCs/>
                      <w:color w:val="auto"/>
                      <w:kern w:val="2"/>
                      <w:sz w:val="21"/>
                      <w:szCs w:val="21"/>
                      <w:lang w:val="en-US" w:eastAsia="zh-CN"/>
                    </w:rPr>
                    <w:t>0.051</w:t>
                  </w:r>
                </w:p>
              </w:tc>
              <w:tc>
                <w:tcPr>
                  <w:tcW w:w="1657" w:type="dxa"/>
                  <w:vAlign w:val="center"/>
                </w:tcPr>
                <w:p>
                  <w:pPr>
                    <w:pStyle w:val="103"/>
                    <w:spacing w:line="240" w:lineRule="auto"/>
                    <w:ind w:left="-120" w:leftChars="0" w:right="-120" w:rightChars="0" w:firstLine="0" w:firstLineChars="0"/>
                    <w:jc w:val="center"/>
                    <w:rPr>
                      <w:rFonts w:hint="default" w:eastAsia="宋体"/>
                      <w:bCs/>
                      <w:color w:val="auto"/>
                      <w:kern w:val="2"/>
                      <w:sz w:val="21"/>
                      <w:szCs w:val="21"/>
                      <w:lang w:val="en-US" w:eastAsia="zh-CN"/>
                    </w:rPr>
                  </w:pPr>
                  <w:r>
                    <w:rPr>
                      <w:rFonts w:hint="eastAsia"/>
                      <w:bCs/>
                      <w:color w:val="auto"/>
                      <w:kern w:val="2"/>
                      <w:sz w:val="21"/>
                      <w:szCs w:val="21"/>
                      <w:lang w:val="en-US" w:eastAsia="zh-CN"/>
                    </w:rPr>
                    <w:t>0.051</w:t>
                  </w:r>
                </w:p>
              </w:tc>
              <w:tc>
                <w:tcPr>
                  <w:tcW w:w="1230" w:type="dxa"/>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27" w:type="dxa"/>
                  <w:vMerge w:val="continue"/>
                  <w:vAlign w:val="center"/>
                </w:tcPr>
                <w:p>
                  <w:pPr>
                    <w:pStyle w:val="103"/>
                    <w:spacing w:line="240" w:lineRule="auto"/>
                    <w:ind w:left="-120" w:right="-120" w:firstLine="0"/>
                    <w:jc w:val="center"/>
                    <w:rPr>
                      <w:bCs/>
                      <w:color w:val="auto"/>
                      <w:kern w:val="2"/>
                      <w:sz w:val="21"/>
                      <w:szCs w:val="21"/>
                    </w:rPr>
                  </w:pPr>
                </w:p>
              </w:tc>
              <w:tc>
                <w:tcPr>
                  <w:tcW w:w="1399" w:type="dxa"/>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NH</w:t>
                  </w:r>
                  <w:r>
                    <w:rPr>
                      <w:rFonts w:hint="eastAsia"/>
                      <w:bCs/>
                      <w:color w:val="auto"/>
                      <w:kern w:val="2"/>
                      <w:sz w:val="21"/>
                      <w:szCs w:val="21"/>
                      <w:vertAlign w:val="subscript"/>
                    </w:rPr>
                    <w:t>3</w:t>
                  </w:r>
                  <w:r>
                    <w:rPr>
                      <w:rFonts w:hint="eastAsia"/>
                      <w:bCs/>
                      <w:color w:val="auto"/>
                      <w:kern w:val="2"/>
                      <w:sz w:val="21"/>
                      <w:szCs w:val="21"/>
                    </w:rPr>
                    <w:t>-N</w:t>
                  </w:r>
                </w:p>
              </w:tc>
              <w:tc>
                <w:tcPr>
                  <w:tcW w:w="1657" w:type="dxa"/>
                  <w:vAlign w:val="center"/>
                </w:tcPr>
                <w:p>
                  <w:pPr>
                    <w:pStyle w:val="103"/>
                    <w:spacing w:line="240" w:lineRule="auto"/>
                    <w:ind w:left="-120" w:right="-120" w:firstLine="0"/>
                    <w:jc w:val="center"/>
                    <w:rPr>
                      <w:rFonts w:hint="default" w:eastAsia="宋体"/>
                      <w:bCs/>
                      <w:color w:val="auto"/>
                      <w:kern w:val="2"/>
                      <w:sz w:val="21"/>
                      <w:szCs w:val="21"/>
                      <w:lang w:val="en-US" w:eastAsia="zh-CN"/>
                    </w:rPr>
                  </w:pPr>
                  <w:r>
                    <w:rPr>
                      <w:rFonts w:hint="eastAsia"/>
                      <w:bCs/>
                      <w:color w:val="auto"/>
                      <w:kern w:val="2"/>
                      <w:sz w:val="21"/>
                      <w:szCs w:val="21"/>
                      <w:lang w:val="en-US" w:eastAsia="zh-CN"/>
                    </w:rPr>
                    <w:t>0.006</w:t>
                  </w:r>
                </w:p>
              </w:tc>
              <w:tc>
                <w:tcPr>
                  <w:tcW w:w="1657" w:type="dxa"/>
                  <w:vAlign w:val="center"/>
                </w:tcPr>
                <w:p>
                  <w:pPr>
                    <w:pStyle w:val="103"/>
                    <w:spacing w:line="240" w:lineRule="auto"/>
                    <w:ind w:left="-120" w:leftChars="0" w:right="-120" w:rightChars="0" w:firstLine="0" w:firstLineChars="0"/>
                    <w:jc w:val="center"/>
                    <w:rPr>
                      <w:rFonts w:hint="default" w:eastAsia="宋体"/>
                      <w:bCs/>
                      <w:color w:val="auto"/>
                      <w:kern w:val="2"/>
                      <w:sz w:val="21"/>
                      <w:szCs w:val="21"/>
                      <w:lang w:val="en-US" w:eastAsia="zh-CN"/>
                    </w:rPr>
                  </w:pPr>
                  <w:r>
                    <w:rPr>
                      <w:rFonts w:hint="eastAsia"/>
                      <w:bCs/>
                      <w:color w:val="auto"/>
                      <w:kern w:val="2"/>
                      <w:sz w:val="21"/>
                      <w:szCs w:val="21"/>
                      <w:lang w:val="en-US" w:eastAsia="zh-CN"/>
                    </w:rPr>
                    <w:t>0.006</w:t>
                  </w:r>
                </w:p>
              </w:tc>
              <w:tc>
                <w:tcPr>
                  <w:tcW w:w="1230" w:type="dxa"/>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27" w:type="dxa"/>
                  <w:vMerge w:val="restart"/>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废气</w:t>
                  </w:r>
                </w:p>
              </w:tc>
              <w:tc>
                <w:tcPr>
                  <w:tcW w:w="1399" w:type="dxa"/>
                  <w:vAlign w:val="center"/>
                </w:tcPr>
                <w:p>
                  <w:pPr>
                    <w:pStyle w:val="103"/>
                    <w:spacing w:line="240" w:lineRule="auto"/>
                    <w:ind w:left="-120" w:leftChars="0" w:right="-120" w:rightChars="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VOCs</w:t>
                  </w:r>
                </w:p>
              </w:tc>
              <w:tc>
                <w:tcPr>
                  <w:tcW w:w="1657"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0.714</w:t>
                  </w:r>
                </w:p>
              </w:tc>
              <w:tc>
                <w:tcPr>
                  <w:tcW w:w="1657"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0.265</w:t>
                  </w:r>
                </w:p>
              </w:tc>
              <w:tc>
                <w:tcPr>
                  <w:tcW w:w="1230" w:type="dxa"/>
                  <w:vAlign w:val="center"/>
                </w:tcPr>
                <w:p>
                  <w:pPr>
                    <w:pStyle w:val="103"/>
                    <w:spacing w:line="240" w:lineRule="auto"/>
                    <w:ind w:left="-120" w:leftChars="0" w:right="-120" w:rightChars="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27" w:type="dxa"/>
                  <w:vMerge w:val="continue"/>
                  <w:vAlign w:val="center"/>
                </w:tcPr>
                <w:p>
                  <w:pPr>
                    <w:pStyle w:val="103"/>
                    <w:spacing w:line="240" w:lineRule="auto"/>
                    <w:ind w:left="-120" w:right="-120" w:firstLine="0"/>
                    <w:jc w:val="center"/>
                    <w:rPr>
                      <w:rFonts w:hint="eastAsia"/>
                      <w:bCs/>
                      <w:color w:val="auto"/>
                      <w:kern w:val="2"/>
                      <w:sz w:val="21"/>
                      <w:szCs w:val="21"/>
                    </w:rPr>
                  </w:pPr>
                </w:p>
              </w:tc>
              <w:tc>
                <w:tcPr>
                  <w:tcW w:w="1399" w:type="dxa"/>
                  <w:vAlign w:val="center"/>
                </w:tcPr>
                <w:p>
                  <w:pPr>
                    <w:pStyle w:val="103"/>
                    <w:spacing w:line="240" w:lineRule="auto"/>
                    <w:ind w:left="-120" w:leftChars="0" w:right="-120" w:rightChars="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颗粒物</w:t>
                  </w:r>
                </w:p>
              </w:tc>
              <w:tc>
                <w:tcPr>
                  <w:tcW w:w="1657"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0.847</w:t>
                  </w:r>
                </w:p>
              </w:tc>
              <w:tc>
                <w:tcPr>
                  <w:tcW w:w="1657"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0.308</w:t>
                  </w:r>
                </w:p>
              </w:tc>
              <w:tc>
                <w:tcPr>
                  <w:tcW w:w="1230" w:type="dxa"/>
                  <w:vAlign w:val="center"/>
                </w:tcPr>
                <w:p>
                  <w:pPr>
                    <w:pStyle w:val="103"/>
                    <w:spacing w:line="240" w:lineRule="auto"/>
                    <w:ind w:left="-120" w:leftChars="0" w:right="-120" w:rightChars="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符合</w:t>
                  </w:r>
                </w:p>
              </w:tc>
            </w:tr>
          </w:tbl>
          <w:p>
            <w:pPr>
              <w:pStyle w:val="40"/>
              <w:keepNext w:val="0"/>
              <w:keepLines w:val="0"/>
              <w:pageBreakBefore w:val="0"/>
              <w:widowControl w:val="0"/>
              <w:kinsoku/>
              <w:wordWrap/>
              <w:overflowPunct/>
              <w:topLinePunct w:val="0"/>
              <w:autoSpaceDE/>
              <w:autoSpaceDN/>
              <w:bidi w:val="0"/>
              <w:adjustRightInd/>
              <w:snapToGrid/>
              <w:spacing w:line="360" w:lineRule="auto"/>
              <w:textAlignment w:val="auto"/>
              <w:rPr>
                <w:color w:val="auto"/>
              </w:rPr>
            </w:pPr>
          </w:p>
          <w:p>
            <w:pPr>
              <w:spacing w:line="360" w:lineRule="auto"/>
              <w:jc w:val="left"/>
              <w:rPr>
                <w:rFonts w:hint="default" w:eastAsia="宋体"/>
                <w:b/>
                <w:color w:val="auto"/>
                <w:szCs w:val="24"/>
                <w:lang w:val="en-US" w:eastAsia="zh-CN"/>
              </w:rPr>
            </w:pPr>
            <w:r>
              <w:rPr>
                <w:rFonts w:hint="eastAsia"/>
                <w:b/>
                <w:color w:val="auto"/>
                <w:szCs w:val="24"/>
              </w:rPr>
              <w:t>2.12.</w:t>
            </w:r>
            <w:r>
              <w:rPr>
                <w:rFonts w:hint="eastAsia"/>
                <w:b/>
                <w:color w:val="auto"/>
                <w:szCs w:val="24"/>
                <w:lang w:val="en-US" w:eastAsia="zh-CN"/>
              </w:rPr>
              <w:t>9以新带老削减量计算</w:t>
            </w:r>
          </w:p>
          <w:p>
            <w:pPr>
              <w:spacing w:line="360" w:lineRule="auto"/>
              <w:ind w:firstLine="480" w:firstLineChars="200"/>
              <w:rPr>
                <w:rFonts w:hint="default"/>
                <w:color w:val="auto"/>
                <w:lang w:val="en-US" w:eastAsia="zh-CN"/>
              </w:rPr>
            </w:pPr>
            <w:r>
              <w:rPr>
                <w:rFonts w:hint="eastAsia"/>
                <w:color w:val="auto"/>
                <w:lang w:val="en-US" w:eastAsia="zh-CN"/>
              </w:rPr>
              <w:t>原有涂装</w:t>
            </w:r>
            <w:r>
              <w:rPr>
                <w:rFonts w:hint="eastAsia" w:eastAsia="宋体"/>
                <w:color w:val="auto"/>
                <w:lang w:val="en-US" w:eastAsia="zh-CN"/>
              </w:rPr>
              <w:t>线待本项目实施后不再实施，因此原有涂装线产生的颗粒物和VOCs均不再产生，</w:t>
            </w:r>
            <w:r>
              <w:rPr>
                <w:rFonts w:hint="eastAsia"/>
                <w:color w:val="auto"/>
                <w:lang w:val="en-US" w:eastAsia="zh-CN"/>
              </w:rPr>
              <w:t>以新带老削减量详见表2-27。</w:t>
            </w:r>
          </w:p>
          <w:p>
            <w:pPr>
              <w:spacing w:line="360" w:lineRule="auto"/>
              <w:jc w:val="center"/>
              <w:rPr>
                <w:rFonts w:hint="default"/>
                <w:b/>
                <w:bCs/>
                <w:color w:val="auto"/>
                <w:lang w:val="en-US"/>
              </w:rPr>
            </w:pPr>
            <w:r>
              <w:rPr>
                <w:b/>
                <w:bCs/>
                <w:color w:val="auto"/>
              </w:rPr>
              <w:t>表</w:t>
            </w:r>
            <w:r>
              <w:rPr>
                <w:rFonts w:hint="eastAsia"/>
                <w:b/>
                <w:bCs/>
                <w:color w:val="auto"/>
              </w:rPr>
              <w:t>2-2</w:t>
            </w:r>
            <w:r>
              <w:rPr>
                <w:rFonts w:hint="eastAsia"/>
                <w:b/>
                <w:bCs/>
                <w:color w:val="auto"/>
                <w:lang w:val="en-US" w:eastAsia="zh-CN"/>
              </w:rPr>
              <w:t>7  以新带老削减量统计表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6"/>
              <w:gridCol w:w="2868"/>
              <w:gridCol w:w="31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56" w:type="dxa"/>
                  <w:vAlign w:val="center"/>
                </w:tcPr>
                <w:p>
                  <w:pPr>
                    <w:pStyle w:val="103"/>
                    <w:spacing w:line="240" w:lineRule="auto"/>
                    <w:ind w:left="-120" w:right="-120" w:firstLine="0"/>
                    <w:jc w:val="center"/>
                    <w:rPr>
                      <w:b/>
                      <w:bCs/>
                      <w:color w:val="auto"/>
                      <w:kern w:val="2"/>
                      <w:sz w:val="21"/>
                      <w:szCs w:val="21"/>
                    </w:rPr>
                  </w:pPr>
                  <w:r>
                    <w:rPr>
                      <w:b/>
                      <w:bCs/>
                      <w:color w:val="auto"/>
                      <w:kern w:val="2"/>
                      <w:sz w:val="21"/>
                      <w:szCs w:val="21"/>
                    </w:rPr>
                    <w:t>类别</w:t>
                  </w:r>
                </w:p>
              </w:tc>
              <w:tc>
                <w:tcPr>
                  <w:tcW w:w="2868"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总量控制指标名称</w:t>
                  </w:r>
                </w:p>
              </w:tc>
              <w:tc>
                <w:tcPr>
                  <w:tcW w:w="3146"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lang w:val="en-US" w:eastAsia="zh-CN"/>
                    </w:rPr>
                    <w:t>以新带老削减</w:t>
                  </w:r>
                  <w:r>
                    <w:rPr>
                      <w:rFonts w:hint="eastAsia"/>
                      <w:b/>
                      <w:bCs/>
                      <w:color w:val="auto"/>
                      <w:kern w:val="2"/>
                      <w:sz w:val="21"/>
                      <w:szCs w:val="21"/>
                    </w:rPr>
                    <w:t>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56" w:type="dxa"/>
                  <w:vMerge w:val="restart"/>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废气</w:t>
                  </w:r>
                </w:p>
              </w:tc>
              <w:tc>
                <w:tcPr>
                  <w:tcW w:w="2868" w:type="dxa"/>
                  <w:vAlign w:val="center"/>
                </w:tcPr>
                <w:p>
                  <w:pPr>
                    <w:pStyle w:val="103"/>
                    <w:spacing w:line="240" w:lineRule="auto"/>
                    <w:ind w:left="-120" w:leftChars="0" w:right="-120" w:rightChars="0" w:firstLine="0" w:firstLineChars="0"/>
                    <w:jc w:val="center"/>
                    <w:rPr>
                      <w:rFonts w:hint="eastAsia" w:eastAsia="宋体"/>
                      <w:bCs/>
                      <w:color w:val="auto"/>
                      <w:kern w:val="2"/>
                      <w:sz w:val="21"/>
                      <w:szCs w:val="21"/>
                      <w:lang w:val="en-US" w:eastAsia="zh-CN"/>
                    </w:rPr>
                  </w:pPr>
                  <w:r>
                    <w:rPr>
                      <w:rFonts w:hint="eastAsia"/>
                      <w:bCs/>
                      <w:color w:val="auto"/>
                      <w:kern w:val="2"/>
                      <w:sz w:val="21"/>
                      <w:szCs w:val="21"/>
                    </w:rPr>
                    <w:t>VOCs</w:t>
                  </w:r>
                </w:p>
              </w:tc>
              <w:tc>
                <w:tcPr>
                  <w:tcW w:w="3146" w:type="dxa"/>
                  <w:vAlign w:val="center"/>
                </w:tcPr>
                <w:p>
                  <w:pPr>
                    <w:pStyle w:val="103"/>
                    <w:spacing w:line="240" w:lineRule="auto"/>
                    <w:ind w:left="-120" w:right="-120" w:firstLine="0"/>
                    <w:jc w:val="center"/>
                    <w:rPr>
                      <w:rFonts w:hint="default" w:eastAsia="宋体"/>
                      <w:bCs/>
                      <w:color w:val="auto"/>
                      <w:kern w:val="2"/>
                      <w:sz w:val="21"/>
                      <w:szCs w:val="21"/>
                      <w:lang w:val="en-US" w:eastAsia="zh-CN"/>
                    </w:rPr>
                  </w:pPr>
                  <w:r>
                    <w:rPr>
                      <w:rFonts w:hint="eastAsia"/>
                      <w:bCs/>
                      <w:color w:val="auto"/>
                      <w:kern w:val="2"/>
                      <w:sz w:val="21"/>
                      <w:szCs w:val="21"/>
                      <w:lang w:val="en-US" w:eastAsia="zh-CN"/>
                    </w:rPr>
                    <w:t>0.714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56" w:type="dxa"/>
                  <w:vMerge w:val="continue"/>
                  <w:vAlign w:val="center"/>
                </w:tcPr>
                <w:p>
                  <w:pPr>
                    <w:pStyle w:val="103"/>
                    <w:spacing w:line="240" w:lineRule="auto"/>
                    <w:ind w:left="-120" w:right="-120" w:firstLine="0"/>
                    <w:jc w:val="center"/>
                    <w:rPr>
                      <w:rFonts w:hint="eastAsia"/>
                      <w:bCs/>
                      <w:color w:val="auto"/>
                      <w:kern w:val="2"/>
                      <w:sz w:val="21"/>
                      <w:szCs w:val="21"/>
                    </w:rPr>
                  </w:pPr>
                </w:p>
              </w:tc>
              <w:tc>
                <w:tcPr>
                  <w:tcW w:w="2868" w:type="dxa"/>
                  <w:vAlign w:val="center"/>
                </w:tcPr>
                <w:p>
                  <w:pPr>
                    <w:pStyle w:val="103"/>
                    <w:spacing w:line="240" w:lineRule="auto"/>
                    <w:ind w:left="-120" w:leftChars="0" w:right="-120" w:rightChars="0" w:firstLine="0" w:firstLineChars="0"/>
                    <w:jc w:val="center"/>
                    <w:rPr>
                      <w:rFonts w:hint="eastAsia"/>
                      <w:bCs/>
                      <w:color w:val="auto"/>
                      <w:kern w:val="2"/>
                      <w:sz w:val="21"/>
                      <w:szCs w:val="21"/>
                      <w:lang w:val="en-US" w:eastAsia="zh-CN"/>
                    </w:rPr>
                  </w:pPr>
                  <w:r>
                    <w:rPr>
                      <w:rFonts w:hint="eastAsia"/>
                      <w:bCs/>
                      <w:color w:val="auto"/>
                      <w:kern w:val="2"/>
                      <w:sz w:val="21"/>
                      <w:szCs w:val="21"/>
                      <w:lang w:val="en-US" w:eastAsia="zh-CN"/>
                    </w:rPr>
                    <w:t>颗粒物</w:t>
                  </w:r>
                </w:p>
              </w:tc>
              <w:tc>
                <w:tcPr>
                  <w:tcW w:w="3146" w:type="dxa"/>
                  <w:vAlign w:val="center"/>
                </w:tcPr>
                <w:p>
                  <w:pPr>
                    <w:pStyle w:val="103"/>
                    <w:spacing w:line="240" w:lineRule="auto"/>
                    <w:ind w:left="-120" w:right="-120" w:firstLine="0"/>
                    <w:jc w:val="center"/>
                    <w:rPr>
                      <w:rFonts w:hint="default"/>
                      <w:bCs/>
                      <w:color w:val="auto"/>
                      <w:kern w:val="2"/>
                      <w:sz w:val="21"/>
                      <w:szCs w:val="21"/>
                      <w:lang w:val="en-US" w:eastAsia="zh-CN"/>
                    </w:rPr>
                  </w:pPr>
                  <w:r>
                    <w:rPr>
                      <w:rFonts w:hint="eastAsia"/>
                      <w:bCs/>
                      <w:color w:val="auto"/>
                      <w:kern w:val="2"/>
                      <w:sz w:val="21"/>
                      <w:szCs w:val="21"/>
                      <w:lang w:val="en-US" w:eastAsia="zh-CN"/>
                    </w:rPr>
                    <w:t>0.676</w:t>
                  </w:r>
                </w:p>
              </w:tc>
            </w:tr>
          </w:tbl>
          <w:p>
            <w:pPr>
              <w:spacing w:line="360" w:lineRule="auto"/>
              <w:rPr>
                <w:rFonts w:hint="eastAsia"/>
                <w:color w:val="FF0000"/>
                <w:lang w:val="en-US" w:eastAsia="zh-CN"/>
              </w:rPr>
            </w:pPr>
          </w:p>
          <w:p>
            <w:pPr>
              <w:pStyle w:val="40"/>
              <w:keepNext w:val="0"/>
              <w:keepLines w:val="0"/>
              <w:pageBreakBefore w:val="0"/>
              <w:widowControl w:val="0"/>
              <w:kinsoku/>
              <w:wordWrap/>
              <w:overflowPunct/>
              <w:topLinePunct w:val="0"/>
              <w:autoSpaceDE/>
              <w:autoSpaceDN/>
              <w:bidi w:val="0"/>
              <w:adjustRightInd/>
              <w:snapToGrid/>
              <w:spacing w:line="120" w:lineRule="exact"/>
              <w:textAlignment w:val="auto"/>
              <w:rPr>
                <w:rFonts w:hint="eastAsia"/>
                <w:lang w:val="en-US" w:eastAsia="zh-CN"/>
              </w:rPr>
            </w:pPr>
          </w:p>
          <w:p>
            <w:pPr>
              <w:spacing w:line="360" w:lineRule="auto"/>
              <w:jc w:val="left"/>
              <w:rPr>
                <w:b/>
                <w:color w:val="auto"/>
                <w:szCs w:val="24"/>
              </w:rPr>
            </w:pPr>
            <w:r>
              <w:rPr>
                <w:rFonts w:hint="eastAsia"/>
                <w:b/>
                <w:color w:val="auto"/>
                <w:szCs w:val="24"/>
              </w:rPr>
              <w:t>2.12.</w:t>
            </w:r>
            <w:r>
              <w:rPr>
                <w:rFonts w:hint="eastAsia"/>
                <w:b/>
                <w:color w:val="auto"/>
                <w:szCs w:val="24"/>
                <w:lang w:val="en-US" w:eastAsia="zh-CN"/>
              </w:rPr>
              <w:t>10</w:t>
            </w:r>
            <w:r>
              <w:rPr>
                <w:rFonts w:hint="eastAsia"/>
                <w:b/>
                <w:color w:val="auto"/>
                <w:szCs w:val="24"/>
              </w:rPr>
              <w:t>现有项目小结</w:t>
            </w:r>
          </w:p>
          <w:p>
            <w:pPr>
              <w:spacing w:line="360" w:lineRule="auto"/>
              <w:ind w:firstLine="480" w:firstLineChars="200"/>
              <w:rPr>
                <w:color w:val="auto"/>
              </w:rPr>
            </w:pPr>
            <w:r>
              <w:rPr>
                <w:rFonts w:hint="eastAsia"/>
                <w:color w:val="auto"/>
              </w:rPr>
              <w:t>根据前文所述，现有项目产生的污染物均能做到达标排放，对周围环境影响不大。现有项目在运营过程中还需要注重环境管理，具体存在问题见表2-</w:t>
            </w:r>
            <w:r>
              <w:rPr>
                <w:rFonts w:hint="eastAsia"/>
                <w:color w:val="auto"/>
                <w:lang w:val="en-US" w:eastAsia="zh-CN"/>
              </w:rPr>
              <w:t>28</w:t>
            </w:r>
            <w:r>
              <w:rPr>
                <w:rFonts w:hint="eastAsia"/>
                <w:color w:val="auto"/>
              </w:rPr>
              <w:t>。</w:t>
            </w:r>
          </w:p>
          <w:p>
            <w:pPr>
              <w:spacing w:line="360" w:lineRule="auto"/>
              <w:jc w:val="center"/>
              <w:rPr>
                <w:b/>
                <w:bCs/>
                <w:color w:val="auto"/>
              </w:rPr>
            </w:pPr>
            <w:r>
              <w:rPr>
                <w:b/>
                <w:bCs/>
                <w:color w:val="auto"/>
              </w:rPr>
              <w:t>表</w:t>
            </w:r>
            <w:r>
              <w:rPr>
                <w:rFonts w:hint="eastAsia"/>
                <w:b/>
                <w:bCs/>
                <w:color w:val="auto"/>
              </w:rPr>
              <w:t>2</w:t>
            </w:r>
            <w:r>
              <w:rPr>
                <w:b/>
                <w:bCs/>
                <w:color w:val="auto"/>
              </w:rPr>
              <w:t>-</w:t>
            </w:r>
            <w:r>
              <w:rPr>
                <w:rFonts w:hint="eastAsia"/>
                <w:b/>
                <w:bCs/>
                <w:color w:val="auto"/>
                <w:lang w:val="en-US" w:eastAsia="zh-CN"/>
              </w:rPr>
              <w:t xml:space="preserve">28  </w:t>
            </w:r>
            <w:r>
              <w:rPr>
                <w:b/>
                <w:bCs/>
                <w:color w:val="auto"/>
              </w:rPr>
              <w:t>现有项目</w:t>
            </w:r>
            <w:r>
              <w:rPr>
                <w:rFonts w:hint="eastAsia"/>
                <w:b/>
                <w:bCs/>
                <w:color w:val="auto"/>
              </w:rPr>
              <w:t>存在的主要问题及整改说明</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582"/>
              <w:gridCol w:w="4104"/>
              <w:gridCol w:w="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690"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序号</w:t>
                  </w:r>
                </w:p>
              </w:tc>
              <w:tc>
                <w:tcPr>
                  <w:tcW w:w="1582"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存在的问题</w:t>
                  </w:r>
                </w:p>
              </w:tc>
              <w:tc>
                <w:tcPr>
                  <w:tcW w:w="4104"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整改说明</w:t>
                  </w:r>
                </w:p>
              </w:tc>
              <w:tc>
                <w:tcPr>
                  <w:tcW w:w="995" w:type="dxa"/>
                  <w:vAlign w:val="center"/>
                </w:tcPr>
                <w:p>
                  <w:pPr>
                    <w:pStyle w:val="103"/>
                    <w:spacing w:line="240" w:lineRule="auto"/>
                    <w:ind w:left="-120" w:right="-120" w:firstLine="0"/>
                    <w:jc w:val="center"/>
                    <w:rPr>
                      <w:b/>
                      <w:bCs/>
                      <w:color w:val="auto"/>
                      <w:kern w:val="2"/>
                      <w:sz w:val="21"/>
                      <w:szCs w:val="21"/>
                    </w:rPr>
                  </w:pPr>
                  <w:r>
                    <w:rPr>
                      <w:rFonts w:hint="eastAsia"/>
                      <w:b/>
                      <w:bCs/>
                      <w:color w:val="auto"/>
                      <w:kern w:val="2"/>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atLeast"/>
                <w:jc w:val="center"/>
              </w:trPr>
              <w:tc>
                <w:tcPr>
                  <w:tcW w:w="690" w:type="dxa"/>
                  <w:vAlign w:val="center"/>
                </w:tcPr>
                <w:p>
                  <w:pPr>
                    <w:pStyle w:val="103"/>
                    <w:spacing w:line="240" w:lineRule="auto"/>
                    <w:ind w:left="-120" w:leftChars="0" w:right="-120" w:rightChars="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1</w:t>
                  </w:r>
                </w:p>
              </w:tc>
              <w:tc>
                <w:tcPr>
                  <w:tcW w:w="1582" w:type="dxa"/>
                  <w:vAlign w:val="center"/>
                </w:tcPr>
                <w:p>
                  <w:pPr>
                    <w:pStyle w:val="103"/>
                    <w:spacing w:line="240" w:lineRule="auto"/>
                    <w:ind w:left="-120" w:leftChars="0" w:right="-120" w:rightChars="0" w:firstLine="0" w:firstLineChars="0"/>
                    <w:jc w:val="center"/>
                    <w:rPr>
                      <w:rFonts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台账记录不全</w:t>
                  </w:r>
                </w:p>
              </w:tc>
              <w:tc>
                <w:tcPr>
                  <w:tcW w:w="4104" w:type="dxa"/>
                  <w:vAlign w:val="center"/>
                </w:tcPr>
                <w:p>
                  <w:pPr>
                    <w:rPr>
                      <w:rFonts w:ascii="Times New Roman" w:hAnsi="宋体" w:eastAsia="宋体" w:cs="Times New Roman"/>
                      <w:color w:val="auto"/>
                      <w:kern w:val="2"/>
                      <w:sz w:val="21"/>
                      <w:szCs w:val="21"/>
                      <w:lang w:val="en-US" w:eastAsia="zh-CN" w:bidi="ar-SA"/>
                    </w:rPr>
                  </w:pPr>
                  <w:r>
                    <w:rPr>
                      <w:rFonts w:hint="eastAsia" w:hAnsi="宋体"/>
                      <w:color w:val="auto"/>
                      <w:sz w:val="21"/>
                      <w:szCs w:val="21"/>
                    </w:rPr>
                    <w:t>设置专门的环境管理机构，建立各项环保管理制度和操作规程、相关记录档案等，并对职工定期进行环保教育和培训。</w:t>
                  </w:r>
                </w:p>
              </w:tc>
              <w:tc>
                <w:tcPr>
                  <w:tcW w:w="995" w:type="dxa"/>
                  <w:vMerge w:val="restart"/>
                  <w:vAlign w:val="center"/>
                </w:tcPr>
                <w:p>
                  <w:pPr>
                    <w:pStyle w:val="103"/>
                    <w:spacing w:line="240" w:lineRule="auto"/>
                    <w:ind w:left="-120" w:right="-120" w:firstLine="0"/>
                    <w:jc w:val="center"/>
                    <w:rPr>
                      <w:bCs/>
                      <w:color w:val="auto"/>
                      <w:kern w:val="2"/>
                      <w:sz w:val="21"/>
                      <w:szCs w:val="21"/>
                    </w:rPr>
                  </w:pPr>
                  <w:r>
                    <w:rPr>
                      <w:rFonts w:hint="eastAsia"/>
                      <w:bCs/>
                      <w:color w:val="auto"/>
                      <w:kern w:val="2"/>
                      <w:sz w:val="21"/>
                      <w:szCs w:val="21"/>
                    </w:rPr>
                    <w:t>本项目投产前现有项目需完成整改。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0" w:hRule="atLeast"/>
                <w:jc w:val="center"/>
              </w:trPr>
              <w:tc>
                <w:tcPr>
                  <w:tcW w:w="690" w:type="dxa"/>
                  <w:vAlign w:val="center"/>
                </w:tcPr>
                <w:p>
                  <w:pPr>
                    <w:pStyle w:val="103"/>
                    <w:spacing w:line="240" w:lineRule="auto"/>
                    <w:ind w:left="-120" w:right="-120" w:firstLine="0"/>
                    <w:jc w:val="center"/>
                    <w:rPr>
                      <w:rFonts w:hint="eastAsia" w:eastAsia="宋体"/>
                      <w:bCs/>
                      <w:color w:val="auto"/>
                      <w:kern w:val="2"/>
                      <w:sz w:val="21"/>
                      <w:szCs w:val="21"/>
                      <w:lang w:val="en-US" w:eastAsia="zh-CN"/>
                    </w:rPr>
                  </w:pPr>
                  <w:r>
                    <w:rPr>
                      <w:rFonts w:hint="eastAsia"/>
                      <w:bCs/>
                      <w:color w:val="auto"/>
                      <w:kern w:val="2"/>
                      <w:sz w:val="21"/>
                      <w:szCs w:val="21"/>
                      <w:lang w:val="en-US" w:eastAsia="zh-CN"/>
                    </w:rPr>
                    <w:t>2</w:t>
                  </w:r>
                </w:p>
              </w:tc>
              <w:tc>
                <w:tcPr>
                  <w:tcW w:w="1582" w:type="dxa"/>
                  <w:vAlign w:val="center"/>
                </w:tcPr>
                <w:p>
                  <w:pPr>
                    <w:rPr>
                      <w:rFonts w:hint="default" w:hAnsi="宋体" w:eastAsia="宋体"/>
                      <w:color w:val="auto"/>
                      <w:sz w:val="21"/>
                      <w:szCs w:val="21"/>
                      <w:lang w:val="en-US" w:eastAsia="zh-CN"/>
                    </w:rPr>
                  </w:pPr>
                  <w:r>
                    <w:rPr>
                      <w:rFonts w:hint="eastAsia" w:hAnsi="宋体" w:eastAsia="宋体"/>
                      <w:color w:val="auto"/>
                      <w:sz w:val="21"/>
                      <w:szCs w:val="21"/>
                      <w:lang w:val="en-US" w:eastAsia="zh-CN"/>
                    </w:rPr>
                    <w:t>原料及固废堆放场所不规范</w:t>
                  </w:r>
                </w:p>
              </w:tc>
              <w:tc>
                <w:tcPr>
                  <w:tcW w:w="4104" w:type="dxa"/>
                  <w:vAlign w:val="center"/>
                </w:tcPr>
                <w:p>
                  <w:pPr>
                    <w:rPr>
                      <w:rFonts w:hint="default" w:hAnsi="宋体" w:eastAsia="宋体"/>
                      <w:color w:val="auto"/>
                      <w:sz w:val="21"/>
                      <w:szCs w:val="21"/>
                      <w:lang w:val="en-US" w:eastAsia="zh-CN"/>
                    </w:rPr>
                  </w:pPr>
                  <w:r>
                    <w:rPr>
                      <w:rFonts w:hint="eastAsia" w:hAnsi="宋体" w:eastAsia="宋体"/>
                      <w:color w:val="auto"/>
                      <w:sz w:val="21"/>
                      <w:szCs w:val="21"/>
                      <w:lang w:val="en-US" w:eastAsia="zh-CN"/>
                    </w:rPr>
                    <w:t>合理设置规范的堆放场所，加强管理制度，设专人管理物料堆放工作</w:t>
                  </w:r>
                </w:p>
              </w:tc>
              <w:tc>
                <w:tcPr>
                  <w:tcW w:w="995" w:type="dxa"/>
                  <w:vMerge w:val="continue"/>
                  <w:vAlign w:val="center"/>
                </w:tcPr>
                <w:p>
                  <w:pPr>
                    <w:pStyle w:val="103"/>
                    <w:spacing w:line="240" w:lineRule="auto"/>
                    <w:ind w:left="-120" w:right="-120" w:firstLine="0"/>
                    <w:jc w:val="center"/>
                    <w:rPr>
                      <w:bCs/>
                      <w:color w:val="auto"/>
                      <w:kern w:val="2"/>
                      <w:sz w:val="21"/>
                      <w:szCs w:val="21"/>
                    </w:rPr>
                  </w:pPr>
                </w:p>
              </w:tc>
            </w:tr>
          </w:tbl>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rPr>
                <w:rFonts w:hint="default" w:ascii="Times New Roman" w:hAnsi="Times New Roman" w:cs="Times New Roman"/>
                <w:color w:val="FF0000"/>
              </w:rPr>
            </w:pPr>
          </w:p>
          <w:p>
            <w:pPr>
              <w:spacing w:line="360" w:lineRule="auto"/>
              <w:jc w:val="left"/>
              <w:rPr>
                <w:rFonts w:hint="default" w:ascii="Times New Roman" w:hAnsi="Times New Roman" w:cs="Times New Roman"/>
                <w:color w:val="FF0000"/>
              </w:rPr>
            </w:pPr>
          </w:p>
          <w:p>
            <w:pPr>
              <w:pStyle w:val="40"/>
              <w:spacing w:line="240" w:lineRule="auto"/>
              <w:rPr>
                <w:rFonts w:hint="default" w:ascii="Times New Roman" w:hAnsi="Times New Roman" w:cs="Times New Roman"/>
                <w:color w:val="FF0000"/>
                <w:sz w:val="10"/>
                <w:szCs w:val="10"/>
              </w:rPr>
            </w:pPr>
          </w:p>
        </w:tc>
      </w:tr>
    </w:tbl>
    <w:p>
      <w:pPr>
        <w:rPr>
          <w:rFonts w:hint="default" w:ascii="Times New Roman" w:hAnsi="Times New Roman" w:cs="Times New Roman"/>
          <w:color w:val="FF0000"/>
        </w:rPr>
        <w:sectPr>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p>
    <w:p>
      <w:pPr>
        <w:pStyle w:val="4"/>
        <w:rPr>
          <w:rFonts w:hint="default" w:ascii="Times New Roman" w:hAnsi="Times New Roman" w:eastAsia="宋体" w:cs="Times New Roman"/>
          <w:b/>
          <w:color w:val="auto"/>
        </w:rPr>
      </w:pPr>
      <w:bookmarkStart w:id="15" w:name="_Toc99693254"/>
      <w:bookmarkStart w:id="16" w:name="_Toc65835259"/>
      <w:bookmarkStart w:id="17" w:name="_Toc65834463"/>
      <w:r>
        <w:rPr>
          <w:rFonts w:hint="default" w:ascii="Times New Roman" w:hAnsi="Times New Roman" w:eastAsia="宋体" w:cs="Times New Roman"/>
          <w:b/>
          <w:color w:val="auto"/>
        </w:rPr>
        <w:t>三、区域环境质量现状、环境保护目标及评价标准</w:t>
      </w:r>
      <w:bookmarkEnd w:id="15"/>
      <w:bookmarkEnd w:id="16"/>
      <w:bookmarkEnd w:id="17"/>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
        <w:gridCol w:w="8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1" w:hRule="atLeast"/>
        </w:trPr>
        <w:tc>
          <w:tcPr>
            <w:tcW w:w="488"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区域环境质量现状</w:t>
            </w:r>
          </w:p>
        </w:tc>
        <w:tc>
          <w:tcPr>
            <w:tcW w:w="8034" w:type="dxa"/>
            <w:vAlign w:val="center"/>
          </w:tcPr>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3.1区域环境质量现状</w:t>
            </w: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3.1.1大气环境质量现状</w:t>
            </w:r>
          </w:p>
          <w:p>
            <w:pPr>
              <w:spacing w:line="360" w:lineRule="auto"/>
              <w:ind w:firstLine="480" w:firstLineChars="200"/>
              <w:rPr>
                <w:color w:val="auto"/>
                <w:szCs w:val="24"/>
              </w:rPr>
            </w:pPr>
            <w:r>
              <w:rPr>
                <w:rFonts w:hint="eastAsia" w:ascii="宋体" w:hAnsi="宋体"/>
                <w:color w:val="auto"/>
                <w:szCs w:val="24"/>
              </w:rPr>
              <w:t>（1）</w:t>
            </w:r>
            <w:r>
              <w:rPr>
                <w:color w:val="auto"/>
                <w:szCs w:val="24"/>
              </w:rPr>
              <w:t>基本污染因子</w:t>
            </w:r>
          </w:p>
          <w:p>
            <w:pPr>
              <w:spacing w:line="360" w:lineRule="auto"/>
              <w:ind w:firstLine="480" w:firstLineChars="200"/>
              <w:rPr>
                <w:color w:val="auto"/>
                <w:szCs w:val="24"/>
              </w:rPr>
            </w:pPr>
            <w:r>
              <w:rPr>
                <w:rFonts w:hint="eastAsia"/>
                <w:color w:val="auto"/>
                <w:szCs w:val="24"/>
              </w:rPr>
              <w:t>根据《湖州市环境空气质量功能区划》，本项目所在区域属于环境空气质量二类功能区。德清县</w:t>
            </w:r>
            <w:r>
              <w:rPr>
                <w:color w:val="auto"/>
                <w:szCs w:val="24"/>
              </w:rPr>
              <w:t>202</w:t>
            </w:r>
            <w:r>
              <w:rPr>
                <w:rFonts w:hint="eastAsia"/>
                <w:color w:val="auto"/>
                <w:szCs w:val="24"/>
                <w:lang w:val="en-US" w:eastAsia="zh-CN"/>
              </w:rPr>
              <w:t>2</w:t>
            </w:r>
            <w:r>
              <w:rPr>
                <w:rFonts w:hint="eastAsia"/>
                <w:color w:val="auto"/>
                <w:szCs w:val="24"/>
              </w:rPr>
              <w:t>年度环境空气常规污染因子的全年监测数据见表3-1</w:t>
            </w:r>
            <w:r>
              <w:rPr>
                <w:color w:val="auto"/>
                <w:szCs w:val="24"/>
              </w:rPr>
              <w:t>。</w:t>
            </w:r>
          </w:p>
          <w:p>
            <w:pPr>
              <w:spacing w:line="460" w:lineRule="exact"/>
              <w:jc w:val="center"/>
              <w:rPr>
                <w:b/>
                <w:bCs/>
                <w:color w:val="auto"/>
                <w:szCs w:val="24"/>
              </w:rPr>
            </w:pPr>
            <w:r>
              <w:rPr>
                <w:b/>
                <w:bCs/>
                <w:color w:val="auto"/>
                <w:szCs w:val="24"/>
              </w:rPr>
              <w:t>表3-1  区域空气质量现状评价表</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5"/>
              <w:gridCol w:w="2270"/>
              <w:gridCol w:w="1153"/>
              <w:gridCol w:w="1284"/>
              <w:gridCol w:w="1142"/>
              <w:gridCol w:w="9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Align w:val="center"/>
                </w:tcPr>
                <w:p>
                  <w:pPr>
                    <w:pStyle w:val="110"/>
                    <w:spacing w:line="240" w:lineRule="auto"/>
                    <w:ind w:firstLine="0"/>
                    <w:jc w:val="center"/>
                    <w:rPr>
                      <w:rFonts w:hint="default" w:ascii="Times New Roman" w:hAnsi="Times New Roman" w:cs="Times New Roman"/>
                      <w:b/>
                      <w:color w:val="auto"/>
                      <w:kern w:val="0"/>
                      <w:sz w:val="21"/>
                      <w:szCs w:val="21"/>
                    </w:rPr>
                  </w:pPr>
                  <w:r>
                    <w:rPr>
                      <w:rFonts w:hint="default" w:ascii="Times New Roman" w:hAnsi="Times New Roman" w:cs="Times New Roman"/>
                      <w:b/>
                      <w:color w:val="auto"/>
                      <w:kern w:val="0"/>
                      <w:sz w:val="21"/>
                      <w:szCs w:val="21"/>
                    </w:rPr>
                    <w:t>污染物</w:t>
                  </w:r>
                </w:p>
              </w:tc>
              <w:tc>
                <w:tcPr>
                  <w:tcW w:w="2320" w:type="dxa"/>
                  <w:vAlign w:val="center"/>
                </w:tcPr>
                <w:p>
                  <w:pPr>
                    <w:pStyle w:val="110"/>
                    <w:spacing w:line="240" w:lineRule="auto"/>
                    <w:ind w:firstLine="0"/>
                    <w:jc w:val="center"/>
                    <w:rPr>
                      <w:rFonts w:hint="default" w:ascii="Times New Roman" w:hAnsi="Times New Roman" w:cs="Times New Roman"/>
                      <w:b/>
                      <w:color w:val="auto"/>
                      <w:kern w:val="0"/>
                      <w:sz w:val="21"/>
                      <w:szCs w:val="21"/>
                    </w:rPr>
                  </w:pPr>
                  <w:r>
                    <w:rPr>
                      <w:rFonts w:hint="default" w:ascii="Times New Roman" w:hAnsi="Times New Roman" w:cs="Times New Roman"/>
                      <w:b/>
                      <w:color w:val="auto"/>
                      <w:kern w:val="0"/>
                      <w:sz w:val="21"/>
                      <w:szCs w:val="21"/>
                    </w:rPr>
                    <w:t>年评价指标</w:t>
                  </w:r>
                </w:p>
              </w:tc>
              <w:tc>
                <w:tcPr>
                  <w:tcW w:w="1176" w:type="dxa"/>
                  <w:vAlign w:val="center"/>
                </w:tcPr>
                <w:p>
                  <w:pPr>
                    <w:pStyle w:val="110"/>
                    <w:spacing w:line="240" w:lineRule="auto"/>
                    <w:ind w:firstLine="0"/>
                    <w:jc w:val="center"/>
                    <w:rPr>
                      <w:rFonts w:hint="default" w:ascii="Times New Roman" w:hAnsi="Times New Roman" w:cs="Times New Roman"/>
                      <w:b/>
                      <w:color w:val="auto"/>
                      <w:kern w:val="0"/>
                      <w:sz w:val="21"/>
                      <w:szCs w:val="21"/>
                    </w:rPr>
                  </w:pPr>
                  <w:r>
                    <w:rPr>
                      <w:rFonts w:hint="default" w:ascii="Times New Roman" w:hAnsi="Times New Roman" w:cs="Times New Roman"/>
                      <w:b/>
                      <w:color w:val="auto"/>
                      <w:kern w:val="0"/>
                      <w:sz w:val="21"/>
                      <w:szCs w:val="21"/>
                    </w:rPr>
                    <w:t>现状浓度（μg</w:t>
                  </w:r>
                  <w:r>
                    <w:rPr>
                      <w:rFonts w:hint="default" w:ascii="Times New Roman" w:hAnsi="Times New Roman" w:cs="Times New Roman"/>
                      <w:b/>
                      <w:color w:val="auto"/>
                      <w:sz w:val="21"/>
                      <w:szCs w:val="21"/>
                    </w:rPr>
                    <w:t>/m</w:t>
                  </w:r>
                  <w:r>
                    <w:rPr>
                      <w:rFonts w:hint="default" w:ascii="Times New Roman" w:hAnsi="Times New Roman" w:cs="Times New Roman"/>
                      <w:b/>
                      <w:color w:val="auto"/>
                      <w:sz w:val="21"/>
                      <w:szCs w:val="21"/>
                      <w:vertAlign w:val="superscript"/>
                    </w:rPr>
                    <w:t>3</w:t>
                  </w:r>
                  <w:r>
                    <w:rPr>
                      <w:rFonts w:hint="default" w:ascii="Times New Roman" w:hAnsi="Times New Roman" w:cs="Times New Roman"/>
                      <w:b/>
                      <w:color w:val="auto"/>
                      <w:kern w:val="0"/>
                      <w:sz w:val="21"/>
                      <w:szCs w:val="21"/>
                    </w:rPr>
                    <w:t>）</w:t>
                  </w:r>
                </w:p>
              </w:tc>
              <w:tc>
                <w:tcPr>
                  <w:tcW w:w="1310" w:type="dxa"/>
                  <w:vAlign w:val="center"/>
                </w:tcPr>
                <w:p>
                  <w:pPr>
                    <w:pStyle w:val="110"/>
                    <w:spacing w:line="240" w:lineRule="auto"/>
                    <w:ind w:firstLine="0"/>
                    <w:jc w:val="center"/>
                    <w:rPr>
                      <w:rFonts w:hint="default" w:ascii="Times New Roman" w:hAnsi="Times New Roman" w:cs="Times New Roman"/>
                      <w:b/>
                      <w:color w:val="auto"/>
                      <w:kern w:val="0"/>
                      <w:sz w:val="21"/>
                      <w:szCs w:val="21"/>
                    </w:rPr>
                  </w:pPr>
                  <w:r>
                    <w:rPr>
                      <w:rFonts w:hint="default" w:ascii="Times New Roman" w:hAnsi="Times New Roman" w:cs="Times New Roman"/>
                      <w:b/>
                      <w:color w:val="auto"/>
                      <w:kern w:val="0"/>
                      <w:sz w:val="21"/>
                      <w:szCs w:val="21"/>
                    </w:rPr>
                    <w:t>标准值（μg</w:t>
                  </w:r>
                  <w:r>
                    <w:rPr>
                      <w:rFonts w:hint="default" w:ascii="Times New Roman" w:hAnsi="Times New Roman" w:cs="Times New Roman"/>
                      <w:b/>
                      <w:color w:val="auto"/>
                      <w:sz w:val="21"/>
                      <w:szCs w:val="21"/>
                    </w:rPr>
                    <w:t>/m</w:t>
                  </w:r>
                  <w:r>
                    <w:rPr>
                      <w:rFonts w:hint="default" w:ascii="Times New Roman" w:hAnsi="Times New Roman" w:cs="Times New Roman"/>
                      <w:b/>
                      <w:color w:val="auto"/>
                      <w:sz w:val="21"/>
                      <w:szCs w:val="21"/>
                      <w:vertAlign w:val="superscript"/>
                    </w:rPr>
                    <w:t>3</w:t>
                  </w:r>
                  <w:r>
                    <w:rPr>
                      <w:rFonts w:hint="default" w:ascii="Times New Roman" w:hAnsi="Times New Roman" w:cs="Times New Roman"/>
                      <w:b/>
                      <w:color w:val="auto"/>
                      <w:kern w:val="0"/>
                      <w:sz w:val="21"/>
                      <w:szCs w:val="21"/>
                    </w:rPr>
                    <w:t>）</w:t>
                  </w:r>
                </w:p>
              </w:tc>
              <w:tc>
                <w:tcPr>
                  <w:tcW w:w="1165" w:type="dxa"/>
                  <w:vAlign w:val="center"/>
                </w:tcPr>
                <w:p>
                  <w:pPr>
                    <w:pStyle w:val="110"/>
                    <w:spacing w:line="240" w:lineRule="auto"/>
                    <w:ind w:firstLine="0"/>
                    <w:jc w:val="center"/>
                    <w:rPr>
                      <w:rFonts w:hint="default" w:ascii="Times New Roman" w:hAnsi="Times New Roman" w:cs="Times New Roman"/>
                      <w:b/>
                      <w:color w:val="auto"/>
                      <w:kern w:val="0"/>
                      <w:sz w:val="21"/>
                      <w:szCs w:val="21"/>
                    </w:rPr>
                  </w:pPr>
                  <w:r>
                    <w:rPr>
                      <w:rFonts w:hint="default" w:ascii="Times New Roman" w:hAnsi="Times New Roman" w:cs="Times New Roman"/>
                      <w:b/>
                      <w:color w:val="auto"/>
                      <w:kern w:val="0"/>
                      <w:sz w:val="21"/>
                      <w:szCs w:val="21"/>
                    </w:rPr>
                    <w:t>占标率（%）</w:t>
                  </w:r>
                </w:p>
              </w:tc>
              <w:tc>
                <w:tcPr>
                  <w:tcW w:w="966" w:type="dxa"/>
                  <w:vAlign w:val="center"/>
                </w:tcPr>
                <w:p>
                  <w:pPr>
                    <w:pStyle w:val="110"/>
                    <w:spacing w:line="240" w:lineRule="auto"/>
                    <w:ind w:firstLine="0"/>
                    <w:jc w:val="center"/>
                    <w:rPr>
                      <w:rFonts w:hint="default" w:ascii="Times New Roman" w:hAnsi="Times New Roman" w:cs="Times New Roman"/>
                      <w:b/>
                      <w:color w:val="auto"/>
                      <w:kern w:val="0"/>
                      <w:sz w:val="21"/>
                      <w:szCs w:val="21"/>
                    </w:rPr>
                  </w:pPr>
                  <w:r>
                    <w:rPr>
                      <w:rFonts w:hint="default" w:ascii="Times New Roman" w:hAnsi="Times New Roman" w:cs="Times New Roman"/>
                      <w:b/>
                      <w:color w:val="auto"/>
                      <w:kern w:val="0"/>
                      <w:sz w:val="21"/>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restart"/>
                  <w:vAlign w:val="center"/>
                </w:tcPr>
                <w:p>
                  <w:pPr>
                    <w:pStyle w:val="110"/>
                    <w:spacing w:line="240" w:lineRule="auto"/>
                    <w:ind w:firstLine="0"/>
                    <w:jc w:val="center"/>
                    <w:rPr>
                      <w:rFonts w:hint="default" w:ascii="Times New Roman" w:hAnsi="Times New Roman" w:cs="Times New Roman"/>
                      <w:color w:val="auto"/>
                      <w:kern w:val="0"/>
                      <w:sz w:val="21"/>
                      <w:szCs w:val="21"/>
                      <w:vertAlign w:val="subscript"/>
                    </w:rPr>
                  </w:pPr>
                  <w:r>
                    <w:rPr>
                      <w:rFonts w:hint="default" w:ascii="Times New Roman" w:hAnsi="Times New Roman" w:cs="Times New Roman"/>
                      <w:color w:val="auto"/>
                      <w:kern w:val="0"/>
                      <w:sz w:val="21"/>
                      <w:szCs w:val="21"/>
                    </w:rPr>
                    <w:t>SO</w:t>
                  </w:r>
                  <w:r>
                    <w:rPr>
                      <w:rFonts w:hint="default" w:ascii="Times New Roman" w:hAnsi="Times New Roman" w:cs="Times New Roman"/>
                      <w:color w:val="auto"/>
                      <w:kern w:val="0"/>
                      <w:sz w:val="21"/>
                      <w:szCs w:val="21"/>
                      <w:vertAlign w:val="subscript"/>
                    </w:rPr>
                    <w:t>2</w:t>
                  </w: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24h平均第98百分位数</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8</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150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5.3</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continue"/>
                  <w:vAlign w:val="center"/>
                </w:tcPr>
                <w:p>
                  <w:pPr>
                    <w:pStyle w:val="110"/>
                    <w:spacing w:line="240" w:lineRule="auto"/>
                    <w:ind w:firstLine="0"/>
                    <w:jc w:val="center"/>
                    <w:rPr>
                      <w:rFonts w:hint="default" w:ascii="Times New Roman" w:hAnsi="Times New Roman" w:cs="Times New Roman"/>
                      <w:color w:val="auto"/>
                      <w:kern w:val="0"/>
                      <w:sz w:val="21"/>
                      <w:szCs w:val="21"/>
                    </w:rPr>
                  </w:pP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年平均质量浓度</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5</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8.3</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restart"/>
                  <w:vAlign w:val="center"/>
                </w:tcPr>
                <w:p>
                  <w:pPr>
                    <w:pStyle w:val="110"/>
                    <w:spacing w:line="240" w:lineRule="auto"/>
                    <w:ind w:firstLine="0"/>
                    <w:jc w:val="center"/>
                    <w:rPr>
                      <w:rFonts w:hint="default" w:ascii="Times New Roman" w:hAnsi="Times New Roman" w:cs="Times New Roman"/>
                      <w:color w:val="auto"/>
                      <w:kern w:val="0"/>
                      <w:sz w:val="21"/>
                      <w:szCs w:val="21"/>
                      <w:vertAlign w:val="subscript"/>
                    </w:rPr>
                  </w:pPr>
                  <w:r>
                    <w:rPr>
                      <w:rFonts w:hint="default" w:ascii="Times New Roman" w:hAnsi="Times New Roman" w:cs="Times New Roman"/>
                      <w:color w:val="auto"/>
                      <w:kern w:val="0"/>
                      <w:sz w:val="21"/>
                      <w:szCs w:val="21"/>
                    </w:rPr>
                    <w:t>NO</w:t>
                  </w:r>
                  <w:r>
                    <w:rPr>
                      <w:rFonts w:hint="default" w:ascii="Times New Roman" w:hAnsi="Times New Roman" w:cs="Times New Roman"/>
                      <w:color w:val="auto"/>
                      <w:kern w:val="0"/>
                      <w:sz w:val="21"/>
                      <w:szCs w:val="21"/>
                      <w:vertAlign w:val="subscript"/>
                    </w:rPr>
                    <w:t>2</w:t>
                  </w: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24h平均第98百分位数</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50</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80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62.5</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continue"/>
                  <w:vAlign w:val="center"/>
                </w:tcPr>
                <w:p>
                  <w:pPr>
                    <w:pStyle w:val="110"/>
                    <w:spacing w:line="240" w:lineRule="auto"/>
                    <w:ind w:firstLine="0"/>
                    <w:jc w:val="center"/>
                    <w:rPr>
                      <w:rFonts w:hint="default" w:ascii="Times New Roman" w:hAnsi="Times New Roman" w:cs="Times New Roman"/>
                      <w:color w:val="auto"/>
                      <w:kern w:val="0"/>
                      <w:sz w:val="21"/>
                      <w:szCs w:val="21"/>
                    </w:rPr>
                  </w:pP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年平均质量浓度</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23</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40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57.5</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restart"/>
                  <w:vAlign w:val="center"/>
                </w:tcPr>
                <w:p>
                  <w:pPr>
                    <w:pStyle w:val="110"/>
                    <w:spacing w:line="240" w:lineRule="auto"/>
                    <w:ind w:firstLine="0"/>
                    <w:jc w:val="center"/>
                    <w:rPr>
                      <w:rFonts w:hint="default" w:ascii="Times New Roman" w:hAnsi="Times New Roman" w:cs="Times New Roman"/>
                      <w:color w:val="auto"/>
                      <w:kern w:val="0"/>
                      <w:sz w:val="21"/>
                      <w:szCs w:val="21"/>
                      <w:vertAlign w:val="subscript"/>
                    </w:rPr>
                  </w:pPr>
                  <w:r>
                    <w:rPr>
                      <w:rFonts w:hint="default" w:ascii="Times New Roman" w:hAnsi="Times New Roman" w:cs="Times New Roman"/>
                      <w:color w:val="auto"/>
                      <w:kern w:val="0"/>
                      <w:sz w:val="21"/>
                      <w:szCs w:val="21"/>
                    </w:rPr>
                    <w:t>PM</w:t>
                  </w:r>
                  <w:r>
                    <w:rPr>
                      <w:rFonts w:hint="default" w:ascii="Times New Roman" w:hAnsi="Times New Roman" w:cs="Times New Roman"/>
                      <w:color w:val="auto"/>
                      <w:kern w:val="0"/>
                      <w:sz w:val="21"/>
                      <w:szCs w:val="21"/>
                      <w:vertAlign w:val="subscript"/>
                    </w:rPr>
                    <w:t>10</w:t>
                  </w: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24h平均第95百分位数</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104</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150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69.3</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continue"/>
                  <w:vAlign w:val="center"/>
                </w:tcPr>
                <w:p>
                  <w:pPr>
                    <w:pStyle w:val="110"/>
                    <w:spacing w:line="240" w:lineRule="auto"/>
                    <w:ind w:firstLine="0"/>
                    <w:jc w:val="center"/>
                    <w:rPr>
                      <w:rFonts w:hint="default" w:ascii="Times New Roman" w:hAnsi="Times New Roman" w:cs="Times New Roman"/>
                      <w:color w:val="auto"/>
                      <w:kern w:val="0"/>
                      <w:sz w:val="21"/>
                      <w:szCs w:val="21"/>
                    </w:rPr>
                  </w:pP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年平均质量浓度</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49</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70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70</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restart"/>
                  <w:vAlign w:val="center"/>
                </w:tcPr>
                <w:p>
                  <w:pPr>
                    <w:pStyle w:val="110"/>
                    <w:spacing w:line="240" w:lineRule="auto"/>
                    <w:ind w:firstLine="0"/>
                    <w:jc w:val="center"/>
                    <w:rPr>
                      <w:rFonts w:hint="default" w:ascii="Times New Roman" w:hAnsi="Times New Roman" w:cs="Times New Roman"/>
                      <w:color w:val="auto"/>
                      <w:kern w:val="0"/>
                      <w:sz w:val="21"/>
                      <w:szCs w:val="21"/>
                      <w:vertAlign w:val="subscript"/>
                    </w:rPr>
                  </w:pPr>
                  <w:r>
                    <w:rPr>
                      <w:rFonts w:hint="default" w:ascii="Times New Roman" w:hAnsi="Times New Roman" w:cs="Times New Roman"/>
                      <w:color w:val="auto"/>
                      <w:kern w:val="0"/>
                      <w:sz w:val="21"/>
                      <w:szCs w:val="21"/>
                    </w:rPr>
                    <w:t>PM</w:t>
                  </w:r>
                  <w:r>
                    <w:rPr>
                      <w:rFonts w:hint="default" w:ascii="Times New Roman" w:hAnsi="Times New Roman" w:cs="Times New Roman"/>
                      <w:color w:val="auto"/>
                      <w:kern w:val="0"/>
                      <w:sz w:val="21"/>
                      <w:szCs w:val="21"/>
                      <w:vertAlign w:val="subscript"/>
                    </w:rPr>
                    <w:t>2.5</w:t>
                  </w: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24h平均第95百分位数</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74</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75</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98.7</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Merge w:val="continue"/>
                  <w:vAlign w:val="center"/>
                </w:tcPr>
                <w:p>
                  <w:pPr>
                    <w:pStyle w:val="110"/>
                    <w:spacing w:line="240" w:lineRule="auto"/>
                    <w:ind w:firstLine="0"/>
                    <w:jc w:val="center"/>
                    <w:rPr>
                      <w:rFonts w:hint="default" w:ascii="Times New Roman" w:hAnsi="Times New Roman" w:cs="Times New Roman"/>
                      <w:color w:val="auto"/>
                      <w:kern w:val="0"/>
                      <w:sz w:val="21"/>
                      <w:szCs w:val="21"/>
                    </w:rPr>
                  </w:pP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年平均质量浓度</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31</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35</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88.6</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CO</w:t>
                  </w: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24h平均第95百分位数</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800</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4000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20</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71" w:type="dxa"/>
                  <w:vAlign w:val="center"/>
                </w:tcPr>
                <w:p>
                  <w:pPr>
                    <w:pStyle w:val="110"/>
                    <w:spacing w:line="240" w:lineRule="auto"/>
                    <w:ind w:firstLine="0"/>
                    <w:jc w:val="center"/>
                    <w:rPr>
                      <w:rFonts w:hint="default" w:ascii="Times New Roman" w:hAnsi="Times New Roman" w:cs="Times New Roman"/>
                      <w:color w:val="auto"/>
                      <w:kern w:val="0"/>
                      <w:sz w:val="21"/>
                      <w:szCs w:val="21"/>
                      <w:vertAlign w:val="subscript"/>
                    </w:rPr>
                  </w:pPr>
                  <w:r>
                    <w:rPr>
                      <w:rFonts w:hint="default" w:ascii="Times New Roman" w:hAnsi="Times New Roman" w:cs="Times New Roman"/>
                      <w:color w:val="auto"/>
                      <w:kern w:val="0"/>
                      <w:sz w:val="21"/>
                      <w:szCs w:val="21"/>
                    </w:rPr>
                    <w:t>O</w:t>
                  </w:r>
                  <w:r>
                    <w:rPr>
                      <w:rFonts w:hint="default" w:ascii="Times New Roman" w:hAnsi="Times New Roman" w:cs="Times New Roman"/>
                      <w:color w:val="auto"/>
                      <w:kern w:val="0"/>
                      <w:sz w:val="21"/>
                      <w:szCs w:val="21"/>
                      <w:vertAlign w:val="subscript"/>
                    </w:rPr>
                    <w:t>3</w:t>
                  </w:r>
                </w:p>
              </w:tc>
              <w:tc>
                <w:tcPr>
                  <w:tcW w:w="232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日最大8h滑动平均值</w:t>
                  </w:r>
                </w:p>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的第90百分位数</w:t>
                  </w:r>
                </w:p>
              </w:tc>
              <w:tc>
                <w:tcPr>
                  <w:tcW w:w="117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170</w:t>
                  </w:r>
                </w:p>
              </w:tc>
              <w:tc>
                <w:tcPr>
                  <w:tcW w:w="1310"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160</w:t>
                  </w:r>
                </w:p>
              </w:tc>
              <w:tc>
                <w:tcPr>
                  <w:tcW w:w="1165"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106.25</w:t>
                  </w:r>
                </w:p>
              </w:tc>
              <w:tc>
                <w:tcPr>
                  <w:tcW w:w="966" w:type="dxa"/>
                  <w:vAlign w:val="center"/>
                </w:tcPr>
                <w:p>
                  <w:pPr>
                    <w:pStyle w:val="110"/>
                    <w:spacing w:line="240" w:lineRule="auto"/>
                    <w:ind w:firstLine="0"/>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超标</w:t>
                  </w:r>
                </w:p>
              </w:tc>
            </w:tr>
          </w:tbl>
          <w:p>
            <w:pPr>
              <w:spacing w:line="360" w:lineRule="auto"/>
              <w:ind w:firstLine="480" w:firstLineChars="200"/>
              <w:rPr>
                <w:color w:val="auto"/>
                <w:szCs w:val="24"/>
              </w:rPr>
            </w:pPr>
            <w:r>
              <w:rPr>
                <w:rFonts w:hint="eastAsia"/>
                <w:color w:val="auto"/>
                <w:szCs w:val="24"/>
              </w:rPr>
              <w:t>从上表可知，德清县202</w:t>
            </w:r>
            <w:r>
              <w:rPr>
                <w:rFonts w:hint="eastAsia"/>
                <w:color w:val="auto"/>
                <w:szCs w:val="24"/>
                <w:lang w:val="en-US" w:eastAsia="zh-CN"/>
              </w:rPr>
              <w:t>2</w:t>
            </w:r>
            <w:r>
              <w:rPr>
                <w:rFonts w:hint="eastAsia"/>
                <w:color w:val="auto"/>
                <w:szCs w:val="24"/>
              </w:rPr>
              <w:t>年大气环境SO</w:t>
            </w:r>
            <w:r>
              <w:rPr>
                <w:rFonts w:hint="eastAsia"/>
                <w:color w:val="auto"/>
                <w:szCs w:val="24"/>
                <w:vertAlign w:val="subscript"/>
              </w:rPr>
              <w:t>2</w:t>
            </w:r>
            <w:r>
              <w:rPr>
                <w:rFonts w:hint="eastAsia"/>
                <w:color w:val="auto"/>
                <w:szCs w:val="24"/>
              </w:rPr>
              <w:t>、NO</w:t>
            </w:r>
            <w:r>
              <w:rPr>
                <w:rFonts w:hint="eastAsia"/>
                <w:color w:val="auto"/>
                <w:szCs w:val="24"/>
                <w:vertAlign w:val="subscript"/>
              </w:rPr>
              <w:t>2</w:t>
            </w:r>
            <w:r>
              <w:rPr>
                <w:rFonts w:hint="eastAsia"/>
                <w:color w:val="auto"/>
                <w:szCs w:val="24"/>
              </w:rPr>
              <w:t>、PM</w:t>
            </w:r>
            <w:r>
              <w:rPr>
                <w:rFonts w:hint="eastAsia"/>
                <w:color w:val="auto"/>
                <w:szCs w:val="24"/>
                <w:vertAlign w:val="subscript"/>
              </w:rPr>
              <w:t>10</w:t>
            </w:r>
            <w:r>
              <w:rPr>
                <w:rFonts w:hint="eastAsia"/>
                <w:color w:val="auto"/>
                <w:szCs w:val="24"/>
              </w:rPr>
              <w:t>、PM</w:t>
            </w:r>
            <w:r>
              <w:rPr>
                <w:rFonts w:hint="eastAsia"/>
                <w:color w:val="auto"/>
                <w:szCs w:val="24"/>
                <w:vertAlign w:val="subscript"/>
              </w:rPr>
              <w:t>2.5</w:t>
            </w:r>
            <w:r>
              <w:rPr>
                <w:rFonts w:hint="eastAsia"/>
                <w:color w:val="auto"/>
                <w:szCs w:val="24"/>
              </w:rPr>
              <w:t>年均值，CO的24小时平均值均可达到《环境空气质量标准》(GB3095-2012)中的二级标准，但O</w:t>
            </w:r>
            <w:r>
              <w:rPr>
                <w:rFonts w:hint="eastAsia"/>
                <w:color w:val="auto"/>
                <w:szCs w:val="24"/>
                <w:vertAlign w:val="subscript"/>
              </w:rPr>
              <w:t>3</w:t>
            </w:r>
            <w:r>
              <w:rPr>
                <w:rFonts w:hint="eastAsia"/>
                <w:color w:val="auto"/>
                <w:szCs w:val="24"/>
              </w:rPr>
              <w:t>日最大8小时平均值有超标现象。本项目所在区域属于不达标区。</w:t>
            </w:r>
          </w:p>
          <w:p>
            <w:pPr>
              <w:spacing w:line="360" w:lineRule="auto"/>
              <w:ind w:firstLine="480" w:firstLineChars="200"/>
              <w:rPr>
                <w:color w:val="auto"/>
                <w:szCs w:val="24"/>
              </w:rPr>
            </w:pPr>
            <w:r>
              <w:rPr>
                <w:rFonts w:hint="eastAsia"/>
                <w:color w:val="auto"/>
                <w:szCs w:val="24"/>
              </w:rPr>
              <w:t>湖州市人民政府早在</w:t>
            </w:r>
            <w:r>
              <w:rPr>
                <w:color w:val="auto"/>
                <w:szCs w:val="24"/>
              </w:rPr>
              <w:t>2019</w:t>
            </w:r>
            <w:r>
              <w:rPr>
                <w:rFonts w:hint="eastAsia"/>
                <w:color w:val="auto"/>
                <w:szCs w:val="24"/>
              </w:rPr>
              <w:t>年已制定了《湖州市大气环境质量限期达标规划》，要求进一步加强大气污染防治，推动大气环境质量持续改善，保障人民群众健康。相关内容如下：</w:t>
            </w:r>
          </w:p>
          <w:p>
            <w:pPr>
              <w:spacing w:line="360" w:lineRule="auto"/>
              <w:ind w:firstLine="480" w:firstLineChars="200"/>
              <w:rPr>
                <w:color w:val="auto"/>
                <w:szCs w:val="24"/>
              </w:rPr>
            </w:pPr>
            <w:r>
              <w:rPr>
                <w:rFonts w:hint="eastAsia"/>
                <w:color w:val="auto"/>
                <w:szCs w:val="24"/>
              </w:rPr>
              <w:t>总体目标：以改善城市空气质量、保护人体健康为基本出发点，</w:t>
            </w:r>
            <w:r>
              <w:rPr>
                <w:color w:val="auto"/>
                <w:szCs w:val="24"/>
              </w:rPr>
              <w:t>2025</w:t>
            </w:r>
            <w:r>
              <w:rPr>
                <w:rFonts w:hint="eastAsia"/>
                <w:color w:val="auto"/>
                <w:szCs w:val="24"/>
              </w:rPr>
              <w:t>年环境空气质量全部达标：</w:t>
            </w:r>
            <w:r>
              <w:rPr>
                <w:color w:val="auto"/>
                <w:szCs w:val="24"/>
              </w:rPr>
              <w:t>PM</w:t>
            </w:r>
            <w:r>
              <w:rPr>
                <w:color w:val="auto"/>
                <w:szCs w:val="24"/>
                <w:vertAlign w:val="subscript"/>
              </w:rPr>
              <w:t>2.5</w:t>
            </w:r>
            <w:r>
              <w:rPr>
                <w:rFonts w:hint="eastAsia"/>
                <w:color w:val="auto"/>
                <w:szCs w:val="24"/>
              </w:rPr>
              <w:t>年均浓度达到</w:t>
            </w:r>
            <w:r>
              <w:rPr>
                <w:color w:val="auto"/>
                <w:szCs w:val="24"/>
              </w:rPr>
              <w:t>30.0µg/m</w:t>
            </w:r>
            <w:r>
              <w:rPr>
                <w:color w:val="auto"/>
                <w:szCs w:val="24"/>
                <w:vertAlign w:val="superscript"/>
              </w:rPr>
              <w:t>3</w:t>
            </w:r>
            <w:r>
              <w:rPr>
                <w:rFonts w:hint="eastAsia"/>
                <w:color w:val="auto"/>
                <w:szCs w:val="24"/>
              </w:rPr>
              <w:t>；</w:t>
            </w:r>
            <w:r>
              <w:rPr>
                <w:color w:val="auto"/>
                <w:szCs w:val="24"/>
              </w:rPr>
              <w:t>O</w:t>
            </w:r>
            <w:r>
              <w:rPr>
                <w:color w:val="auto"/>
                <w:szCs w:val="24"/>
                <w:vertAlign w:val="subscript"/>
              </w:rPr>
              <w:t>3</w:t>
            </w:r>
            <w:r>
              <w:rPr>
                <w:rFonts w:hint="eastAsia"/>
                <w:color w:val="auto"/>
                <w:szCs w:val="24"/>
              </w:rPr>
              <w:t>浓度达到国家环境空气质量二级标准；</w:t>
            </w:r>
            <w:r>
              <w:rPr>
                <w:color w:val="auto"/>
                <w:szCs w:val="24"/>
              </w:rPr>
              <w:t>PM</w:t>
            </w:r>
            <w:r>
              <w:rPr>
                <w:color w:val="auto"/>
                <w:szCs w:val="24"/>
                <w:vertAlign w:val="subscript"/>
              </w:rPr>
              <w:t>10</w:t>
            </w:r>
            <w:r>
              <w:rPr>
                <w:rFonts w:hint="eastAsia"/>
                <w:color w:val="auto"/>
                <w:szCs w:val="24"/>
              </w:rPr>
              <w:t>、</w:t>
            </w:r>
            <w:r>
              <w:rPr>
                <w:color w:val="auto"/>
                <w:szCs w:val="24"/>
              </w:rPr>
              <w:t>SO</w:t>
            </w:r>
            <w:r>
              <w:rPr>
                <w:color w:val="auto"/>
                <w:szCs w:val="24"/>
                <w:vertAlign w:val="subscript"/>
              </w:rPr>
              <w:t>2</w:t>
            </w:r>
            <w:r>
              <w:rPr>
                <w:rFonts w:hint="eastAsia"/>
                <w:color w:val="auto"/>
                <w:szCs w:val="24"/>
              </w:rPr>
              <w:t>、</w:t>
            </w:r>
            <w:r>
              <w:rPr>
                <w:color w:val="auto"/>
                <w:szCs w:val="24"/>
              </w:rPr>
              <w:t>NO</w:t>
            </w:r>
            <w:r>
              <w:rPr>
                <w:color w:val="auto"/>
                <w:szCs w:val="24"/>
                <w:vertAlign w:val="subscript"/>
              </w:rPr>
              <w:t>2</w:t>
            </w:r>
            <w:r>
              <w:rPr>
                <w:rFonts w:hint="eastAsia"/>
                <w:color w:val="auto"/>
                <w:szCs w:val="24"/>
              </w:rPr>
              <w:t>、</w:t>
            </w:r>
            <w:r>
              <w:rPr>
                <w:color w:val="auto"/>
                <w:szCs w:val="24"/>
              </w:rPr>
              <w:t>CO</w:t>
            </w:r>
            <w:r>
              <w:rPr>
                <w:rFonts w:hint="eastAsia"/>
                <w:color w:val="auto"/>
                <w:szCs w:val="24"/>
              </w:rPr>
              <w:t>稳定达到国家环境空气质量二级标准要求。</w:t>
            </w:r>
          </w:p>
          <w:p>
            <w:pPr>
              <w:spacing w:line="360" w:lineRule="auto"/>
              <w:ind w:firstLine="480" w:firstLineChars="200"/>
              <w:rPr>
                <w:color w:val="auto"/>
                <w:szCs w:val="24"/>
              </w:rPr>
            </w:pPr>
            <w:r>
              <w:rPr>
                <w:rFonts w:hint="eastAsia"/>
                <w:color w:val="auto"/>
                <w:szCs w:val="24"/>
              </w:rPr>
              <w:t>阶段目标：依据空气质量目标和达标期限，将空气质量改善任务按时间节点进行分解，</w:t>
            </w:r>
            <w:r>
              <w:rPr>
                <w:color w:val="auto"/>
                <w:szCs w:val="24"/>
              </w:rPr>
              <w:t>2018-2020</w:t>
            </w:r>
            <w:r>
              <w:rPr>
                <w:rFonts w:hint="eastAsia"/>
                <w:color w:val="auto"/>
                <w:szCs w:val="24"/>
              </w:rPr>
              <w:t>年第一阶段，</w:t>
            </w:r>
            <w:r>
              <w:rPr>
                <w:color w:val="auto"/>
                <w:szCs w:val="24"/>
              </w:rPr>
              <w:t>PM</w:t>
            </w:r>
            <w:r>
              <w:rPr>
                <w:color w:val="auto"/>
                <w:szCs w:val="24"/>
                <w:vertAlign w:val="subscript"/>
              </w:rPr>
              <w:t>2.5</w:t>
            </w:r>
            <w:r>
              <w:rPr>
                <w:rFonts w:hint="eastAsia"/>
                <w:color w:val="auto"/>
                <w:szCs w:val="24"/>
              </w:rPr>
              <w:t>年均浓度达到</w:t>
            </w:r>
            <w:r>
              <w:rPr>
                <w:color w:val="auto"/>
                <w:szCs w:val="24"/>
              </w:rPr>
              <w:t>35.0µg/m</w:t>
            </w:r>
            <w:r>
              <w:rPr>
                <w:color w:val="auto"/>
                <w:szCs w:val="24"/>
                <w:vertAlign w:val="superscript"/>
              </w:rPr>
              <w:t>3</w:t>
            </w:r>
            <w:r>
              <w:rPr>
                <w:rFonts w:hint="eastAsia"/>
                <w:color w:val="auto"/>
                <w:szCs w:val="24"/>
              </w:rPr>
              <w:t>，</w:t>
            </w:r>
            <w:r>
              <w:rPr>
                <w:color w:val="auto"/>
                <w:szCs w:val="24"/>
              </w:rPr>
              <w:t>O</w:t>
            </w:r>
            <w:r>
              <w:rPr>
                <w:color w:val="auto"/>
                <w:szCs w:val="24"/>
                <w:vertAlign w:val="subscript"/>
              </w:rPr>
              <w:t>3</w:t>
            </w:r>
            <w:r>
              <w:rPr>
                <w:rFonts w:hint="eastAsia"/>
                <w:color w:val="auto"/>
                <w:szCs w:val="24"/>
              </w:rPr>
              <w:t>污染恶化趋势得到遏制，</w:t>
            </w:r>
            <w:r>
              <w:rPr>
                <w:color w:val="auto"/>
                <w:szCs w:val="24"/>
              </w:rPr>
              <w:t>PM</w:t>
            </w:r>
            <w:r>
              <w:rPr>
                <w:color w:val="auto"/>
                <w:szCs w:val="24"/>
                <w:vertAlign w:val="subscript"/>
              </w:rPr>
              <w:t>10</w:t>
            </w:r>
            <w:r>
              <w:rPr>
                <w:rFonts w:hint="eastAsia"/>
                <w:color w:val="auto"/>
                <w:szCs w:val="24"/>
              </w:rPr>
              <w:t>、</w:t>
            </w:r>
            <w:r>
              <w:rPr>
                <w:color w:val="auto"/>
                <w:szCs w:val="24"/>
              </w:rPr>
              <w:t>SO</w:t>
            </w:r>
            <w:r>
              <w:rPr>
                <w:color w:val="auto"/>
                <w:szCs w:val="24"/>
                <w:vertAlign w:val="subscript"/>
              </w:rPr>
              <w:t>2</w:t>
            </w:r>
            <w:r>
              <w:rPr>
                <w:rFonts w:hint="eastAsia"/>
                <w:color w:val="auto"/>
                <w:szCs w:val="24"/>
              </w:rPr>
              <w:t>、</w:t>
            </w:r>
            <w:r>
              <w:rPr>
                <w:color w:val="auto"/>
                <w:szCs w:val="24"/>
              </w:rPr>
              <w:t>NO</w:t>
            </w:r>
            <w:r>
              <w:rPr>
                <w:color w:val="auto"/>
                <w:szCs w:val="24"/>
                <w:vertAlign w:val="subscript"/>
              </w:rPr>
              <w:t>2</w:t>
            </w:r>
            <w:r>
              <w:rPr>
                <w:rFonts w:hint="eastAsia"/>
                <w:color w:val="auto"/>
                <w:szCs w:val="24"/>
              </w:rPr>
              <w:t>、</w:t>
            </w:r>
            <w:r>
              <w:rPr>
                <w:color w:val="auto"/>
                <w:szCs w:val="24"/>
              </w:rPr>
              <w:t>CO</w:t>
            </w:r>
            <w:r>
              <w:rPr>
                <w:rFonts w:hint="eastAsia"/>
                <w:color w:val="auto"/>
                <w:szCs w:val="24"/>
              </w:rPr>
              <w:t>稳定达到国家环境空气质量二级标准要求；</w:t>
            </w:r>
            <w:r>
              <w:rPr>
                <w:color w:val="auto"/>
                <w:szCs w:val="24"/>
              </w:rPr>
              <w:t>2021-2023</w:t>
            </w:r>
            <w:r>
              <w:rPr>
                <w:rFonts w:hint="eastAsia"/>
                <w:color w:val="auto"/>
                <w:szCs w:val="24"/>
              </w:rPr>
              <w:t>年第二阶段，</w:t>
            </w:r>
            <w:r>
              <w:rPr>
                <w:color w:val="auto"/>
                <w:szCs w:val="24"/>
              </w:rPr>
              <w:t>PM</w:t>
            </w:r>
            <w:r>
              <w:rPr>
                <w:color w:val="auto"/>
                <w:szCs w:val="24"/>
                <w:vertAlign w:val="subscript"/>
              </w:rPr>
              <w:t>2.5</w:t>
            </w:r>
            <w:r>
              <w:rPr>
                <w:rFonts w:hint="eastAsia"/>
                <w:color w:val="auto"/>
                <w:szCs w:val="24"/>
              </w:rPr>
              <w:t>年均浓度达到</w:t>
            </w:r>
            <w:r>
              <w:rPr>
                <w:color w:val="auto"/>
                <w:szCs w:val="24"/>
              </w:rPr>
              <w:t>32.0µg/m</w:t>
            </w:r>
            <w:r>
              <w:rPr>
                <w:color w:val="auto"/>
                <w:szCs w:val="24"/>
                <w:vertAlign w:val="superscript"/>
              </w:rPr>
              <w:t>3</w:t>
            </w:r>
            <w:r>
              <w:rPr>
                <w:rFonts w:hint="eastAsia"/>
                <w:color w:val="auto"/>
                <w:szCs w:val="24"/>
              </w:rPr>
              <w:t>以下，</w:t>
            </w:r>
            <w:r>
              <w:rPr>
                <w:color w:val="auto"/>
                <w:szCs w:val="24"/>
              </w:rPr>
              <w:t>O</w:t>
            </w:r>
            <w:r>
              <w:rPr>
                <w:color w:val="auto"/>
                <w:szCs w:val="24"/>
                <w:vertAlign w:val="subscript"/>
              </w:rPr>
              <w:t>3</w:t>
            </w:r>
            <w:r>
              <w:rPr>
                <w:rFonts w:hint="eastAsia"/>
                <w:color w:val="auto"/>
                <w:szCs w:val="24"/>
              </w:rPr>
              <w:t>浓度达到拐点，</w:t>
            </w:r>
            <w:r>
              <w:rPr>
                <w:color w:val="auto"/>
                <w:szCs w:val="24"/>
              </w:rPr>
              <w:t>PM</w:t>
            </w:r>
            <w:r>
              <w:rPr>
                <w:color w:val="auto"/>
                <w:szCs w:val="24"/>
                <w:vertAlign w:val="subscript"/>
              </w:rPr>
              <w:t>10</w:t>
            </w:r>
            <w:r>
              <w:rPr>
                <w:rFonts w:hint="eastAsia"/>
                <w:color w:val="auto"/>
                <w:szCs w:val="24"/>
              </w:rPr>
              <w:t>、</w:t>
            </w:r>
            <w:r>
              <w:rPr>
                <w:color w:val="auto"/>
                <w:szCs w:val="24"/>
              </w:rPr>
              <w:t>SO</w:t>
            </w:r>
            <w:r>
              <w:rPr>
                <w:color w:val="auto"/>
                <w:szCs w:val="24"/>
                <w:vertAlign w:val="subscript"/>
              </w:rPr>
              <w:t>2</w:t>
            </w:r>
            <w:r>
              <w:rPr>
                <w:rFonts w:hint="eastAsia"/>
                <w:color w:val="auto"/>
                <w:szCs w:val="24"/>
              </w:rPr>
              <w:t>、</w:t>
            </w:r>
            <w:r>
              <w:rPr>
                <w:color w:val="auto"/>
                <w:szCs w:val="24"/>
              </w:rPr>
              <w:t>NO</w:t>
            </w:r>
            <w:r>
              <w:rPr>
                <w:color w:val="auto"/>
                <w:szCs w:val="24"/>
                <w:vertAlign w:val="subscript"/>
              </w:rPr>
              <w:t>2</w:t>
            </w:r>
            <w:r>
              <w:rPr>
                <w:rFonts w:hint="eastAsia"/>
                <w:color w:val="auto"/>
                <w:szCs w:val="24"/>
              </w:rPr>
              <w:t>、</w:t>
            </w:r>
            <w:r>
              <w:rPr>
                <w:color w:val="auto"/>
                <w:szCs w:val="24"/>
              </w:rPr>
              <w:t>CO</w:t>
            </w:r>
            <w:r>
              <w:rPr>
                <w:rFonts w:hint="eastAsia"/>
                <w:color w:val="auto"/>
                <w:szCs w:val="24"/>
              </w:rPr>
              <w:t>稳定达到国家环境空气质量二级标准要求；</w:t>
            </w:r>
            <w:r>
              <w:rPr>
                <w:color w:val="auto"/>
                <w:szCs w:val="24"/>
              </w:rPr>
              <w:t>2024-2025</w:t>
            </w:r>
            <w:r>
              <w:rPr>
                <w:rFonts w:hint="eastAsia"/>
                <w:color w:val="auto"/>
                <w:szCs w:val="24"/>
              </w:rPr>
              <w:t>年第三阶段，</w:t>
            </w:r>
            <w:r>
              <w:rPr>
                <w:color w:val="auto"/>
                <w:szCs w:val="24"/>
              </w:rPr>
              <w:t>PM</w:t>
            </w:r>
            <w:r>
              <w:rPr>
                <w:color w:val="auto"/>
                <w:szCs w:val="24"/>
                <w:vertAlign w:val="subscript"/>
              </w:rPr>
              <w:t>2.5</w:t>
            </w:r>
            <w:r>
              <w:rPr>
                <w:rFonts w:hint="eastAsia"/>
                <w:color w:val="auto"/>
                <w:szCs w:val="24"/>
              </w:rPr>
              <w:t>年均浓度达到</w:t>
            </w:r>
            <w:r>
              <w:rPr>
                <w:color w:val="auto"/>
                <w:szCs w:val="24"/>
              </w:rPr>
              <w:t>30.0µg/m</w:t>
            </w:r>
            <w:r>
              <w:rPr>
                <w:color w:val="auto"/>
                <w:szCs w:val="24"/>
                <w:vertAlign w:val="superscript"/>
              </w:rPr>
              <w:t>3</w:t>
            </w:r>
            <w:r>
              <w:rPr>
                <w:rFonts w:hint="eastAsia"/>
                <w:color w:val="auto"/>
                <w:szCs w:val="24"/>
              </w:rPr>
              <w:t>，</w:t>
            </w:r>
            <w:r>
              <w:rPr>
                <w:color w:val="auto"/>
                <w:szCs w:val="24"/>
              </w:rPr>
              <w:t>O</w:t>
            </w:r>
            <w:r>
              <w:rPr>
                <w:color w:val="auto"/>
                <w:szCs w:val="24"/>
                <w:vertAlign w:val="subscript"/>
              </w:rPr>
              <w:t>3</w:t>
            </w:r>
            <w:r>
              <w:rPr>
                <w:rFonts w:hint="eastAsia"/>
                <w:color w:val="auto"/>
                <w:szCs w:val="24"/>
              </w:rPr>
              <w:t>浓度达到国家环境空气质量二级标准，</w:t>
            </w:r>
            <w:r>
              <w:rPr>
                <w:color w:val="auto"/>
                <w:szCs w:val="24"/>
              </w:rPr>
              <w:t>PM</w:t>
            </w:r>
            <w:r>
              <w:rPr>
                <w:color w:val="auto"/>
                <w:szCs w:val="24"/>
                <w:vertAlign w:val="subscript"/>
              </w:rPr>
              <w:t>10</w:t>
            </w:r>
            <w:r>
              <w:rPr>
                <w:rFonts w:hint="eastAsia"/>
                <w:color w:val="auto"/>
                <w:szCs w:val="24"/>
              </w:rPr>
              <w:t>、</w:t>
            </w:r>
            <w:r>
              <w:rPr>
                <w:color w:val="auto"/>
                <w:szCs w:val="24"/>
              </w:rPr>
              <w:t>SO</w:t>
            </w:r>
            <w:r>
              <w:rPr>
                <w:color w:val="auto"/>
                <w:szCs w:val="24"/>
                <w:vertAlign w:val="subscript"/>
              </w:rPr>
              <w:t>2</w:t>
            </w:r>
            <w:r>
              <w:rPr>
                <w:rFonts w:hint="eastAsia"/>
                <w:color w:val="auto"/>
                <w:szCs w:val="24"/>
              </w:rPr>
              <w:t>、</w:t>
            </w:r>
            <w:r>
              <w:rPr>
                <w:color w:val="auto"/>
                <w:szCs w:val="24"/>
              </w:rPr>
              <w:t>NO</w:t>
            </w:r>
            <w:r>
              <w:rPr>
                <w:color w:val="auto"/>
                <w:szCs w:val="24"/>
                <w:vertAlign w:val="subscript"/>
              </w:rPr>
              <w:t>2</w:t>
            </w:r>
            <w:r>
              <w:rPr>
                <w:rFonts w:hint="eastAsia"/>
                <w:color w:val="auto"/>
                <w:szCs w:val="24"/>
              </w:rPr>
              <w:t>、</w:t>
            </w:r>
            <w:r>
              <w:rPr>
                <w:color w:val="auto"/>
                <w:szCs w:val="24"/>
              </w:rPr>
              <w:t>CO</w:t>
            </w:r>
            <w:r>
              <w:rPr>
                <w:rFonts w:hint="eastAsia"/>
                <w:color w:val="auto"/>
                <w:szCs w:val="24"/>
              </w:rPr>
              <w:t>稳定达到国家环境空气质量二级标准要求。</w:t>
            </w:r>
          </w:p>
          <w:p>
            <w:pPr>
              <w:spacing w:line="360" w:lineRule="auto"/>
              <w:ind w:firstLine="480" w:firstLineChars="200"/>
              <w:rPr>
                <w:color w:val="auto"/>
                <w:szCs w:val="24"/>
              </w:rPr>
            </w:pPr>
            <w:r>
              <w:rPr>
                <w:rFonts w:hint="eastAsia"/>
                <w:color w:val="auto"/>
                <w:szCs w:val="24"/>
              </w:rPr>
              <w:t>德清县污染防治攻坚工作领导小组办公室于</w:t>
            </w:r>
            <w:r>
              <w:rPr>
                <w:color w:val="auto"/>
                <w:szCs w:val="24"/>
              </w:rPr>
              <w:t>2023</w:t>
            </w:r>
            <w:r>
              <w:rPr>
                <w:rFonts w:hint="eastAsia"/>
                <w:color w:val="auto"/>
                <w:szCs w:val="24"/>
              </w:rPr>
              <w:t>年</w:t>
            </w:r>
            <w:r>
              <w:rPr>
                <w:color w:val="auto"/>
                <w:szCs w:val="24"/>
              </w:rPr>
              <w:t>3</w:t>
            </w:r>
            <w:r>
              <w:rPr>
                <w:rFonts w:hint="eastAsia"/>
                <w:color w:val="auto"/>
                <w:szCs w:val="24"/>
              </w:rPr>
              <w:t>月</w:t>
            </w:r>
            <w:r>
              <w:rPr>
                <w:color w:val="auto"/>
                <w:szCs w:val="24"/>
              </w:rPr>
              <w:t>17</w:t>
            </w:r>
            <w:r>
              <w:rPr>
                <w:rFonts w:hint="eastAsia"/>
                <w:color w:val="auto"/>
                <w:szCs w:val="24"/>
              </w:rPr>
              <w:t>日印发了《德清县深入打好污染防治攻坚战</w:t>
            </w:r>
            <w:r>
              <w:rPr>
                <w:color w:val="auto"/>
                <w:szCs w:val="24"/>
              </w:rPr>
              <w:t>2023</w:t>
            </w:r>
            <w:r>
              <w:rPr>
                <w:rFonts w:hint="eastAsia"/>
                <w:color w:val="auto"/>
                <w:szCs w:val="24"/>
              </w:rPr>
              <w:t>年度工作计划》（美丽德清发〔</w:t>
            </w:r>
            <w:r>
              <w:rPr>
                <w:color w:val="auto"/>
                <w:szCs w:val="24"/>
              </w:rPr>
              <w:t>2023</w:t>
            </w:r>
            <w:r>
              <w:rPr>
                <w:rFonts w:hint="eastAsia"/>
                <w:color w:val="auto"/>
                <w:szCs w:val="24"/>
              </w:rPr>
              <w:t>〕</w:t>
            </w:r>
            <w:r>
              <w:rPr>
                <w:color w:val="auto"/>
                <w:szCs w:val="24"/>
              </w:rPr>
              <w:t>1</w:t>
            </w:r>
            <w:r>
              <w:rPr>
                <w:rFonts w:hint="eastAsia"/>
                <w:color w:val="auto"/>
                <w:szCs w:val="24"/>
              </w:rPr>
              <w:t>号），德清县已开展臭氧污染防治攻坚行动。</w:t>
            </w:r>
          </w:p>
          <w:p>
            <w:pPr>
              <w:spacing w:line="360" w:lineRule="auto"/>
              <w:ind w:firstLine="480" w:firstLineChars="200"/>
              <w:rPr>
                <w:rFonts w:hint="default" w:ascii="Times New Roman" w:hAnsi="Times New Roman" w:cs="Times New Roman"/>
                <w:color w:val="FF0000"/>
              </w:rPr>
            </w:pPr>
            <w:r>
              <w:rPr>
                <w:rFonts w:hint="eastAsia"/>
                <w:color w:val="auto"/>
                <w:szCs w:val="24"/>
              </w:rPr>
              <w:t>综上所述，随着当地大气污染减排计划的推进，大气污染情况将呈逐步下降的趋势，德清县将由环境空气质量不达标区逐步向达标区转变。</w:t>
            </w:r>
          </w:p>
          <w:p>
            <w:pPr>
              <w:spacing w:line="240" w:lineRule="auto"/>
              <w:ind w:firstLine="480" w:firstLineChars="200"/>
              <w:rPr>
                <w:rFonts w:hint="default" w:ascii="Times New Roman" w:hAnsi="Times New Roman" w:cs="Times New Roman"/>
                <w:color w:val="FF0000"/>
              </w:rPr>
            </w:pPr>
          </w:p>
          <w:p>
            <w:pPr>
              <w:spacing w:line="360" w:lineRule="auto"/>
              <w:ind w:firstLine="480" w:firstLineChars="200"/>
              <w:rPr>
                <w:color w:val="auto"/>
                <w:szCs w:val="24"/>
              </w:rPr>
            </w:pPr>
            <w:r>
              <w:rPr>
                <w:rFonts w:hAnsi="宋体"/>
                <w:color w:val="auto"/>
                <w:szCs w:val="24"/>
              </w:rPr>
              <w:t>（</w:t>
            </w:r>
            <w:r>
              <w:rPr>
                <w:color w:val="auto"/>
                <w:szCs w:val="24"/>
              </w:rPr>
              <w:t>2</w:t>
            </w:r>
            <w:r>
              <w:rPr>
                <w:rFonts w:hAnsi="宋体"/>
                <w:color w:val="auto"/>
                <w:szCs w:val="24"/>
              </w:rPr>
              <w:t>）</w:t>
            </w:r>
            <w:r>
              <w:rPr>
                <w:rFonts w:hint="eastAsia"/>
                <w:color w:val="auto"/>
                <w:szCs w:val="24"/>
              </w:rPr>
              <w:t>其他</w:t>
            </w:r>
            <w:r>
              <w:rPr>
                <w:color w:val="auto"/>
                <w:szCs w:val="24"/>
              </w:rPr>
              <w:t>污染因子</w:t>
            </w:r>
          </w:p>
          <w:p>
            <w:pPr>
              <w:spacing w:line="360" w:lineRule="auto"/>
              <w:ind w:firstLine="480" w:firstLineChars="200"/>
              <w:rPr>
                <w:color w:val="auto"/>
              </w:rPr>
            </w:pPr>
            <w:r>
              <w:rPr>
                <w:color w:val="auto"/>
                <w:szCs w:val="24"/>
              </w:rPr>
              <w:t>总悬浮颗粒物引用</w:t>
            </w:r>
            <w:r>
              <w:rPr>
                <w:rFonts w:hint="eastAsia" w:ascii="宋体" w:hAnsi="宋体" w:eastAsia="宋体" w:cs="宋体"/>
                <w:color w:val="auto"/>
                <w:kern w:val="0"/>
                <w:sz w:val="24"/>
                <w:szCs w:val="24"/>
                <w:lang w:val="en-US" w:eastAsia="zh-CN" w:bidi="ar"/>
              </w:rPr>
              <w:t>浙江爱迪信检测技术有限公司</w:t>
            </w:r>
            <w:r>
              <w:rPr>
                <w:color w:val="auto"/>
                <w:szCs w:val="24"/>
              </w:rPr>
              <w:t>于2022年</w:t>
            </w:r>
            <w:r>
              <w:rPr>
                <w:rFonts w:hint="eastAsia"/>
                <w:color w:val="auto"/>
                <w:szCs w:val="24"/>
                <w:lang w:val="en-US" w:eastAsia="zh-CN"/>
              </w:rPr>
              <w:t>2</w:t>
            </w:r>
            <w:r>
              <w:rPr>
                <w:color w:val="auto"/>
                <w:szCs w:val="24"/>
              </w:rPr>
              <w:t>月</w:t>
            </w:r>
            <w:r>
              <w:rPr>
                <w:rFonts w:hint="eastAsia"/>
                <w:color w:val="auto"/>
                <w:szCs w:val="24"/>
                <w:lang w:val="en-US" w:eastAsia="zh-CN"/>
              </w:rPr>
              <w:t>28</w:t>
            </w:r>
            <w:r>
              <w:rPr>
                <w:color w:val="auto"/>
                <w:szCs w:val="24"/>
              </w:rPr>
              <w:t>日至2022年</w:t>
            </w:r>
            <w:r>
              <w:rPr>
                <w:rFonts w:hint="eastAsia"/>
                <w:color w:val="auto"/>
                <w:szCs w:val="24"/>
                <w:lang w:val="en-US" w:eastAsia="zh-CN"/>
              </w:rPr>
              <w:t>3</w:t>
            </w:r>
            <w:r>
              <w:rPr>
                <w:color w:val="auto"/>
                <w:szCs w:val="24"/>
              </w:rPr>
              <w:t>月</w:t>
            </w:r>
            <w:r>
              <w:rPr>
                <w:rFonts w:hint="eastAsia"/>
                <w:color w:val="auto"/>
                <w:szCs w:val="24"/>
                <w:lang w:val="en-US" w:eastAsia="zh-CN"/>
              </w:rPr>
              <w:t>2</w:t>
            </w:r>
            <w:r>
              <w:rPr>
                <w:color w:val="auto"/>
                <w:szCs w:val="24"/>
              </w:rPr>
              <w:t>日在</w:t>
            </w:r>
            <w:r>
              <w:rPr>
                <w:rFonts w:hint="eastAsia" w:ascii="宋体" w:hAnsi="宋体" w:eastAsia="宋体" w:cs="宋体"/>
                <w:color w:val="auto"/>
                <w:kern w:val="0"/>
                <w:sz w:val="24"/>
                <w:szCs w:val="24"/>
                <w:lang w:val="en-US" w:eastAsia="zh-CN" w:bidi="ar"/>
              </w:rPr>
              <w:t>浙江立扬机械电器有限公司</w:t>
            </w:r>
            <w:r>
              <w:rPr>
                <w:color w:val="auto"/>
                <w:szCs w:val="24"/>
              </w:rPr>
              <w:t>所在地块的监测数据，其监测点位于本项目</w:t>
            </w:r>
            <w:r>
              <w:rPr>
                <w:rFonts w:hint="eastAsia"/>
                <w:color w:val="auto"/>
                <w:szCs w:val="24"/>
                <w:lang w:val="en-US" w:eastAsia="zh-CN"/>
              </w:rPr>
              <w:t>南</w:t>
            </w:r>
            <w:r>
              <w:rPr>
                <w:color w:val="auto"/>
                <w:szCs w:val="24"/>
              </w:rPr>
              <w:t>侧约</w:t>
            </w:r>
            <w:r>
              <w:rPr>
                <w:rFonts w:hint="eastAsia"/>
                <w:color w:val="auto"/>
                <w:szCs w:val="24"/>
                <w:lang w:val="en-US" w:eastAsia="zh-CN"/>
              </w:rPr>
              <w:t>1.6k</w:t>
            </w:r>
            <w:r>
              <w:rPr>
                <w:color w:val="auto"/>
                <w:szCs w:val="24"/>
              </w:rPr>
              <w:t>m处，具体情况如下。</w:t>
            </w:r>
          </w:p>
          <w:p>
            <w:pPr>
              <w:spacing w:line="460" w:lineRule="exact"/>
              <w:jc w:val="center"/>
              <w:rPr>
                <w:rFonts w:ascii="Times New Roman" w:hAnsi="Times New Roman" w:eastAsia="宋体" w:cs="Times New Roman"/>
                <w:b/>
                <w:bCs/>
                <w:color w:val="auto"/>
                <w:szCs w:val="24"/>
              </w:rPr>
            </w:pPr>
            <w:r>
              <w:rPr>
                <w:rFonts w:ascii="Times New Roman" w:hAnsi="Times New Roman" w:eastAsia="宋体" w:cs="Times New Roman"/>
                <w:b/>
                <w:bCs/>
                <w:color w:val="auto"/>
                <w:szCs w:val="24"/>
              </w:rPr>
              <w:t>表3-</w:t>
            </w:r>
            <w:r>
              <w:rPr>
                <w:rFonts w:hint="eastAsia" w:ascii="Times New Roman" w:hAnsi="Times New Roman" w:eastAsia="宋体" w:cs="Times New Roman"/>
                <w:b/>
                <w:bCs/>
                <w:color w:val="auto"/>
                <w:szCs w:val="24"/>
              </w:rPr>
              <w:t>2</w:t>
            </w:r>
            <w:r>
              <w:rPr>
                <w:rFonts w:hint="eastAsia" w:ascii="Times New Roman" w:hAnsi="Times New Roman" w:eastAsia="宋体" w:cs="Times New Roman"/>
                <w:b/>
                <w:bCs/>
                <w:color w:val="auto"/>
                <w:szCs w:val="24"/>
                <w:lang w:val="en-US" w:eastAsia="zh-CN"/>
              </w:rPr>
              <w:t xml:space="preserve">  </w:t>
            </w:r>
            <w:r>
              <w:rPr>
                <w:rFonts w:ascii="Times New Roman" w:hAnsi="Times New Roman" w:eastAsia="宋体" w:cs="Times New Roman"/>
                <w:b/>
                <w:bCs/>
                <w:color w:val="auto"/>
                <w:szCs w:val="24"/>
              </w:rPr>
              <w:t>总悬浮颗粒物监测结果汇总表</w:t>
            </w:r>
          </w:p>
          <w:tbl>
            <w:tblPr>
              <w:tblStyle w:val="29"/>
              <w:tblW w:w="78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6"/>
              <w:gridCol w:w="941"/>
              <w:gridCol w:w="1178"/>
              <w:gridCol w:w="1549"/>
              <w:gridCol w:w="1336"/>
              <w:gridCol w:w="969"/>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1126" w:type="dxa"/>
                  <w:vAlign w:val="center"/>
                </w:tcPr>
                <w:p>
                  <w:pPr>
                    <w:pStyle w:val="110"/>
                    <w:spacing w:line="240" w:lineRule="auto"/>
                    <w:ind w:firstLine="0"/>
                    <w:jc w:val="center"/>
                    <w:rPr>
                      <w:b/>
                      <w:color w:val="auto"/>
                      <w:kern w:val="0"/>
                      <w:sz w:val="21"/>
                      <w:szCs w:val="21"/>
                    </w:rPr>
                  </w:pPr>
                  <w:r>
                    <w:rPr>
                      <w:rFonts w:hint="eastAsia"/>
                      <w:b/>
                      <w:color w:val="auto"/>
                      <w:kern w:val="0"/>
                      <w:sz w:val="21"/>
                      <w:szCs w:val="21"/>
                    </w:rPr>
                    <w:t>监测点位</w:t>
                  </w:r>
                </w:p>
              </w:tc>
              <w:tc>
                <w:tcPr>
                  <w:tcW w:w="941" w:type="dxa"/>
                  <w:vAlign w:val="center"/>
                </w:tcPr>
                <w:p>
                  <w:pPr>
                    <w:pStyle w:val="110"/>
                    <w:spacing w:line="240" w:lineRule="auto"/>
                    <w:ind w:firstLine="0"/>
                    <w:jc w:val="center"/>
                    <w:rPr>
                      <w:b/>
                      <w:color w:val="auto"/>
                      <w:kern w:val="0"/>
                      <w:sz w:val="21"/>
                      <w:szCs w:val="21"/>
                    </w:rPr>
                  </w:pPr>
                  <w:r>
                    <w:rPr>
                      <w:rFonts w:hint="eastAsia"/>
                      <w:b/>
                      <w:color w:val="auto"/>
                      <w:kern w:val="0"/>
                      <w:sz w:val="21"/>
                      <w:szCs w:val="21"/>
                    </w:rPr>
                    <w:t>污染物</w:t>
                  </w:r>
                </w:p>
              </w:tc>
              <w:tc>
                <w:tcPr>
                  <w:tcW w:w="1178" w:type="dxa"/>
                  <w:vAlign w:val="center"/>
                </w:tcPr>
                <w:p>
                  <w:pPr>
                    <w:pStyle w:val="110"/>
                    <w:spacing w:line="240" w:lineRule="auto"/>
                    <w:ind w:firstLine="0"/>
                    <w:jc w:val="center"/>
                    <w:rPr>
                      <w:b/>
                      <w:color w:val="auto"/>
                      <w:kern w:val="0"/>
                      <w:sz w:val="21"/>
                      <w:szCs w:val="21"/>
                    </w:rPr>
                  </w:pPr>
                  <w:r>
                    <w:rPr>
                      <w:rFonts w:hint="eastAsia"/>
                      <w:b/>
                      <w:color w:val="auto"/>
                      <w:kern w:val="0"/>
                      <w:sz w:val="21"/>
                      <w:szCs w:val="21"/>
                    </w:rPr>
                    <w:t>评价标准</w:t>
                  </w:r>
                </w:p>
              </w:tc>
              <w:tc>
                <w:tcPr>
                  <w:tcW w:w="1549" w:type="dxa"/>
                  <w:vAlign w:val="center"/>
                </w:tcPr>
                <w:p>
                  <w:pPr>
                    <w:pStyle w:val="110"/>
                    <w:spacing w:line="240" w:lineRule="auto"/>
                    <w:ind w:firstLine="0"/>
                    <w:jc w:val="center"/>
                    <w:rPr>
                      <w:b/>
                      <w:color w:val="auto"/>
                      <w:kern w:val="0"/>
                      <w:sz w:val="21"/>
                      <w:szCs w:val="21"/>
                    </w:rPr>
                  </w:pPr>
                  <w:r>
                    <w:rPr>
                      <w:rFonts w:hint="eastAsia"/>
                      <w:b/>
                      <w:color w:val="auto"/>
                      <w:kern w:val="0"/>
                      <w:sz w:val="21"/>
                      <w:szCs w:val="21"/>
                    </w:rPr>
                    <w:t>监测浓度范围(日均值)</w:t>
                  </w:r>
                </w:p>
              </w:tc>
              <w:tc>
                <w:tcPr>
                  <w:tcW w:w="1336" w:type="dxa"/>
                  <w:vAlign w:val="center"/>
                </w:tcPr>
                <w:p>
                  <w:pPr>
                    <w:pStyle w:val="110"/>
                    <w:spacing w:line="240" w:lineRule="auto"/>
                    <w:ind w:firstLine="0"/>
                    <w:jc w:val="center"/>
                    <w:rPr>
                      <w:b/>
                      <w:color w:val="auto"/>
                      <w:kern w:val="0"/>
                      <w:sz w:val="21"/>
                      <w:szCs w:val="21"/>
                    </w:rPr>
                  </w:pPr>
                  <w:r>
                    <w:rPr>
                      <w:rFonts w:hint="eastAsia"/>
                      <w:b/>
                      <w:color w:val="auto"/>
                      <w:kern w:val="0"/>
                      <w:sz w:val="21"/>
                      <w:szCs w:val="21"/>
                    </w:rPr>
                    <w:t>最大浓度占标率</w:t>
                  </w:r>
                  <w:r>
                    <w:rPr>
                      <w:b/>
                      <w:color w:val="auto"/>
                      <w:kern w:val="0"/>
                      <w:sz w:val="21"/>
                      <w:szCs w:val="21"/>
                    </w:rPr>
                    <w:t>（</w:t>
                  </w:r>
                  <w:r>
                    <w:rPr>
                      <w:rFonts w:hint="eastAsia"/>
                      <w:b/>
                      <w:color w:val="auto"/>
                      <w:kern w:val="0"/>
                      <w:sz w:val="21"/>
                      <w:szCs w:val="21"/>
                    </w:rPr>
                    <w:t>%</w:t>
                  </w:r>
                  <w:r>
                    <w:rPr>
                      <w:b/>
                      <w:color w:val="auto"/>
                      <w:kern w:val="0"/>
                      <w:sz w:val="21"/>
                      <w:szCs w:val="21"/>
                    </w:rPr>
                    <w:t>）</w:t>
                  </w:r>
                </w:p>
              </w:tc>
              <w:tc>
                <w:tcPr>
                  <w:tcW w:w="969" w:type="dxa"/>
                  <w:vAlign w:val="center"/>
                </w:tcPr>
                <w:p>
                  <w:pPr>
                    <w:pStyle w:val="110"/>
                    <w:spacing w:line="240" w:lineRule="auto"/>
                    <w:ind w:firstLine="0"/>
                    <w:jc w:val="center"/>
                    <w:rPr>
                      <w:b/>
                      <w:color w:val="auto"/>
                      <w:kern w:val="0"/>
                      <w:sz w:val="21"/>
                      <w:szCs w:val="21"/>
                    </w:rPr>
                  </w:pPr>
                  <w:r>
                    <w:rPr>
                      <w:rFonts w:hint="eastAsia"/>
                      <w:b/>
                      <w:color w:val="auto"/>
                      <w:kern w:val="0"/>
                      <w:sz w:val="21"/>
                      <w:szCs w:val="21"/>
                    </w:rPr>
                    <w:t>超标率</w:t>
                  </w:r>
                  <w:r>
                    <w:rPr>
                      <w:b/>
                      <w:color w:val="auto"/>
                      <w:kern w:val="0"/>
                      <w:sz w:val="21"/>
                      <w:szCs w:val="21"/>
                    </w:rPr>
                    <w:t>（</w:t>
                  </w:r>
                  <w:r>
                    <w:rPr>
                      <w:rFonts w:hint="eastAsia"/>
                      <w:b/>
                      <w:color w:val="auto"/>
                      <w:kern w:val="0"/>
                      <w:sz w:val="21"/>
                      <w:szCs w:val="21"/>
                    </w:rPr>
                    <w:t>%</w:t>
                  </w:r>
                  <w:r>
                    <w:rPr>
                      <w:b/>
                      <w:color w:val="auto"/>
                      <w:kern w:val="0"/>
                      <w:sz w:val="21"/>
                      <w:szCs w:val="21"/>
                    </w:rPr>
                    <w:t>）</w:t>
                  </w:r>
                </w:p>
              </w:tc>
              <w:tc>
                <w:tcPr>
                  <w:tcW w:w="709" w:type="dxa"/>
                  <w:vAlign w:val="center"/>
                </w:tcPr>
                <w:p>
                  <w:pPr>
                    <w:pStyle w:val="110"/>
                    <w:spacing w:line="240" w:lineRule="auto"/>
                    <w:ind w:firstLine="0"/>
                    <w:jc w:val="center"/>
                    <w:rPr>
                      <w:b/>
                      <w:color w:val="auto"/>
                      <w:kern w:val="0"/>
                      <w:sz w:val="21"/>
                      <w:szCs w:val="21"/>
                    </w:rPr>
                  </w:pPr>
                  <w:r>
                    <w:rPr>
                      <w:rFonts w:hint="eastAsia"/>
                      <w:b/>
                      <w:color w:val="auto"/>
                      <w:kern w:val="0"/>
                      <w:sz w:val="21"/>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jc w:val="center"/>
              </w:trPr>
              <w:tc>
                <w:tcPr>
                  <w:tcW w:w="1126" w:type="dxa"/>
                  <w:vAlign w:val="center"/>
                </w:tcPr>
                <w:p>
                  <w:pPr>
                    <w:pStyle w:val="110"/>
                    <w:spacing w:line="240" w:lineRule="auto"/>
                    <w:ind w:firstLine="0"/>
                    <w:jc w:val="center"/>
                    <w:rPr>
                      <w:rFonts w:hint="default" w:eastAsia="宋体"/>
                      <w:bCs/>
                      <w:color w:val="auto"/>
                      <w:kern w:val="0"/>
                      <w:sz w:val="21"/>
                      <w:szCs w:val="21"/>
                      <w:lang w:val="en-US" w:eastAsia="zh-CN"/>
                    </w:rPr>
                  </w:pPr>
                  <w:r>
                    <w:rPr>
                      <w:rFonts w:hint="eastAsia"/>
                      <w:bCs/>
                      <w:color w:val="auto"/>
                      <w:kern w:val="0"/>
                      <w:sz w:val="21"/>
                      <w:szCs w:val="21"/>
                      <w:lang w:val="en-US" w:eastAsia="zh-CN"/>
                    </w:rPr>
                    <w:t>立扬机械下风向</w:t>
                  </w:r>
                </w:p>
              </w:tc>
              <w:tc>
                <w:tcPr>
                  <w:tcW w:w="941" w:type="dxa"/>
                  <w:vAlign w:val="center"/>
                </w:tcPr>
                <w:p>
                  <w:pPr>
                    <w:pStyle w:val="110"/>
                    <w:spacing w:line="240" w:lineRule="auto"/>
                    <w:ind w:firstLine="0"/>
                    <w:jc w:val="center"/>
                    <w:rPr>
                      <w:bCs/>
                      <w:color w:val="auto"/>
                      <w:kern w:val="0"/>
                      <w:sz w:val="21"/>
                      <w:szCs w:val="21"/>
                    </w:rPr>
                  </w:pPr>
                  <w:r>
                    <w:rPr>
                      <w:rFonts w:hint="eastAsia"/>
                      <w:bCs/>
                      <w:color w:val="auto"/>
                      <w:kern w:val="0"/>
                      <w:sz w:val="21"/>
                      <w:szCs w:val="21"/>
                    </w:rPr>
                    <w:t>总悬浮颗粒物</w:t>
                  </w:r>
                </w:p>
              </w:tc>
              <w:tc>
                <w:tcPr>
                  <w:tcW w:w="1178" w:type="dxa"/>
                  <w:vAlign w:val="center"/>
                </w:tcPr>
                <w:p>
                  <w:pPr>
                    <w:pStyle w:val="110"/>
                    <w:spacing w:line="240" w:lineRule="auto"/>
                    <w:ind w:firstLine="0"/>
                    <w:jc w:val="center"/>
                    <w:rPr>
                      <w:bCs/>
                      <w:color w:val="auto"/>
                      <w:kern w:val="0"/>
                      <w:sz w:val="21"/>
                      <w:szCs w:val="21"/>
                    </w:rPr>
                  </w:pPr>
                  <w:r>
                    <w:rPr>
                      <w:rFonts w:hint="eastAsia"/>
                      <w:bCs/>
                      <w:color w:val="auto"/>
                      <w:kern w:val="0"/>
                      <w:sz w:val="21"/>
                      <w:szCs w:val="21"/>
                      <w:lang w:val="en-US" w:eastAsia="zh-CN"/>
                    </w:rPr>
                    <w:t>0.3m</w:t>
                  </w:r>
                  <w:r>
                    <w:rPr>
                      <w:rFonts w:hint="eastAsia"/>
                      <w:bCs/>
                      <w:color w:val="auto"/>
                      <w:kern w:val="0"/>
                      <w:sz w:val="21"/>
                      <w:szCs w:val="21"/>
                    </w:rPr>
                    <w:t>g/m</w:t>
                  </w:r>
                  <w:r>
                    <w:rPr>
                      <w:rFonts w:hint="eastAsia"/>
                      <w:bCs/>
                      <w:color w:val="auto"/>
                      <w:kern w:val="0"/>
                      <w:sz w:val="21"/>
                      <w:szCs w:val="21"/>
                      <w:vertAlign w:val="superscript"/>
                    </w:rPr>
                    <w:t>3</w:t>
                  </w:r>
                </w:p>
              </w:tc>
              <w:tc>
                <w:tcPr>
                  <w:tcW w:w="1549" w:type="dxa"/>
                  <w:vAlign w:val="center"/>
                </w:tcPr>
                <w:p>
                  <w:pPr>
                    <w:pStyle w:val="110"/>
                    <w:spacing w:line="240" w:lineRule="auto"/>
                    <w:ind w:firstLine="0"/>
                    <w:jc w:val="center"/>
                    <w:rPr>
                      <w:rFonts w:hint="eastAsia"/>
                      <w:bCs/>
                      <w:color w:val="auto"/>
                      <w:kern w:val="0"/>
                      <w:sz w:val="21"/>
                      <w:szCs w:val="21"/>
                      <w:lang w:val="en-US" w:eastAsia="zh-CN"/>
                    </w:rPr>
                  </w:pPr>
                  <w:r>
                    <w:rPr>
                      <w:rFonts w:hint="eastAsia"/>
                      <w:bCs/>
                      <w:color w:val="auto"/>
                      <w:kern w:val="0"/>
                      <w:sz w:val="21"/>
                      <w:szCs w:val="21"/>
                      <w:lang w:val="en-US" w:eastAsia="zh-CN"/>
                    </w:rPr>
                    <w:t>0.061-0.066</w:t>
                  </w:r>
                </w:p>
                <w:p>
                  <w:pPr>
                    <w:pStyle w:val="110"/>
                    <w:spacing w:line="240" w:lineRule="auto"/>
                    <w:ind w:firstLine="0"/>
                    <w:jc w:val="center"/>
                    <w:rPr>
                      <w:bCs/>
                      <w:color w:val="auto"/>
                      <w:kern w:val="0"/>
                      <w:sz w:val="21"/>
                      <w:szCs w:val="21"/>
                    </w:rPr>
                  </w:pPr>
                  <w:r>
                    <w:rPr>
                      <w:rFonts w:hint="eastAsia"/>
                      <w:bCs/>
                      <w:color w:val="auto"/>
                      <w:kern w:val="0"/>
                      <w:sz w:val="21"/>
                      <w:szCs w:val="21"/>
                      <w:lang w:val="en-US" w:eastAsia="zh-CN"/>
                    </w:rPr>
                    <w:t>m</w:t>
                  </w:r>
                  <w:r>
                    <w:rPr>
                      <w:rFonts w:hint="eastAsia"/>
                      <w:bCs/>
                      <w:color w:val="auto"/>
                      <w:kern w:val="0"/>
                      <w:sz w:val="21"/>
                      <w:szCs w:val="21"/>
                    </w:rPr>
                    <w:t>g/m</w:t>
                  </w:r>
                  <w:r>
                    <w:rPr>
                      <w:rFonts w:hint="eastAsia"/>
                      <w:bCs/>
                      <w:color w:val="auto"/>
                      <w:kern w:val="0"/>
                      <w:sz w:val="21"/>
                      <w:szCs w:val="21"/>
                      <w:vertAlign w:val="superscript"/>
                    </w:rPr>
                    <w:t>3</w:t>
                  </w:r>
                </w:p>
              </w:tc>
              <w:tc>
                <w:tcPr>
                  <w:tcW w:w="1336" w:type="dxa"/>
                  <w:vAlign w:val="center"/>
                </w:tcPr>
                <w:p>
                  <w:pPr>
                    <w:pStyle w:val="110"/>
                    <w:spacing w:line="240" w:lineRule="auto"/>
                    <w:ind w:firstLine="0"/>
                    <w:jc w:val="center"/>
                    <w:rPr>
                      <w:rFonts w:hint="default" w:eastAsia="宋体"/>
                      <w:bCs/>
                      <w:color w:val="auto"/>
                      <w:kern w:val="0"/>
                      <w:sz w:val="21"/>
                      <w:szCs w:val="21"/>
                      <w:lang w:val="en-US" w:eastAsia="zh-CN"/>
                    </w:rPr>
                  </w:pPr>
                  <w:r>
                    <w:rPr>
                      <w:rFonts w:hint="eastAsia"/>
                      <w:bCs/>
                      <w:color w:val="auto"/>
                      <w:kern w:val="0"/>
                      <w:sz w:val="21"/>
                      <w:szCs w:val="21"/>
                      <w:lang w:val="en-US" w:eastAsia="zh-CN"/>
                    </w:rPr>
                    <w:t>22</w:t>
                  </w:r>
                </w:p>
              </w:tc>
              <w:tc>
                <w:tcPr>
                  <w:tcW w:w="969" w:type="dxa"/>
                  <w:vAlign w:val="center"/>
                </w:tcPr>
                <w:p>
                  <w:pPr>
                    <w:pStyle w:val="110"/>
                    <w:spacing w:line="240" w:lineRule="auto"/>
                    <w:ind w:firstLine="0"/>
                    <w:jc w:val="center"/>
                    <w:rPr>
                      <w:bCs/>
                      <w:color w:val="auto"/>
                      <w:kern w:val="0"/>
                      <w:sz w:val="21"/>
                      <w:szCs w:val="21"/>
                    </w:rPr>
                  </w:pPr>
                  <w:r>
                    <w:rPr>
                      <w:rFonts w:hint="eastAsia"/>
                      <w:bCs/>
                      <w:color w:val="auto"/>
                      <w:kern w:val="0"/>
                      <w:sz w:val="21"/>
                      <w:szCs w:val="21"/>
                    </w:rPr>
                    <w:t>0</w:t>
                  </w:r>
                </w:p>
              </w:tc>
              <w:tc>
                <w:tcPr>
                  <w:tcW w:w="709" w:type="dxa"/>
                  <w:vAlign w:val="center"/>
                </w:tcPr>
                <w:p>
                  <w:pPr>
                    <w:pStyle w:val="110"/>
                    <w:spacing w:line="240" w:lineRule="auto"/>
                    <w:ind w:firstLine="0"/>
                    <w:jc w:val="center"/>
                    <w:rPr>
                      <w:bCs/>
                      <w:color w:val="auto"/>
                      <w:kern w:val="0"/>
                      <w:sz w:val="21"/>
                      <w:szCs w:val="21"/>
                    </w:rPr>
                  </w:pPr>
                  <w:r>
                    <w:rPr>
                      <w:rFonts w:hint="eastAsia"/>
                      <w:bCs/>
                      <w:color w:val="auto"/>
                      <w:kern w:val="0"/>
                      <w:sz w:val="21"/>
                      <w:szCs w:val="21"/>
                    </w:rPr>
                    <w:t>达标</w:t>
                  </w:r>
                </w:p>
              </w:tc>
            </w:tr>
          </w:tbl>
          <w:p>
            <w:pPr>
              <w:keepNext w:val="0"/>
              <w:keepLines w:val="0"/>
              <w:pageBreakBefore w:val="0"/>
              <w:widowControl w:val="0"/>
              <w:kinsoku/>
              <w:wordWrap/>
              <w:overflowPunct/>
              <w:topLinePunct w:val="0"/>
              <w:autoSpaceDE/>
              <w:autoSpaceDN/>
              <w:bidi w:val="0"/>
              <w:adjustRightInd/>
              <w:snapToGrid/>
              <w:spacing w:line="140" w:lineRule="exact"/>
              <w:ind w:firstLine="480" w:firstLineChars="200"/>
              <w:textAlignment w:val="auto"/>
              <w:rPr>
                <w:rFonts w:hint="eastAsia" w:ascii="Times New Roman" w:hAnsi="Times New Roman" w:eastAsia="宋体" w:cs="Times New Roman"/>
                <w:color w:val="auto"/>
                <w:szCs w:val="24"/>
              </w:rPr>
            </w:pPr>
          </w:p>
          <w:p>
            <w:pPr>
              <w:spacing w:line="360" w:lineRule="auto"/>
              <w:ind w:firstLine="480" w:firstLineChars="200"/>
              <w:rPr>
                <w:rFonts w:hint="default" w:ascii="Times New Roman" w:hAnsi="Times New Roman" w:eastAsia="宋体" w:cs="Times New Roman"/>
                <w:color w:val="FF0000"/>
              </w:rPr>
            </w:pPr>
            <w:r>
              <w:rPr>
                <w:rFonts w:hint="eastAsia" w:ascii="Times New Roman" w:hAnsi="Times New Roman" w:eastAsia="宋体" w:cs="Times New Roman"/>
                <w:color w:val="auto"/>
                <w:szCs w:val="24"/>
              </w:rPr>
              <w:t>监测结果表明：项目所在区域的TSP满足《环境空气质量标准》(GB3095-2012)二级标准</w:t>
            </w:r>
            <w:r>
              <w:rPr>
                <w:rFonts w:ascii="Times New Roman" w:hAnsi="Times New Roman" w:eastAsia="宋体" w:cs="Times New Roman"/>
                <w:color w:val="auto"/>
                <w:szCs w:val="24"/>
              </w:rPr>
              <w:t>。</w:t>
            </w:r>
          </w:p>
          <w:p>
            <w:pPr>
              <w:pStyle w:val="40"/>
              <w:rPr>
                <w:rFonts w:hint="default" w:ascii="Times New Roman" w:hAnsi="Times New Roman" w:cs="Times New Roman"/>
                <w:color w:val="FF0000"/>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3.1.2地表水环境</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rPr>
              <w:t>本项目生活污水经化粪池预处理后纳管至</w:t>
            </w:r>
            <w:r>
              <w:rPr>
                <w:rFonts w:hint="default" w:ascii="Times New Roman" w:hAnsi="Times New Roman" w:cs="Times New Roman"/>
                <w:color w:val="auto"/>
                <w:lang w:eastAsia="zh-CN"/>
              </w:rPr>
              <w:t>德清鸿晟水务科技有限公司</w:t>
            </w:r>
            <w:r>
              <w:rPr>
                <w:rFonts w:hint="default" w:ascii="Times New Roman" w:hAnsi="Times New Roman" w:cs="Times New Roman"/>
                <w:color w:val="auto"/>
              </w:rPr>
              <w:t>处理后达标排放，</w:t>
            </w:r>
            <w:r>
              <w:rPr>
                <w:rFonts w:hint="default" w:ascii="Times New Roman" w:hAnsi="Times New Roman" w:cs="Times New Roman"/>
                <w:color w:val="auto"/>
                <w:szCs w:val="24"/>
              </w:rPr>
              <w:t>因此其纳污水体为</w:t>
            </w:r>
            <w:r>
              <w:rPr>
                <w:rFonts w:hint="default" w:ascii="Times New Roman" w:hAnsi="Times New Roman" w:eastAsia="宋体" w:cs="Times New Roman"/>
                <w:color w:val="auto"/>
                <w:kern w:val="0"/>
                <w:sz w:val="24"/>
                <w:szCs w:val="24"/>
                <w:lang w:val="en-US" w:eastAsia="zh-CN" w:bidi="ar"/>
              </w:rPr>
              <w:t>洋溪港</w:t>
            </w:r>
            <w:r>
              <w:rPr>
                <w:rFonts w:hint="default" w:ascii="Times New Roman" w:hAnsi="Times New Roman" w:cs="Times New Roman"/>
                <w:color w:val="auto"/>
                <w:szCs w:val="24"/>
              </w:rPr>
              <w:t>，根据《浙江省水功能区、水环境功能区划分方案（2015）》，该段河道目标水质为Ⅲ类，执行《地表水环境质量标准》（GB3838-2002）Ⅲ类标准。</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为了解本项目所在地的水环境质量现状，本环评收集了《202</w:t>
            </w:r>
            <w:r>
              <w:rPr>
                <w:rFonts w:hint="default" w:ascii="Times New Roman" w:hAnsi="Times New Roman" w:cs="Times New Roman"/>
                <w:color w:val="auto"/>
                <w:szCs w:val="24"/>
                <w:lang w:val="en-US" w:eastAsia="zh-CN"/>
              </w:rPr>
              <w:t>2</w:t>
            </w:r>
            <w:r>
              <w:rPr>
                <w:rFonts w:hint="default" w:ascii="Times New Roman" w:hAnsi="Times New Roman" w:cs="Times New Roman"/>
                <w:color w:val="auto"/>
                <w:szCs w:val="24"/>
              </w:rPr>
              <w:t>年度德清环境质量报告书》中相关数据，结果见表</w:t>
            </w:r>
            <w:r>
              <w:rPr>
                <w:rFonts w:hint="default" w:ascii="Times New Roman" w:hAnsi="Times New Roman" w:cs="Times New Roman"/>
                <w:color w:val="auto"/>
                <w:szCs w:val="24"/>
                <w:lang w:val="en-US" w:eastAsia="zh-CN"/>
              </w:rPr>
              <w:t>3-</w:t>
            </w:r>
            <w:r>
              <w:rPr>
                <w:rFonts w:hint="eastAsia" w:cs="Times New Roman"/>
                <w:color w:val="auto"/>
                <w:szCs w:val="24"/>
                <w:lang w:val="en-US" w:eastAsia="zh-CN"/>
              </w:rPr>
              <w:t>3</w:t>
            </w:r>
            <w:r>
              <w:rPr>
                <w:rFonts w:hint="default" w:ascii="Times New Roman" w:hAnsi="Times New Roman" w:cs="Times New Roman"/>
                <w:color w:val="auto"/>
                <w:szCs w:val="24"/>
              </w:rPr>
              <w:t>。</w:t>
            </w:r>
          </w:p>
          <w:p>
            <w:pPr>
              <w:adjustRightInd w:val="0"/>
              <w:snapToGrid w:val="0"/>
              <w:jc w:val="center"/>
              <w:rPr>
                <w:rFonts w:hint="default" w:ascii="Times New Roman" w:hAnsi="Times New Roman" w:cs="Times New Roman"/>
                <w:b/>
                <w:bCs/>
                <w:color w:val="auto"/>
                <w:szCs w:val="24"/>
              </w:rPr>
            </w:pPr>
            <w:bookmarkStart w:id="18" w:name="_Toc178827130"/>
            <w:r>
              <w:rPr>
                <w:rFonts w:hint="default" w:ascii="Times New Roman" w:hAnsi="Times New Roman" w:cs="Times New Roman"/>
                <w:b/>
                <w:bCs/>
                <w:color w:val="auto"/>
                <w:szCs w:val="24"/>
              </w:rPr>
              <w:t>表3-</w:t>
            </w:r>
            <w:r>
              <w:rPr>
                <w:rFonts w:hint="eastAsia" w:cs="Times New Roman"/>
                <w:b/>
                <w:bCs/>
                <w:color w:val="auto"/>
                <w:szCs w:val="24"/>
                <w:lang w:val="en-US" w:eastAsia="zh-CN"/>
              </w:rPr>
              <w:t>3</w:t>
            </w:r>
            <w:r>
              <w:rPr>
                <w:rFonts w:hint="default" w:ascii="Times New Roman" w:hAnsi="Times New Roman" w:cs="Times New Roman"/>
                <w:b/>
                <w:bCs/>
                <w:color w:val="auto"/>
                <w:szCs w:val="24"/>
              </w:rPr>
              <w:t xml:space="preserve"> </w:t>
            </w:r>
            <w:r>
              <w:rPr>
                <w:rFonts w:hint="default" w:ascii="Times New Roman" w:hAnsi="Times New Roman" w:cs="Times New Roman"/>
                <w:b/>
                <w:bCs/>
                <w:color w:val="auto"/>
                <w:szCs w:val="24"/>
                <w:lang w:val="en-US" w:eastAsia="zh-CN"/>
              </w:rPr>
              <w:t xml:space="preserve"> 洋</w:t>
            </w:r>
            <w:r>
              <w:rPr>
                <w:rFonts w:hint="default" w:ascii="Times New Roman" w:hAnsi="Times New Roman" w:cs="Times New Roman"/>
                <w:b/>
                <w:bCs/>
                <w:color w:val="auto"/>
                <w:szCs w:val="24"/>
              </w:rPr>
              <w:t>溪</w:t>
            </w:r>
            <w:r>
              <w:rPr>
                <w:rFonts w:hint="default" w:ascii="Times New Roman" w:hAnsi="Times New Roman" w:cs="Times New Roman"/>
                <w:b/>
                <w:bCs/>
                <w:color w:val="auto"/>
                <w:szCs w:val="24"/>
                <w:lang w:val="en-US" w:eastAsia="zh-CN"/>
              </w:rPr>
              <w:t>港</w:t>
            </w:r>
            <w:r>
              <w:rPr>
                <w:rFonts w:hint="default" w:ascii="Times New Roman" w:hAnsi="Times New Roman" w:cs="Times New Roman"/>
                <w:b/>
                <w:bCs/>
                <w:color w:val="auto"/>
                <w:szCs w:val="24"/>
              </w:rPr>
              <w:t>水质监测结果及评价</w:t>
            </w:r>
          </w:p>
          <w:p>
            <w:pPr>
              <w:jc w:val="right"/>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单位：mg/L</w:t>
            </w:r>
          </w:p>
          <w:bookmarkEnd w:id="18"/>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7"/>
              <w:gridCol w:w="1147"/>
              <w:gridCol w:w="1147"/>
              <w:gridCol w:w="1147"/>
              <w:gridCol w:w="1151"/>
              <w:gridCol w:w="995"/>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47" w:type="dxa"/>
                  <w:vMerge w:val="restart"/>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监测点位</w:t>
                  </w:r>
                </w:p>
              </w:tc>
              <w:tc>
                <w:tcPr>
                  <w:tcW w:w="1147" w:type="dxa"/>
                  <w:vMerge w:val="restart"/>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高锰酸盐指数</w:t>
                  </w:r>
                </w:p>
              </w:tc>
              <w:tc>
                <w:tcPr>
                  <w:tcW w:w="1147" w:type="dxa"/>
                  <w:vMerge w:val="restart"/>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氨氮</w:t>
                  </w:r>
                </w:p>
              </w:tc>
              <w:tc>
                <w:tcPr>
                  <w:tcW w:w="1147" w:type="dxa"/>
                  <w:vMerge w:val="restart"/>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总磷</w:t>
                  </w:r>
                </w:p>
              </w:tc>
              <w:tc>
                <w:tcPr>
                  <w:tcW w:w="1151" w:type="dxa"/>
                  <w:vMerge w:val="restart"/>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悬浮物</w:t>
                  </w:r>
                </w:p>
              </w:tc>
              <w:tc>
                <w:tcPr>
                  <w:tcW w:w="1916" w:type="dxa"/>
                  <w:gridSpan w:val="2"/>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水质类别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47" w:type="dxa"/>
                  <w:vMerge w:val="continue"/>
                  <w:vAlign w:val="center"/>
                </w:tcPr>
                <w:p>
                  <w:pPr>
                    <w:jc w:val="center"/>
                    <w:rPr>
                      <w:rFonts w:hint="default" w:ascii="Times New Roman" w:hAnsi="Times New Roman" w:cs="Times New Roman"/>
                      <w:b/>
                      <w:bCs/>
                      <w:color w:val="auto"/>
                      <w:sz w:val="21"/>
                      <w:szCs w:val="21"/>
                    </w:rPr>
                  </w:pPr>
                </w:p>
              </w:tc>
              <w:tc>
                <w:tcPr>
                  <w:tcW w:w="1147" w:type="dxa"/>
                  <w:vMerge w:val="continue"/>
                  <w:vAlign w:val="center"/>
                </w:tcPr>
                <w:p>
                  <w:pPr>
                    <w:jc w:val="center"/>
                    <w:rPr>
                      <w:rFonts w:hint="default" w:ascii="Times New Roman" w:hAnsi="Times New Roman" w:cs="Times New Roman"/>
                      <w:b/>
                      <w:bCs/>
                      <w:color w:val="auto"/>
                      <w:sz w:val="21"/>
                      <w:szCs w:val="21"/>
                    </w:rPr>
                  </w:pPr>
                </w:p>
              </w:tc>
              <w:tc>
                <w:tcPr>
                  <w:tcW w:w="1147" w:type="dxa"/>
                  <w:vMerge w:val="continue"/>
                  <w:vAlign w:val="center"/>
                </w:tcPr>
                <w:p>
                  <w:pPr>
                    <w:jc w:val="center"/>
                    <w:rPr>
                      <w:rFonts w:hint="default" w:ascii="Times New Roman" w:hAnsi="Times New Roman" w:cs="Times New Roman"/>
                      <w:b/>
                      <w:bCs/>
                      <w:color w:val="auto"/>
                      <w:sz w:val="21"/>
                      <w:szCs w:val="21"/>
                    </w:rPr>
                  </w:pPr>
                </w:p>
              </w:tc>
              <w:tc>
                <w:tcPr>
                  <w:tcW w:w="1147" w:type="dxa"/>
                  <w:vMerge w:val="continue"/>
                  <w:vAlign w:val="center"/>
                </w:tcPr>
                <w:p>
                  <w:pPr>
                    <w:jc w:val="center"/>
                    <w:rPr>
                      <w:rFonts w:hint="default" w:ascii="Times New Roman" w:hAnsi="Times New Roman" w:cs="Times New Roman"/>
                      <w:b/>
                      <w:bCs/>
                      <w:color w:val="auto"/>
                      <w:sz w:val="21"/>
                      <w:szCs w:val="21"/>
                    </w:rPr>
                  </w:pPr>
                </w:p>
              </w:tc>
              <w:tc>
                <w:tcPr>
                  <w:tcW w:w="1151" w:type="dxa"/>
                  <w:vMerge w:val="continue"/>
                  <w:vAlign w:val="center"/>
                </w:tcPr>
                <w:p>
                  <w:pPr>
                    <w:jc w:val="center"/>
                    <w:rPr>
                      <w:rFonts w:hint="default" w:ascii="Times New Roman" w:hAnsi="Times New Roman" w:cs="Times New Roman"/>
                      <w:b/>
                      <w:bCs/>
                      <w:color w:val="auto"/>
                      <w:sz w:val="21"/>
                      <w:szCs w:val="21"/>
                    </w:rPr>
                  </w:pPr>
                </w:p>
              </w:tc>
              <w:tc>
                <w:tcPr>
                  <w:tcW w:w="995"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202</w:t>
                  </w:r>
                  <w:r>
                    <w:rPr>
                      <w:rFonts w:hint="default" w:ascii="Times New Roman" w:hAnsi="Times New Roman" w:cs="Times New Roman"/>
                      <w:b/>
                      <w:bCs/>
                      <w:color w:val="auto"/>
                      <w:sz w:val="21"/>
                      <w:szCs w:val="21"/>
                      <w:lang w:val="en-US" w:eastAsia="zh-CN"/>
                    </w:rPr>
                    <w:t>2</w:t>
                  </w:r>
                  <w:r>
                    <w:rPr>
                      <w:rFonts w:hint="default" w:ascii="Times New Roman" w:hAnsi="Times New Roman" w:cs="Times New Roman"/>
                      <w:b/>
                      <w:bCs/>
                      <w:color w:val="auto"/>
                      <w:sz w:val="21"/>
                      <w:szCs w:val="21"/>
                    </w:rPr>
                    <w:t>年</w:t>
                  </w:r>
                </w:p>
              </w:tc>
              <w:tc>
                <w:tcPr>
                  <w:tcW w:w="921"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2021年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7" w:type="dxa"/>
                  <w:vAlign w:val="center"/>
                </w:tcPr>
                <w:p>
                  <w:pPr>
                    <w:autoSpaceDN w:val="0"/>
                    <w:jc w:val="center"/>
                    <w:textAlignment w:val="center"/>
                    <w:rPr>
                      <w:rFonts w:hint="default" w:ascii="Times New Roman" w:hAnsi="Times New Roman" w:eastAsia="宋体" w:cs="Times New Roman"/>
                      <w:b/>
                      <w:bCs/>
                      <w:color w:val="auto"/>
                      <w:sz w:val="21"/>
                      <w:szCs w:val="21"/>
                      <w:lang w:val="en-US" w:eastAsia="zh-CN"/>
                    </w:rPr>
                  </w:pPr>
                  <w:r>
                    <w:rPr>
                      <w:rFonts w:hint="default" w:ascii="Times New Roman" w:hAnsi="Times New Roman" w:cs="Times New Roman"/>
                      <w:color w:val="auto"/>
                      <w:sz w:val="21"/>
                      <w:szCs w:val="21"/>
                      <w:lang w:val="en-US" w:eastAsia="zh-CN"/>
                    </w:rPr>
                    <w:t>南湖二桥</w:t>
                  </w:r>
                </w:p>
              </w:tc>
              <w:tc>
                <w:tcPr>
                  <w:tcW w:w="1147" w:type="dxa"/>
                  <w:vAlign w:val="center"/>
                </w:tcPr>
                <w:p>
                  <w:pPr>
                    <w:widowControl/>
                    <w:jc w:val="center"/>
                    <w:textAlignment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4.5</w:t>
                  </w:r>
                </w:p>
              </w:tc>
              <w:tc>
                <w:tcPr>
                  <w:tcW w:w="1147" w:type="dxa"/>
                  <w:vAlign w:val="center"/>
                </w:tcPr>
                <w:p>
                  <w:pPr>
                    <w:widowControl/>
                    <w:jc w:val="center"/>
                    <w:textAlignment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0.67</w:t>
                  </w:r>
                </w:p>
              </w:tc>
              <w:tc>
                <w:tcPr>
                  <w:tcW w:w="1147" w:type="dxa"/>
                  <w:vAlign w:val="center"/>
                </w:tcPr>
                <w:p>
                  <w:pPr>
                    <w:widowControl/>
                    <w:jc w:val="center"/>
                    <w:textAlignment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0.15</w:t>
                  </w:r>
                </w:p>
              </w:tc>
              <w:tc>
                <w:tcPr>
                  <w:tcW w:w="1151" w:type="dxa"/>
                  <w:vAlign w:val="center"/>
                </w:tcPr>
                <w:p>
                  <w:pPr>
                    <w:widowControl/>
                    <w:jc w:val="center"/>
                    <w:textAlignment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57</w:t>
                  </w:r>
                </w:p>
              </w:tc>
              <w:tc>
                <w:tcPr>
                  <w:tcW w:w="995"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Ⅲ类</w:t>
                  </w:r>
                </w:p>
              </w:tc>
              <w:tc>
                <w:tcPr>
                  <w:tcW w:w="921"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Ⅲ类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7" w:type="dxa"/>
                  <w:vAlign w:val="center"/>
                </w:tcPr>
                <w:p>
                  <w:pPr>
                    <w:autoSpaceDN w:val="0"/>
                    <w:jc w:val="center"/>
                    <w:textAlignment w:val="center"/>
                    <w:rPr>
                      <w:rFonts w:hint="default" w:ascii="Times New Roman" w:hAnsi="Times New Roman" w:eastAsia="宋体" w:cs="Times New Roman"/>
                      <w:b/>
                      <w:bCs/>
                      <w:color w:val="auto"/>
                      <w:sz w:val="21"/>
                      <w:szCs w:val="21"/>
                      <w:lang w:eastAsia="zh-CN"/>
                    </w:rPr>
                  </w:pPr>
                  <w:r>
                    <w:rPr>
                      <w:rFonts w:hint="default" w:ascii="Times New Roman" w:hAnsi="Times New Roman" w:cs="Times New Roman"/>
                      <w:color w:val="auto"/>
                      <w:sz w:val="21"/>
                      <w:szCs w:val="21"/>
                      <w:lang w:val="en-US" w:eastAsia="zh-CN"/>
                    </w:rPr>
                    <w:t>北代舍桥</w:t>
                  </w:r>
                </w:p>
              </w:tc>
              <w:tc>
                <w:tcPr>
                  <w:tcW w:w="1147" w:type="dxa"/>
                  <w:vAlign w:val="center"/>
                </w:tcPr>
                <w:p>
                  <w:pPr>
                    <w:widowControl/>
                    <w:jc w:val="center"/>
                    <w:textAlignment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4.3</w:t>
                  </w:r>
                </w:p>
              </w:tc>
              <w:tc>
                <w:tcPr>
                  <w:tcW w:w="1147" w:type="dxa"/>
                  <w:vAlign w:val="center"/>
                </w:tcPr>
                <w:p>
                  <w:pPr>
                    <w:widowControl/>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cs="Times New Roman"/>
                      <w:bCs/>
                      <w:color w:val="auto"/>
                      <w:kern w:val="0"/>
                      <w:sz w:val="21"/>
                      <w:szCs w:val="21"/>
                      <w:lang w:val="en-US" w:eastAsia="zh-CN"/>
                    </w:rPr>
                    <w:t>0.42</w:t>
                  </w:r>
                </w:p>
              </w:tc>
              <w:tc>
                <w:tcPr>
                  <w:tcW w:w="1147" w:type="dxa"/>
                  <w:vAlign w:val="center"/>
                </w:tcPr>
                <w:p>
                  <w:pPr>
                    <w:widowControl/>
                    <w:jc w:val="center"/>
                    <w:textAlignment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0.16</w:t>
                  </w:r>
                </w:p>
              </w:tc>
              <w:tc>
                <w:tcPr>
                  <w:tcW w:w="1151" w:type="dxa"/>
                  <w:vAlign w:val="center"/>
                </w:tcPr>
                <w:p>
                  <w:pPr>
                    <w:widowControl/>
                    <w:jc w:val="center"/>
                    <w:textAlignment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44</w:t>
                  </w:r>
                </w:p>
              </w:tc>
              <w:tc>
                <w:tcPr>
                  <w:tcW w:w="995"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Ⅲ类</w:t>
                  </w:r>
                </w:p>
              </w:tc>
              <w:tc>
                <w:tcPr>
                  <w:tcW w:w="921"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color w:val="auto"/>
                      <w:sz w:val="21"/>
                      <w:szCs w:val="21"/>
                    </w:rPr>
                    <w:t>Ⅲ类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7" w:type="dxa"/>
                  <w:vAlign w:val="center"/>
                </w:tcPr>
                <w:p>
                  <w:pPr>
                    <w:autoSpaceDN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西栅漾</w:t>
                  </w:r>
                </w:p>
              </w:tc>
              <w:tc>
                <w:tcPr>
                  <w:tcW w:w="1147" w:type="dxa"/>
                  <w:vAlign w:val="center"/>
                </w:tcPr>
                <w:p>
                  <w:pPr>
                    <w:autoSpaceDN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4.1</w:t>
                  </w:r>
                </w:p>
              </w:tc>
              <w:tc>
                <w:tcPr>
                  <w:tcW w:w="1147" w:type="dxa"/>
                  <w:vAlign w:val="center"/>
                </w:tcPr>
                <w:p>
                  <w:pPr>
                    <w:widowControl/>
                    <w:jc w:val="center"/>
                    <w:textAlignment w:val="center"/>
                    <w:rPr>
                      <w:rFonts w:hint="default" w:ascii="Times New Roman" w:hAnsi="Times New Roman" w:cs="Times New Roman"/>
                      <w:bCs/>
                      <w:color w:val="auto"/>
                      <w:kern w:val="0"/>
                      <w:sz w:val="21"/>
                      <w:szCs w:val="21"/>
                      <w:lang w:val="en-US" w:eastAsia="zh-CN"/>
                    </w:rPr>
                  </w:pPr>
                  <w:r>
                    <w:rPr>
                      <w:rFonts w:hint="default" w:ascii="Times New Roman" w:hAnsi="Times New Roman" w:cs="Times New Roman"/>
                      <w:bCs/>
                      <w:color w:val="auto"/>
                      <w:kern w:val="0"/>
                      <w:sz w:val="21"/>
                      <w:szCs w:val="21"/>
                      <w:lang w:val="en-US" w:eastAsia="zh-CN"/>
                    </w:rPr>
                    <w:t>0.54</w:t>
                  </w:r>
                </w:p>
              </w:tc>
              <w:tc>
                <w:tcPr>
                  <w:tcW w:w="1147" w:type="dxa"/>
                  <w:vAlign w:val="center"/>
                </w:tcPr>
                <w:p>
                  <w:pPr>
                    <w:widowControl/>
                    <w:jc w:val="center"/>
                    <w:textAlignment w:val="center"/>
                    <w:rPr>
                      <w:rFonts w:hint="default" w:ascii="Times New Roman" w:hAnsi="Times New Roman" w:cs="Times New Roman"/>
                      <w:bCs/>
                      <w:color w:val="auto"/>
                      <w:sz w:val="21"/>
                      <w:szCs w:val="21"/>
                      <w:lang w:val="en-US" w:eastAsia="zh-CN"/>
                    </w:rPr>
                  </w:pPr>
                  <w:r>
                    <w:rPr>
                      <w:rFonts w:hint="default" w:ascii="Times New Roman" w:hAnsi="Times New Roman" w:cs="Times New Roman"/>
                      <w:bCs/>
                      <w:color w:val="auto"/>
                      <w:sz w:val="21"/>
                      <w:szCs w:val="21"/>
                      <w:lang w:val="en-US" w:eastAsia="zh-CN"/>
                    </w:rPr>
                    <w:t>0.12</w:t>
                  </w:r>
                </w:p>
              </w:tc>
              <w:tc>
                <w:tcPr>
                  <w:tcW w:w="1151" w:type="dxa"/>
                  <w:vAlign w:val="center"/>
                </w:tcPr>
                <w:p>
                  <w:pPr>
                    <w:widowControl/>
                    <w:jc w:val="center"/>
                    <w:textAlignment w:val="center"/>
                    <w:rPr>
                      <w:rFonts w:hint="default" w:ascii="Times New Roman" w:hAnsi="Times New Roman" w:cs="Times New Roman"/>
                      <w:bCs/>
                      <w:color w:val="auto"/>
                      <w:sz w:val="21"/>
                      <w:szCs w:val="21"/>
                      <w:lang w:val="en-US" w:eastAsia="zh-CN"/>
                    </w:rPr>
                  </w:pPr>
                  <w:r>
                    <w:rPr>
                      <w:rFonts w:hint="default" w:ascii="Times New Roman" w:hAnsi="Times New Roman" w:cs="Times New Roman"/>
                      <w:bCs/>
                      <w:color w:val="auto"/>
                      <w:sz w:val="21"/>
                      <w:szCs w:val="21"/>
                      <w:lang w:val="en-US" w:eastAsia="zh-CN"/>
                    </w:rPr>
                    <w:t>33</w:t>
                  </w:r>
                </w:p>
              </w:tc>
              <w:tc>
                <w:tcPr>
                  <w:tcW w:w="995" w:type="dxa"/>
                  <w:vAlign w:val="center"/>
                </w:tcPr>
                <w:p>
                  <w:pPr>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cs="Times New Roman"/>
                      <w:color w:val="auto"/>
                      <w:sz w:val="21"/>
                      <w:szCs w:val="21"/>
                    </w:rPr>
                    <w:t>Ⅲ类</w:t>
                  </w:r>
                </w:p>
              </w:tc>
              <w:tc>
                <w:tcPr>
                  <w:tcW w:w="921" w:type="dxa"/>
                  <w:vAlign w:val="center"/>
                </w:tcPr>
                <w:p>
                  <w:pPr>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cs="Times New Roman"/>
                      <w:color w:val="auto"/>
                      <w:sz w:val="21"/>
                      <w:szCs w:val="21"/>
                    </w:rPr>
                    <w:t>Ⅲ类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7" w:type="dxa"/>
                  <w:vAlign w:val="center"/>
                </w:tcPr>
                <w:p>
                  <w:pPr>
                    <w:autoSpaceDN w:val="0"/>
                    <w:jc w:val="center"/>
                    <w:textAlignment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Ⅲ类标准</w:t>
                  </w:r>
                </w:p>
              </w:tc>
              <w:tc>
                <w:tcPr>
                  <w:tcW w:w="1147" w:type="dxa"/>
                  <w:vAlign w:val="center"/>
                </w:tcPr>
                <w:p>
                  <w:pPr>
                    <w:widowControl/>
                    <w:jc w:val="center"/>
                    <w:textAlignment w:val="center"/>
                    <w:rPr>
                      <w:rFonts w:hint="default" w:ascii="Times New Roman" w:hAnsi="Times New Roman" w:cs="Times New Roman"/>
                      <w:bCs/>
                      <w:color w:val="auto"/>
                      <w:kern w:val="0"/>
                      <w:sz w:val="21"/>
                      <w:szCs w:val="21"/>
                    </w:rPr>
                  </w:pPr>
                  <w:r>
                    <w:rPr>
                      <w:rFonts w:hint="default" w:ascii="Times New Roman" w:hAnsi="Times New Roman" w:cs="Times New Roman"/>
                      <w:bCs/>
                      <w:color w:val="auto"/>
                      <w:kern w:val="0"/>
                      <w:sz w:val="21"/>
                      <w:szCs w:val="21"/>
                    </w:rPr>
                    <w:t>≤6</w:t>
                  </w:r>
                </w:p>
              </w:tc>
              <w:tc>
                <w:tcPr>
                  <w:tcW w:w="1147" w:type="dxa"/>
                  <w:vAlign w:val="center"/>
                </w:tcPr>
                <w:p>
                  <w:pPr>
                    <w:widowControl/>
                    <w:jc w:val="center"/>
                    <w:textAlignment w:val="center"/>
                    <w:rPr>
                      <w:rFonts w:hint="default" w:ascii="Times New Roman" w:hAnsi="Times New Roman" w:cs="Times New Roman"/>
                      <w:bCs/>
                      <w:color w:val="auto"/>
                      <w:kern w:val="0"/>
                      <w:sz w:val="21"/>
                      <w:szCs w:val="21"/>
                    </w:rPr>
                  </w:pPr>
                  <w:r>
                    <w:rPr>
                      <w:rFonts w:hint="default" w:ascii="Times New Roman" w:hAnsi="Times New Roman" w:cs="Times New Roman"/>
                      <w:bCs/>
                      <w:color w:val="auto"/>
                      <w:kern w:val="0"/>
                      <w:sz w:val="21"/>
                      <w:szCs w:val="21"/>
                    </w:rPr>
                    <w:t>≤1.0</w:t>
                  </w:r>
                </w:p>
              </w:tc>
              <w:tc>
                <w:tcPr>
                  <w:tcW w:w="1147" w:type="dxa"/>
                  <w:vAlign w:val="center"/>
                </w:tcPr>
                <w:p>
                  <w:pPr>
                    <w:widowControl/>
                    <w:jc w:val="center"/>
                    <w:textAlignment w:val="center"/>
                    <w:rPr>
                      <w:rFonts w:hint="default" w:ascii="Times New Roman" w:hAnsi="Times New Roman" w:cs="Times New Roman"/>
                      <w:bCs/>
                      <w:color w:val="auto"/>
                      <w:kern w:val="0"/>
                      <w:sz w:val="21"/>
                      <w:szCs w:val="21"/>
                    </w:rPr>
                  </w:pPr>
                  <w:r>
                    <w:rPr>
                      <w:rFonts w:hint="default" w:ascii="Times New Roman" w:hAnsi="Times New Roman" w:cs="Times New Roman"/>
                      <w:bCs/>
                      <w:color w:val="auto"/>
                      <w:kern w:val="0"/>
                      <w:sz w:val="21"/>
                      <w:szCs w:val="21"/>
                    </w:rPr>
                    <w:t>≤0.2</w:t>
                  </w:r>
                </w:p>
              </w:tc>
              <w:tc>
                <w:tcPr>
                  <w:tcW w:w="1151" w:type="dxa"/>
                  <w:vAlign w:val="center"/>
                </w:tcPr>
                <w:p>
                  <w:pPr>
                    <w:widowControl/>
                    <w:jc w:val="center"/>
                    <w:textAlignment w:val="center"/>
                    <w:rPr>
                      <w:rFonts w:hint="default" w:ascii="Times New Roman" w:hAnsi="Times New Roman" w:eastAsia="宋体" w:cs="Times New Roman"/>
                      <w:bCs/>
                      <w:color w:val="auto"/>
                      <w:kern w:val="0"/>
                      <w:sz w:val="21"/>
                      <w:szCs w:val="21"/>
                      <w:lang w:eastAsia="zh-CN"/>
                    </w:rPr>
                  </w:pPr>
                  <w:r>
                    <w:rPr>
                      <w:rFonts w:hint="default" w:ascii="Times New Roman" w:hAnsi="Times New Roman" w:cs="Times New Roman"/>
                      <w:bCs/>
                      <w:color w:val="auto"/>
                      <w:kern w:val="0"/>
                      <w:sz w:val="21"/>
                      <w:szCs w:val="21"/>
                      <w:lang w:val="en-US" w:eastAsia="zh-CN"/>
                    </w:rPr>
                    <w:t>/</w:t>
                  </w:r>
                </w:p>
              </w:tc>
              <w:tc>
                <w:tcPr>
                  <w:tcW w:w="995"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921"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bl>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由监测结果表明，本项目所在区域最终纳污水体水质基本可以达到《地表水环境质量标准》（GB3838-2002）中的Ⅲ类标准，项目区域内水环境常规污染物质量达标，具有一定的环境容量。</w:t>
            </w:r>
          </w:p>
          <w:p>
            <w:pPr>
              <w:pStyle w:val="38"/>
              <w:keepNext w:val="0"/>
              <w:keepLines w:val="0"/>
              <w:pageBreakBefore w:val="0"/>
              <w:widowControl w:val="0"/>
              <w:kinsoku/>
              <w:wordWrap/>
              <w:overflowPunct/>
              <w:topLinePunct w:val="0"/>
              <w:autoSpaceDE w:val="0"/>
              <w:autoSpaceDN w:val="0"/>
              <w:bidi w:val="0"/>
              <w:adjustRightInd w:val="0"/>
              <w:snapToGrid/>
              <w:spacing w:line="160" w:lineRule="exact"/>
              <w:jc w:val="both"/>
              <w:textAlignment w:val="baseline"/>
              <w:rPr>
                <w:rFonts w:hint="default" w:ascii="Times New Roman" w:hAnsi="Times New Roman" w:cs="Times New Roman"/>
                <w:color w:val="auto"/>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3.1.3声环境质量现状</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项目所在地为</w:t>
            </w:r>
            <w:r>
              <w:rPr>
                <w:rFonts w:hint="eastAsia" w:cs="Times New Roman"/>
                <w:color w:val="auto"/>
                <w:szCs w:val="24"/>
                <w:lang w:eastAsia="zh-CN"/>
              </w:rPr>
              <w:t>德清县钟管镇横塘桥路2号</w:t>
            </w:r>
            <w:r>
              <w:rPr>
                <w:rFonts w:hint="default" w:ascii="Times New Roman" w:hAnsi="Times New Roman" w:cs="Times New Roman"/>
                <w:color w:val="auto"/>
                <w:szCs w:val="24"/>
              </w:rPr>
              <w:t>，该区域属于工业区，因此声环境质量执行GB3096-2008《声环境质量标准》中的3类标准，由于厂界外周边50m范围内不存在声环境保护目标，根据《建设项目环境影响报告表编制技术指南（污染影响类）（试行）》，本项目不开展声环境质量现状监测。</w:t>
            </w:r>
          </w:p>
          <w:p>
            <w:pPr>
              <w:pStyle w:val="38"/>
              <w:keepNext w:val="0"/>
              <w:keepLines w:val="0"/>
              <w:pageBreakBefore w:val="0"/>
              <w:widowControl w:val="0"/>
              <w:kinsoku/>
              <w:wordWrap/>
              <w:overflowPunct/>
              <w:topLinePunct w:val="0"/>
              <w:autoSpaceDE w:val="0"/>
              <w:autoSpaceDN w:val="0"/>
              <w:bidi w:val="0"/>
              <w:adjustRightInd w:val="0"/>
              <w:snapToGrid/>
              <w:spacing w:line="160" w:lineRule="exact"/>
              <w:jc w:val="both"/>
              <w:textAlignment w:val="baseline"/>
              <w:rPr>
                <w:rFonts w:hint="default" w:ascii="Times New Roman" w:hAnsi="Times New Roman" w:cs="Times New Roman"/>
                <w:color w:val="auto"/>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3.1.4地下水、土壤环境质量现状</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采用分区防渗、分区管理后，项目不存在地下水环境及土壤环境污染途径，根据《建设项目环境影响报告表编制技术指南（污染影响类）（试行）》，本项目不开展地下水环境质量现状调查及土壤环境质量现状调查。</w:t>
            </w:r>
          </w:p>
          <w:p>
            <w:pPr>
              <w:pStyle w:val="38"/>
              <w:keepNext w:val="0"/>
              <w:keepLines w:val="0"/>
              <w:pageBreakBefore w:val="0"/>
              <w:widowControl w:val="0"/>
              <w:kinsoku/>
              <w:wordWrap/>
              <w:overflowPunct/>
              <w:topLinePunct w:val="0"/>
              <w:autoSpaceDE w:val="0"/>
              <w:autoSpaceDN w:val="0"/>
              <w:bidi w:val="0"/>
              <w:adjustRightInd w:val="0"/>
              <w:snapToGrid/>
              <w:spacing w:line="160" w:lineRule="exact"/>
              <w:jc w:val="both"/>
              <w:textAlignment w:val="baseline"/>
              <w:rPr>
                <w:rFonts w:hint="default" w:ascii="Times New Roman" w:hAnsi="Times New Roman" w:cs="Times New Roman"/>
                <w:color w:val="auto"/>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3.1.5生态环境质量现状</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1"/>
              </w:rPr>
              <w:t>本项目位于产业园区内，故可不进行生态现状调查</w:t>
            </w:r>
            <w:r>
              <w:rPr>
                <w:rFonts w:hint="default" w:ascii="Times New Roman" w:hAnsi="Times New Roman" w:cs="Times New Roman"/>
                <w:color w:val="auto"/>
                <w:szCs w:val="24"/>
              </w:rPr>
              <w:t>。</w:t>
            </w:r>
          </w:p>
          <w:p>
            <w:pPr>
              <w:pStyle w:val="38"/>
              <w:keepNext w:val="0"/>
              <w:keepLines w:val="0"/>
              <w:pageBreakBefore w:val="0"/>
              <w:widowControl w:val="0"/>
              <w:kinsoku/>
              <w:wordWrap/>
              <w:overflowPunct/>
              <w:topLinePunct w:val="0"/>
              <w:autoSpaceDE w:val="0"/>
              <w:autoSpaceDN w:val="0"/>
              <w:bidi w:val="0"/>
              <w:adjustRightInd w:val="0"/>
              <w:snapToGrid/>
              <w:spacing w:line="160" w:lineRule="exact"/>
              <w:jc w:val="both"/>
              <w:textAlignment w:val="baseline"/>
              <w:rPr>
                <w:rFonts w:hint="default" w:ascii="Times New Roman" w:hAnsi="Times New Roman" w:cs="Times New Roman"/>
                <w:color w:val="auto"/>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3.1.6电磁辐射</w:t>
            </w:r>
          </w:p>
          <w:p>
            <w:pPr>
              <w:spacing w:line="360" w:lineRule="auto"/>
              <w:ind w:firstLine="480" w:firstLineChars="200"/>
              <w:rPr>
                <w:rFonts w:hint="default" w:ascii="Times New Roman" w:hAnsi="Times New Roman" w:cs="Times New Roman"/>
                <w:color w:val="FF0000"/>
                <w:sz w:val="21"/>
                <w:szCs w:val="20"/>
              </w:rPr>
            </w:pPr>
            <w:r>
              <w:rPr>
                <w:rFonts w:hint="default" w:ascii="Times New Roman" w:hAnsi="Times New Roman" w:cs="Times New Roman"/>
                <w:color w:val="auto"/>
                <w:szCs w:val="24"/>
              </w:rPr>
              <w:t>项目不属于新建或改建、扩建广播电台、差转台、电视塔台、卫星地球上行站、雷达等电磁辐射类项目，无需对电磁辐射现状开展监测与评价。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trPr>
        <w:tc>
          <w:tcPr>
            <w:tcW w:w="488"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环境保护目标</w:t>
            </w:r>
          </w:p>
        </w:tc>
        <w:tc>
          <w:tcPr>
            <w:tcW w:w="8034" w:type="dxa"/>
          </w:tcPr>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3.2环境保护目标</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1、环境空气保护目标</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经现场踏勘，本项目厂界外</w:t>
            </w:r>
            <w:r>
              <w:rPr>
                <w:rFonts w:hint="eastAsia" w:cs="Times New Roman"/>
                <w:color w:val="auto"/>
                <w:szCs w:val="24"/>
                <w:lang w:val="en-US" w:eastAsia="zh-CN"/>
              </w:rPr>
              <w:t>500</w:t>
            </w:r>
            <w:r>
              <w:rPr>
                <w:rFonts w:hint="default" w:ascii="Times New Roman" w:hAnsi="Times New Roman" w:cs="Times New Roman"/>
                <w:color w:val="auto"/>
                <w:szCs w:val="24"/>
              </w:rPr>
              <w:t>m范围内无自然保护区、风景名胜区、文化区等，主要环境空气保护目标见图3-1及表3-</w:t>
            </w:r>
            <w:r>
              <w:rPr>
                <w:rFonts w:hint="eastAsia" w:cs="Times New Roman"/>
                <w:color w:val="auto"/>
                <w:szCs w:val="24"/>
                <w:lang w:val="en-US" w:eastAsia="zh-CN"/>
              </w:rPr>
              <w:t>4</w:t>
            </w:r>
            <w:r>
              <w:rPr>
                <w:rFonts w:hint="default" w:ascii="Times New Roman" w:hAnsi="Times New Roman" w:cs="Times New Roman"/>
                <w:color w:val="auto"/>
                <w:szCs w:val="24"/>
              </w:rPr>
              <w:t>。</w:t>
            </w:r>
          </w:p>
          <w:p>
            <w:pPr>
              <w:pStyle w:val="38"/>
              <w:jc w:val="center"/>
              <w:rPr>
                <w:rFonts w:hint="eastAsia" w:ascii="Times New Roman" w:hAnsi="Times New Roman" w:eastAsia="幼圆" w:cs="Times New Roman"/>
                <w:color w:val="auto"/>
                <w:lang w:eastAsia="zh-CN"/>
              </w:rPr>
            </w:pPr>
            <w:r>
              <w:rPr>
                <w:rFonts w:hint="eastAsia" w:ascii="Times New Roman" w:hAnsi="Times New Roman" w:eastAsia="幼圆" w:cs="Times New Roman"/>
                <w:color w:val="auto"/>
                <w:lang w:eastAsia="zh-CN"/>
              </w:rPr>
              <w:drawing>
                <wp:inline distT="0" distB="0" distL="114300" distR="114300">
                  <wp:extent cx="4961255" cy="3245485"/>
                  <wp:effectExtent l="0" t="0" r="4445" b="5715"/>
                  <wp:docPr id="6" name="图片 6" descr="QQ截图20240522140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QQ截图20240522140729"/>
                          <pic:cNvPicPr>
                            <a:picLocks noChangeAspect="1"/>
                          </pic:cNvPicPr>
                        </pic:nvPicPr>
                        <pic:blipFill>
                          <a:blip r:embed="rId14"/>
                          <a:stretch>
                            <a:fillRect/>
                          </a:stretch>
                        </pic:blipFill>
                        <pic:spPr>
                          <a:xfrm>
                            <a:off x="0" y="0"/>
                            <a:ext cx="4961255" cy="3245485"/>
                          </a:xfrm>
                          <a:prstGeom prst="rect">
                            <a:avLst/>
                          </a:prstGeom>
                        </pic:spPr>
                      </pic:pic>
                    </a:graphicData>
                  </a:graphic>
                </wp:inline>
              </w:drawing>
            </w:r>
          </w:p>
          <w:p>
            <w:pPr>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图3-1  周边环境空气保护目标图</w:t>
            </w:r>
          </w:p>
          <w:p>
            <w:pPr>
              <w:spacing w:line="240" w:lineRule="auto"/>
              <w:jc w:val="both"/>
              <w:rPr>
                <w:rFonts w:hint="default" w:ascii="Times New Roman" w:hAnsi="Times New Roman" w:cs="Times New Roman"/>
                <w:b/>
                <w:bCs/>
                <w:color w:val="FF0000"/>
                <w:szCs w:val="24"/>
              </w:rPr>
            </w:pPr>
          </w:p>
          <w:p>
            <w:pPr>
              <w:spacing w:line="360" w:lineRule="auto"/>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rPr>
              <w:t>表3-</w:t>
            </w:r>
            <w:r>
              <w:rPr>
                <w:rFonts w:hint="eastAsia" w:cs="Times New Roman"/>
                <w:b/>
                <w:bCs/>
                <w:color w:val="auto"/>
                <w:lang w:val="en-US" w:eastAsia="zh-CN"/>
              </w:rPr>
              <w:t>4</w:t>
            </w:r>
            <w:r>
              <w:rPr>
                <w:rFonts w:hint="default" w:ascii="Times New Roman" w:hAnsi="Times New Roman" w:eastAsia="宋体" w:cs="Times New Roman"/>
                <w:b/>
                <w:bCs/>
                <w:color w:val="auto"/>
                <w:lang w:val="en-US" w:eastAsia="zh-CN"/>
              </w:rPr>
              <w:t xml:space="preserve">  </w:t>
            </w:r>
            <w:r>
              <w:rPr>
                <w:rFonts w:hint="default" w:ascii="Times New Roman" w:hAnsi="Times New Roman" w:eastAsia="宋体" w:cs="Times New Roman"/>
                <w:b/>
                <w:bCs/>
                <w:color w:val="auto"/>
              </w:rPr>
              <w:t>周边环境空气保护目标一览表</w:t>
            </w:r>
          </w:p>
          <w:tbl>
            <w:tblPr>
              <w:tblStyle w:val="29"/>
              <w:tblW w:w="7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
              <w:gridCol w:w="1182"/>
              <w:gridCol w:w="1161"/>
              <w:gridCol w:w="1162"/>
              <w:gridCol w:w="780"/>
              <w:gridCol w:w="797"/>
              <w:gridCol w:w="781"/>
              <w:gridCol w:w="710"/>
              <w:gridCol w:w="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79" w:type="dxa"/>
                  <w:vMerge w:val="restart"/>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类别</w:t>
                  </w:r>
                </w:p>
              </w:tc>
              <w:tc>
                <w:tcPr>
                  <w:tcW w:w="1182" w:type="dxa"/>
                  <w:vMerge w:val="restart"/>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保护目标名称</w:t>
                  </w:r>
                </w:p>
              </w:tc>
              <w:tc>
                <w:tcPr>
                  <w:tcW w:w="2323" w:type="dxa"/>
                  <w:gridSpan w:val="2"/>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坐标</w:t>
                  </w:r>
                </w:p>
              </w:tc>
              <w:tc>
                <w:tcPr>
                  <w:tcW w:w="780" w:type="dxa"/>
                  <w:vMerge w:val="restart"/>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保护对象</w:t>
                  </w:r>
                </w:p>
              </w:tc>
              <w:tc>
                <w:tcPr>
                  <w:tcW w:w="797" w:type="dxa"/>
                  <w:vMerge w:val="restart"/>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保护内容</w:t>
                  </w:r>
                </w:p>
              </w:tc>
              <w:tc>
                <w:tcPr>
                  <w:tcW w:w="781" w:type="dxa"/>
                  <w:vMerge w:val="restart"/>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环境功能区</w:t>
                  </w:r>
                </w:p>
              </w:tc>
              <w:tc>
                <w:tcPr>
                  <w:tcW w:w="710" w:type="dxa"/>
                  <w:vMerge w:val="restart"/>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相对厂址方位</w:t>
                  </w:r>
                </w:p>
              </w:tc>
              <w:tc>
                <w:tcPr>
                  <w:tcW w:w="856" w:type="dxa"/>
                  <w:vMerge w:val="restart"/>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相对厂界距离/m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79" w:type="dxa"/>
                  <w:vMerge w:val="continue"/>
                  <w:vAlign w:val="center"/>
                </w:tcPr>
                <w:p>
                  <w:pPr>
                    <w:pStyle w:val="116"/>
                    <w:rPr>
                      <w:rFonts w:hint="default" w:ascii="Times New Roman" w:hAnsi="Times New Roman" w:cs="Times New Roman"/>
                      <w:color w:val="auto"/>
                      <w:sz w:val="21"/>
                      <w:szCs w:val="21"/>
                    </w:rPr>
                  </w:pPr>
                </w:p>
              </w:tc>
              <w:tc>
                <w:tcPr>
                  <w:tcW w:w="1182" w:type="dxa"/>
                  <w:vMerge w:val="continue"/>
                  <w:vAlign w:val="center"/>
                </w:tcPr>
                <w:p>
                  <w:pPr>
                    <w:pStyle w:val="116"/>
                    <w:rPr>
                      <w:rFonts w:hint="default" w:ascii="Times New Roman" w:hAnsi="Times New Roman" w:cs="Times New Roman"/>
                      <w:color w:val="auto"/>
                      <w:sz w:val="21"/>
                      <w:szCs w:val="21"/>
                    </w:rPr>
                  </w:pPr>
                </w:p>
              </w:tc>
              <w:tc>
                <w:tcPr>
                  <w:tcW w:w="1161" w:type="dxa"/>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经度</w:t>
                  </w:r>
                </w:p>
              </w:tc>
              <w:tc>
                <w:tcPr>
                  <w:tcW w:w="1162" w:type="dxa"/>
                  <w:vAlign w:val="center"/>
                </w:tcPr>
                <w:p>
                  <w:pPr>
                    <w:pStyle w:val="116"/>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纬度</w:t>
                  </w:r>
                </w:p>
              </w:tc>
              <w:tc>
                <w:tcPr>
                  <w:tcW w:w="780" w:type="dxa"/>
                  <w:vMerge w:val="continue"/>
                  <w:vAlign w:val="center"/>
                </w:tcPr>
                <w:p>
                  <w:pPr>
                    <w:pStyle w:val="116"/>
                    <w:rPr>
                      <w:rFonts w:hint="default" w:ascii="Times New Roman" w:hAnsi="Times New Roman" w:cs="Times New Roman"/>
                      <w:color w:val="auto"/>
                      <w:sz w:val="21"/>
                      <w:szCs w:val="21"/>
                    </w:rPr>
                  </w:pPr>
                </w:p>
              </w:tc>
              <w:tc>
                <w:tcPr>
                  <w:tcW w:w="797" w:type="dxa"/>
                  <w:vMerge w:val="continue"/>
                  <w:vAlign w:val="center"/>
                </w:tcPr>
                <w:p>
                  <w:pPr>
                    <w:pStyle w:val="116"/>
                    <w:rPr>
                      <w:rFonts w:hint="default" w:ascii="Times New Roman" w:hAnsi="Times New Roman" w:cs="Times New Roman"/>
                      <w:color w:val="auto"/>
                      <w:sz w:val="21"/>
                      <w:szCs w:val="21"/>
                    </w:rPr>
                  </w:pPr>
                </w:p>
              </w:tc>
              <w:tc>
                <w:tcPr>
                  <w:tcW w:w="781" w:type="dxa"/>
                  <w:vMerge w:val="continue"/>
                  <w:vAlign w:val="center"/>
                </w:tcPr>
                <w:p>
                  <w:pPr>
                    <w:pStyle w:val="116"/>
                    <w:rPr>
                      <w:rFonts w:hint="default" w:ascii="Times New Roman" w:hAnsi="Times New Roman" w:cs="Times New Roman"/>
                      <w:color w:val="auto"/>
                      <w:sz w:val="21"/>
                      <w:szCs w:val="21"/>
                    </w:rPr>
                  </w:pPr>
                </w:p>
              </w:tc>
              <w:tc>
                <w:tcPr>
                  <w:tcW w:w="710" w:type="dxa"/>
                  <w:vMerge w:val="continue"/>
                  <w:vAlign w:val="center"/>
                </w:tcPr>
                <w:p>
                  <w:pPr>
                    <w:pStyle w:val="116"/>
                    <w:rPr>
                      <w:rFonts w:hint="default" w:ascii="Times New Roman" w:hAnsi="Times New Roman" w:cs="Times New Roman"/>
                      <w:color w:val="auto"/>
                      <w:sz w:val="21"/>
                      <w:szCs w:val="21"/>
                    </w:rPr>
                  </w:pPr>
                </w:p>
              </w:tc>
              <w:tc>
                <w:tcPr>
                  <w:tcW w:w="856" w:type="dxa"/>
                  <w:vMerge w:val="continue"/>
                  <w:vAlign w:val="center"/>
                </w:tcPr>
                <w:p>
                  <w:pPr>
                    <w:pStyle w:val="116"/>
                    <w:rPr>
                      <w:rFonts w:hint="default" w:ascii="Times New Roman" w:hAnsi="Times New Roman"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379" w:type="dxa"/>
                  <w:vMerge w:val="restart"/>
                  <w:vAlign w:val="center"/>
                </w:tcPr>
                <w:p>
                  <w:pPr>
                    <w:pStyle w:val="116"/>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大气环境</w:t>
                  </w:r>
                </w:p>
              </w:tc>
              <w:tc>
                <w:tcPr>
                  <w:tcW w:w="1182"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青墩村南庄小区</w:t>
                  </w:r>
                </w:p>
              </w:tc>
              <w:tc>
                <w:tcPr>
                  <w:tcW w:w="1161"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120°11′18.55549″</w:t>
                  </w:r>
                </w:p>
              </w:tc>
              <w:tc>
                <w:tcPr>
                  <w:tcW w:w="1162"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30°37′59.18138″</w:t>
                  </w:r>
                </w:p>
              </w:tc>
              <w:tc>
                <w:tcPr>
                  <w:tcW w:w="780"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村民</w:t>
                  </w:r>
                </w:p>
              </w:tc>
              <w:tc>
                <w:tcPr>
                  <w:tcW w:w="797"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约18户</w:t>
                  </w:r>
                </w:p>
              </w:tc>
              <w:tc>
                <w:tcPr>
                  <w:tcW w:w="781"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二类</w:t>
                  </w:r>
                </w:p>
              </w:tc>
              <w:tc>
                <w:tcPr>
                  <w:tcW w:w="710"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西</w:t>
                  </w:r>
                </w:p>
              </w:tc>
              <w:tc>
                <w:tcPr>
                  <w:tcW w:w="856"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470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379" w:type="dxa"/>
                  <w:vMerge w:val="continue"/>
                  <w:vAlign w:val="center"/>
                </w:tcPr>
                <w:p>
                  <w:pPr>
                    <w:pStyle w:val="116"/>
                    <w:rPr>
                      <w:rFonts w:hint="default" w:ascii="Times New Roman" w:hAnsi="Times New Roman" w:cs="Times New Roman"/>
                      <w:color w:val="auto"/>
                      <w:sz w:val="21"/>
                      <w:szCs w:val="21"/>
                    </w:rPr>
                  </w:pPr>
                </w:p>
              </w:tc>
              <w:tc>
                <w:tcPr>
                  <w:tcW w:w="1182" w:type="dxa"/>
                  <w:vAlign w:val="center"/>
                </w:tcPr>
                <w:p>
                  <w:pPr>
                    <w:pStyle w:val="116"/>
                    <w:rPr>
                      <w:rFonts w:hint="default" w:cs="Times New Roman"/>
                      <w:color w:val="auto"/>
                      <w:sz w:val="21"/>
                      <w:szCs w:val="21"/>
                      <w:lang w:val="en-US" w:eastAsia="zh-CN"/>
                    </w:rPr>
                  </w:pPr>
                  <w:r>
                    <w:rPr>
                      <w:rFonts w:hint="eastAsia" w:cs="Times New Roman"/>
                      <w:color w:val="auto"/>
                      <w:sz w:val="21"/>
                      <w:szCs w:val="21"/>
                      <w:lang w:val="en-US" w:eastAsia="zh-CN"/>
                    </w:rPr>
                    <w:t>青墩村村民</w:t>
                  </w:r>
                </w:p>
              </w:tc>
              <w:tc>
                <w:tcPr>
                  <w:tcW w:w="1161" w:type="dxa"/>
                  <w:vAlign w:val="center"/>
                </w:tcPr>
                <w:p>
                  <w:pPr>
                    <w:pStyle w:val="116"/>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120°11′34.85474″</w:t>
                  </w:r>
                </w:p>
              </w:tc>
              <w:tc>
                <w:tcPr>
                  <w:tcW w:w="1162" w:type="dxa"/>
                  <w:vAlign w:val="center"/>
                </w:tcPr>
                <w:p>
                  <w:pPr>
                    <w:pStyle w:val="116"/>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30°38′6.63578″</w:t>
                  </w:r>
                </w:p>
              </w:tc>
              <w:tc>
                <w:tcPr>
                  <w:tcW w:w="780" w:type="dxa"/>
                  <w:vAlign w:val="center"/>
                </w:tcPr>
                <w:p>
                  <w:pPr>
                    <w:pStyle w:val="116"/>
                    <w:rPr>
                      <w:rFonts w:hint="default" w:ascii="Times New Roman" w:hAnsi="Times New Roman" w:cs="Times New Roman"/>
                      <w:color w:val="auto"/>
                      <w:sz w:val="21"/>
                      <w:szCs w:val="21"/>
                    </w:rPr>
                  </w:pPr>
                  <w:r>
                    <w:rPr>
                      <w:rFonts w:hint="eastAsia" w:cs="Times New Roman"/>
                      <w:color w:val="auto"/>
                      <w:sz w:val="21"/>
                      <w:szCs w:val="21"/>
                      <w:lang w:val="en-US" w:eastAsia="zh-CN"/>
                    </w:rPr>
                    <w:t>村民</w:t>
                  </w:r>
                </w:p>
              </w:tc>
              <w:tc>
                <w:tcPr>
                  <w:tcW w:w="797" w:type="dxa"/>
                  <w:vAlign w:val="center"/>
                </w:tcPr>
                <w:p>
                  <w:pPr>
                    <w:pStyle w:val="116"/>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4户</w:t>
                  </w:r>
                </w:p>
              </w:tc>
              <w:tc>
                <w:tcPr>
                  <w:tcW w:w="781" w:type="dxa"/>
                  <w:vAlign w:val="center"/>
                </w:tcPr>
                <w:p>
                  <w:pPr>
                    <w:pStyle w:val="116"/>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二类</w:t>
                  </w:r>
                </w:p>
              </w:tc>
              <w:tc>
                <w:tcPr>
                  <w:tcW w:w="710" w:type="dxa"/>
                  <w:vAlign w:val="center"/>
                </w:tcPr>
                <w:p>
                  <w:pPr>
                    <w:pStyle w:val="116"/>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西北</w:t>
                  </w:r>
                </w:p>
              </w:tc>
              <w:tc>
                <w:tcPr>
                  <w:tcW w:w="856" w:type="dxa"/>
                  <w:vAlign w:val="center"/>
                </w:tcPr>
                <w:p>
                  <w:pPr>
                    <w:pStyle w:val="116"/>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379" w:type="dxa"/>
                  <w:vMerge w:val="continue"/>
                  <w:vAlign w:val="center"/>
                </w:tcPr>
                <w:p>
                  <w:pPr>
                    <w:pStyle w:val="116"/>
                    <w:rPr>
                      <w:rFonts w:hint="default" w:ascii="Times New Roman" w:hAnsi="Times New Roman" w:cs="Times New Roman"/>
                      <w:color w:val="auto"/>
                      <w:sz w:val="21"/>
                      <w:szCs w:val="21"/>
                    </w:rPr>
                  </w:pPr>
                </w:p>
              </w:tc>
              <w:tc>
                <w:tcPr>
                  <w:tcW w:w="1182" w:type="dxa"/>
                  <w:vAlign w:val="center"/>
                </w:tcPr>
                <w:p>
                  <w:pPr>
                    <w:pStyle w:val="116"/>
                    <w:rPr>
                      <w:rFonts w:hint="default" w:cs="Times New Roman"/>
                      <w:color w:val="auto"/>
                      <w:sz w:val="21"/>
                      <w:szCs w:val="21"/>
                      <w:lang w:val="en-US" w:eastAsia="zh-CN"/>
                    </w:rPr>
                  </w:pPr>
                  <w:r>
                    <w:rPr>
                      <w:rFonts w:hint="eastAsia" w:cs="Times New Roman"/>
                      <w:color w:val="auto"/>
                      <w:sz w:val="21"/>
                      <w:szCs w:val="21"/>
                      <w:lang w:val="en-US" w:eastAsia="zh-CN"/>
                    </w:rPr>
                    <w:t>青墩村村民</w:t>
                  </w:r>
                </w:p>
              </w:tc>
              <w:tc>
                <w:tcPr>
                  <w:tcW w:w="1161" w:type="dxa"/>
                  <w:vAlign w:val="center"/>
                </w:tcPr>
                <w:p>
                  <w:pPr>
                    <w:pStyle w:val="116"/>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120°11′53.31692″</w:t>
                  </w:r>
                </w:p>
              </w:tc>
              <w:tc>
                <w:tcPr>
                  <w:tcW w:w="1162" w:type="dxa"/>
                  <w:vAlign w:val="center"/>
                </w:tcPr>
                <w:p>
                  <w:pPr>
                    <w:pStyle w:val="116"/>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30°38′8.66353″</w:t>
                  </w:r>
                </w:p>
              </w:tc>
              <w:tc>
                <w:tcPr>
                  <w:tcW w:w="780" w:type="dxa"/>
                  <w:vAlign w:val="center"/>
                </w:tcPr>
                <w:p>
                  <w:pPr>
                    <w:pStyle w:val="116"/>
                    <w:rPr>
                      <w:rFonts w:hint="default" w:ascii="Times New Roman" w:hAnsi="Times New Roman" w:cs="Times New Roman"/>
                      <w:color w:val="auto"/>
                      <w:sz w:val="21"/>
                      <w:szCs w:val="21"/>
                    </w:rPr>
                  </w:pPr>
                  <w:r>
                    <w:rPr>
                      <w:rFonts w:hint="eastAsia" w:cs="Times New Roman"/>
                      <w:color w:val="auto"/>
                      <w:sz w:val="21"/>
                      <w:szCs w:val="21"/>
                      <w:lang w:val="en-US" w:eastAsia="zh-CN"/>
                    </w:rPr>
                    <w:t>村民</w:t>
                  </w:r>
                </w:p>
              </w:tc>
              <w:tc>
                <w:tcPr>
                  <w:tcW w:w="797" w:type="dxa"/>
                  <w:vAlign w:val="center"/>
                </w:tcPr>
                <w:p>
                  <w:pPr>
                    <w:pStyle w:val="116"/>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w:t>
                  </w:r>
                  <w:bookmarkStart w:id="27" w:name="_GoBack"/>
                  <w:bookmarkEnd w:id="27"/>
                  <w:r>
                    <w:rPr>
                      <w:rFonts w:hint="eastAsia" w:cs="Times New Roman"/>
                      <w:color w:val="auto"/>
                      <w:sz w:val="21"/>
                      <w:szCs w:val="21"/>
                      <w:lang w:val="en-US" w:eastAsia="zh-CN"/>
                    </w:rPr>
                    <w:t>户</w:t>
                  </w:r>
                </w:p>
              </w:tc>
              <w:tc>
                <w:tcPr>
                  <w:tcW w:w="781"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二类</w:t>
                  </w:r>
                </w:p>
              </w:tc>
              <w:tc>
                <w:tcPr>
                  <w:tcW w:w="710" w:type="dxa"/>
                  <w:vAlign w:val="center"/>
                </w:tcPr>
                <w:p>
                  <w:pPr>
                    <w:pStyle w:val="116"/>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东北</w:t>
                  </w:r>
                </w:p>
              </w:tc>
              <w:tc>
                <w:tcPr>
                  <w:tcW w:w="856" w:type="dxa"/>
                  <w:vAlign w:val="center"/>
                </w:tcPr>
                <w:p>
                  <w:pPr>
                    <w:pStyle w:val="116"/>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370</w:t>
                  </w:r>
                </w:p>
              </w:tc>
            </w:tr>
          </w:tbl>
          <w:p>
            <w:pPr>
              <w:keepNext w:val="0"/>
              <w:keepLines w:val="0"/>
              <w:pageBreakBefore w:val="0"/>
              <w:widowControl w:val="0"/>
              <w:kinsoku/>
              <w:wordWrap/>
              <w:overflowPunct/>
              <w:topLinePunct w:val="0"/>
              <w:autoSpaceDE/>
              <w:autoSpaceDN/>
              <w:bidi w:val="0"/>
              <w:adjustRightInd/>
              <w:snapToGrid/>
              <w:spacing w:line="180" w:lineRule="exact"/>
              <w:ind w:firstLine="480" w:firstLineChars="200"/>
              <w:textAlignment w:val="auto"/>
              <w:rPr>
                <w:rFonts w:hint="default" w:ascii="Times New Roman" w:hAnsi="Times New Roman" w:cs="Times New Roman"/>
                <w:color w:val="FF0000"/>
                <w:szCs w:val="24"/>
              </w:rPr>
            </w:pP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2、水环境保护目标</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项目周边河道</w:t>
            </w:r>
            <w:r>
              <w:rPr>
                <w:rFonts w:hint="default" w:ascii="Times New Roman" w:hAnsi="Times New Roman" w:cs="Times New Roman"/>
                <w:color w:val="auto"/>
                <w:szCs w:val="24"/>
                <w:lang w:val="en-US" w:eastAsia="zh-CN"/>
              </w:rPr>
              <w:t>-洋溪港</w:t>
            </w:r>
            <w:r>
              <w:rPr>
                <w:rFonts w:hint="default" w:ascii="Times New Roman" w:hAnsi="Times New Roman" w:cs="Times New Roman"/>
                <w:color w:val="auto"/>
                <w:szCs w:val="24"/>
              </w:rPr>
              <w:t>水环境质量执行GB3838-2002《地表水环境质量标准》中的III类标准。</w:t>
            </w:r>
          </w:p>
          <w:p>
            <w:pPr>
              <w:spacing w:line="240" w:lineRule="auto"/>
              <w:ind w:firstLine="480" w:firstLineChars="200"/>
              <w:rPr>
                <w:rFonts w:hint="default" w:ascii="Times New Roman" w:hAnsi="Times New Roman" w:cs="Times New Roman"/>
                <w:color w:val="auto"/>
                <w:szCs w:val="24"/>
              </w:rPr>
            </w:pP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lang w:val="en-US" w:eastAsia="zh-CN"/>
              </w:rPr>
              <w:t>3</w:t>
            </w:r>
            <w:r>
              <w:rPr>
                <w:rFonts w:hint="default" w:ascii="Times New Roman" w:hAnsi="Times New Roman" w:cs="Times New Roman"/>
                <w:color w:val="auto"/>
                <w:szCs w:val="24"/>
              </w:rPr>
              <w:t>、声环境保护目标</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本项目厂界外50米范围内无声环境保护目标。</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lang w:val="en-US" w:eastAsia="zh-CN"/>
              </w:rPr>
              <w:t>4</w:t>
            </w:r>
            <w:r>
              <w:rPr>
                <w:rFonts w:hint="default" w:ascii="Times New Roman" w:hAnsi="Times New Roman" w:cs="Times New Roman"/>
                <w:color w:val="auto"/>
                <w:szCs w:val="24"/>
              </w:rPr>
              <w:t>、地下水环境保护目标</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本项目厂界外500米范围内无地下水集中式饮用水源和热水、矿泉水、温泉等特殊地下水资源。</w:t>
            </w:r>
          </w:p>
          <w:p>
            <w:pPr>
              <w:pStyle w:val="40"/>
              <w:spacing w:line="240" w:lineRule="auto"/>
              <w:rPr>
                <w:rFonts w:hint="default" w:ascii="Times New Roman" w:hAnsi="Times New Roman" w:cs="Times New Roman"/>
                <w:color w:val="auto"/>
              </w:rPr>
            </w:pP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lang w:val="en-US" w:eastAsia="zh-CN"/>
              </w:rPr>
              <w:t>5</w:t>
            </w:r>
            <w:r>
              <w:rPr>
                <w:rFonts w:hint="default" w:ascii="Times New Roman" w:hAnsi="Times New Roman" w:cs="Times New Roman"/>
                <w:color w:val="auto"/>
                <w:szCs w:val="24"/>
              </w:rPr>
              <w:t>、生态环境保护目标</w:t>
            </w:r>
          </w:p>
          <w:p>
            <w:pPr>
              <w:spacing w:line="360" w:lineRule="auto"/>
              <w:ind w:firstLine="480" w:firstLineChars="200"/>
              <w:rPr>
                <w:rFonts w:hint="default" w:ascii="Times New Roman" w:hAnsi="Times New Roman" w:cs="Times New Roman"/>
                <w:color w:val="FF0000"/>
              </w:rPr>
            </w:pPr>
            <w:r>
              <w:rPr>
                <w:rFonts w:hint="default" w:ascii="Times New Roman" w:hAnsi="Times New Roman" w:cs="Times New Roman"/>
                <w:color w:val="auto"/>
                <w:szCs w:val="24"/>
              </w:rPr>
              <w:t>本项目位于</w:t>
            </w:r>
            <w:r>
              <w:rPr>
                <w:rFonts w:hint="default" w:ascii="Times New Roman" w:hAnsi="Times New Roman" w:cs="Times New Roman"/>
                <w:color w:val="auto"/>
                <w:szCs w:val="21"/>
                <w:lang w:val="en-US" w:eastAsia="zh-CN"/>
              </w:rPr>
              <w:t>工业</w:t>
            </w:r>
            <w:r>
              <w:rPr>
                <w:rFonts w:hint="default" w:ascii="Times New Roman" w:hAnsi="Times New Roman" w:cs="Times New Roman"/>
                <w:color w:val="auto"/>
                <w:szCs w:val="21"/>
              </w:rPr>
              <w:t>园区内，</w:t>
            </w:r>
            <w:r>
              <w:rPr>
                <w:rFonts w:hint="default" w:ascii="Times New Roman" w:hAnsi="Times New Roman" w:cs="Times New Roman"/>
                <w:color w:val="auto"/>
                <w:sz w:val="24"/>
                <w:szCs w:val="28"/>
              </w:rPr>
              <w:t>其用地范围内无生态环境保护目标。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8" w:hRule="atLeast"/>
        </w:trPr>
        <w:tc>
          <w:tcPr>
            <w:tcW w:w="488"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污染物排放控制标准</w:t>
            </w:r>
          </w:p>
        </w:tc>
        <w:tc>
          <w:tcPr>
            <w:tcW w:w="8034" w:type="dxa"/>
          </w:tcPr>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3.3污染物排放标准</w:t>
            </w: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3.3.1废气</w:t>
            </w:r>
          </w:p>
          <w:p>
            <w:pPr>
              <w:spacing w:line="360" w:lineRule="auto"/>
              <w:jc w:val="left"/>
              <w:rPr>
                <w:rFonts w:hint="default" w:eastAsia="宋体"/>
                <w:b/>
                <w:color w:val="auto"/>
                <w:szCs w:val="24"/>
                <w:lang w:val="en-US" w:eastAsia="zh-CN"/>
              </w:rPr>
            </w:pPr>
            <w:r>
              <w:rPr>
                <w:b/>
                <w:color w:val="auto"/>
                <w:szCs w:val="24"/>
              </w:rPr>
              <w:t>3.3.1</w:t>
            </w:r>
            <w:r>
              <w:rPr>
                <w:rFonts w:hint="eastAsia"/>
                <w:b/>
                <w:color w:val="auto"/>
                <w:szCs w:val="24"/>
                <w:lang w:val="en-US" w:eastAsia="zh-CN"/>
              </w:rPr>
              <w:t>.1原有项目执行标准</w:t>
            </w:r>
          </w:p>
          <w:p>
            <w:pPr>
              <w:tabs>
                <w:tab w:val="left" w:pos="4288"/>
              </w:tabs>
              <w:spacing w:line="360" w:lineRule="auto"/>
              <w:ind w:firstLine="480" w:firstLineChars="200"/>
              <w:outlineLvl w:val="2"/>
              <w:rPr>
                <w:rFonts w:hint="default" w:ascii="Times New Roman" w:hAnsi="Times New Roman" w:eastAsia="宋体" w:cs="Times New Roman"/>
                <w:color w:val="auto"/>
                <w:lang w:val="en-US" w:eastAsia="zh-CN"/>
              </w:rPr>
            </w:pPr>
            <w:r>
              <w:rPr>
                <w:rFonts w:hint="eastAsia" w:cs="Times New Roman"/>
                <w:color w:val="auto"/>
                <w:lang w:val="en-US" w:eastAsia="zh-CN"/>
              </w:rPr>
              <w:t>1、切割废气、焊接废气</w:t>
            </w:r>
          </w:p>
          <w:p>
            <w:pPr>
              <w:tabs>
                <w:tab w:val="left" w:pos="4288"/>
              </w:tabs>
              <w:spacing w:line="360" w:lineRule="auto"/>
              <w:ind w:firstLine="480" w:firstLineChars="200"/>
              <w:outlineLvl w:val="2"/>
              <w:rPr>
                <w:color w:val="auto"/>
              </w:rPr>
            </w:pPr>
            <w:r>
              <w:rPr>
                <w:rFonts w:hint="eastAsia"/>
                <w:color w:val="auto"/>
                <w:lang w:val="en-US" w:eastAsia="zh-CN"/>
              </w:rPr>
              <w:t>原有项目</w:t>
            </w:r>
            <w:r>
              <w:rPr>
                <w:rFonts w:hint="eastAsia" w:cs="Times New Roman"/>
                <w:color w:val="auto"/>
                <w:lang w:val="en-US" w:eastAsia="zh-CN"/>
              </w:rPr>
              <w:t>切割废气、焊接废气</w:t>
            </w:r>
            <w:r>
              <w:rPr>
                <w:color w:val="auto"/>
              </w:rPr>
              <w:t>排放执行GB16297-1996《大气污染物综合排放标准》</w:t>
            </w:r>
            <w:r>
              <w:rPr>
                <w:rFonts w:hint="eastAsia"/>
                <w:color w:val="auto"/>
                <w:szCs w:val="24"/>
              </w:rPr>
              <w:t>中限值要求</w:t>
            </w:r>
            <w:r>
              <w:rPr>
                <w:color w:val="auto"/>
              </w:rPr>
              <w:t>，</w:t>
            </w:r>
            <w:r>
              <w:rPr>
                <w:color w:val="auto"/>
                <w:lang w:val="zh-CN"/>
              </w:rPr>
              <w:t>具体见表</w:t>
            </w:r>
            <w:r>
              <w:rPr>
                <w:rFonts w:hint="eastAsia"/>
                <w:color w:val="auto"/>
                <w:lang w:val="en-US" w:eastAsia="zh-CN"/>
              </w:rPr>
              <w:t>3-5</w:t>
            </w:r>
            <w:r>
              <w:rPr>
                <w:color w:val="auto"/>
                <w:lang w:val="zh-CN"/>
              </w:rPr>
              <w:t>。</w:t>
            </w:r>
          </w:p>
          <w:p>
            <w:pPr>
              <w:spacing w:line="360" w:lineRule="auto"/>
              <w:jc w:val="center"/>
              <w:rPr>
                <w:rFonts w:ascii="Times New Roman" w:hAnsi="Times New Roman" w:eastAsia="宋体" w:cs="Times New Roman"/>
                <w:b/>
                <w:bCs/>
                <w:color w:val="auto"/>
              </w:rPr>
            </w:pPr>
            <w:r>
              <w:rPr>
                <w:rFonts w:ascii="Times New Roman" w:hAnsi="Times New Roman" w:eastAsia="宋体" w:cs="Times New Roman"/>
                <w:b/>
                <w:bCs/>
                <w:color w:val="auto"/>
              </w:rPr>
              <w:t>表</w:t>
            </w:r>
            <w:r>
              <w:rPr>
                <w:rFonts w:hint="eastAsia" w:ascii="Times New Roman" w:hAnsi="Times New Roman" w:eastAsia="宋体" w:cs="Times New Roman"/>
                <w:b/>
                <w:bCs/>
                <w:color w:val="auto"/>
              </w:rPr>
              <w:t>3</w:t>
            </w:r>
            <w:r>
              <w:rPr>
                <w:rFonts w:ascii="Times New Roman" w:hAnsi="Times New Roman" w:eastAsia="宋体" w:cs="Times New Roman"/>
                <w:b/>
                <w:bCs/>
                <w:color w:val="auto"/>
              </w:rPr>
              <w:t>-</w:t>
            </w:r>
            <w:r>
              <w:rPr>
                <w:rFonts w:hint="eastAsia" w:ascii="Times New Roman" w:hAnsi="Times New Roman" w:eastAsia="宋体" w:cs="Times New Roman"/>
                <w:b/>
                <w:bCs/>
                <w:color w:val="auto"/>
                <w:lang w:val="en-US" w:eastAsia="zh-CN"/>
              </w:rPr>
              <w:t xml:space="preserve">5  </w:t>
            </w:r>
            <w:r>
              <w:rPr>
                <w:rFonts w:ascii="Times New Roman" w:hAnsi="Times New Roman" w:eastAsia="宋体" w:cs="Times New Roman"/>
                <w:b/>
                <w:bCs/>
                <w:color w:val="auto"/>
              </w:rPr>
              <w:t>GB16297-1996《大气污染物综合排放标准》</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1"/>
              <w:gridCol w:w="1474"/>
              <w:gridCol w:w="1556"/>
              <w:gridCol w:w="1364"/>
              <w:gridCol w:w="1106"/>
              <w:gridCol w:w="1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991" w:type="dxa"/>
                  <w:vMerge w:val="restart"/>
                  <w:vAlign w:val="center"/>
                </w:tcPr>
                <w:p>
                  <w:pPr>
                    <w:adjustRightInd w:val="0"/>
                    <w:snapToGrid w:val="0"/>
                    <w:ind w:left="194" w:leftChars="-28" w:hanging="261" w:hangingChars="124"/>
                    <w:jc w:val="center"/>
                    <w:rPr>
                      <w:b/>
                      <w:color w:val="auto"/>
                      <w:sz w:val="21"/>
                      <w:szCs w:val="21"/>
                    </w:rPr>
                  </w:pPr>
                  <w:r>
                    <w:rPr>
                      <w:b/>
                      <w:color w:val="auto"/>
                      <w:sz w:val="21"/>
                      <w:szCs w:val="21"/>
                    </w:rPr>
                    <w:t>污染物</w:t>
                  </w:r>
                </w:p>
              </w:tc>
              <w:tc>
                <w:tcPr>
                  <w:tcW w:w="1474" w:type="dxa"/>
                  <w:vMerge w:val="restart"/>
                  <w:vAlign w:val="center"/>
                </w:tcPr>
                <w:p>
                  <w:pPr>
                    <w:adjustRightInd w:val="0"/>
                    <w:snapToGrid w:val="0"/>
                    <w:ind w:left="96"/>
                    <w:jc w:val="center"/>
                    <w:rPr>
                      <w:b/>
                      <w:color w:val="auto"/>
                      <w:sz w:val="21"/>
                      <w:szCs w:val="21"/>
                    </w:rPr>
                  </w:pPr>
                  <w:r>
                    <w:rPr>
                      <w:b/>
                      <w:color w:val="auto"/>
                      <w:sz w:val="21"/>
                      <w:szCs w:val="21"/>
                    </w:rPr>
                    <w:t>最高允许</w:t>
                  </w:r>
                </w:p>
                <w:p>
                  <w:pPr>
                    <w:adjustRightInd w:val="0"/>
                    <w:snapToGrid w:val="0"/>
                    <w:ind w:left="96"/>
                    <w:jc w:val="center"/>
                    <w:rPr>
                      <w:b/>
                      <w:color w:val="auto"/>
                      <w:sz w:val="21"/>
                      <w:szCs w:val="21"/>
                    </w:rPr>
                  </w:pPr>
                  <w:r>
                    <w:rPr>
                      <w:b/>
                      <w:color w:val="auto"/>
                      <w:sz w:val="21"/>
                      <w:szCs w:val="21"/>
                    </w:rPr>
                    <w:t>排放浓度</w:t>
                  </w:r>
                </w:p>
                <w:p>
                  <w:pPr>
                    <w:adjustRightInd w:val="0"/>
                    <w:snapToGrid w:val="0"/>
                    <w:ind w:left="96"/>
                    <w:jc w:val="center"/>
                    <w:rPr>
                      <w:b/>
                      <w:bCs/>
                      <w:color w:val="auto"/>
                      <w:sz w:val="21"/>
                      <w:szCs w:val="21"/>
                    </w:rPr>
                  </w:pPr>
                  <w:r>
                    <w:rPr>
                      <w:b/>
                      <w:bCs/>
                      <w:color w:val="auto"/>
                      <w:sz w:val="21"/>
                      <w:szCs w:val="21"/>
                    </w:rPr>
                    <w:t>(mg/m</w:t>
                  </w:r>
                  <w:r>
                    <w:rPr>
                      <w:b/>
                      <w:bCs/>
                      <w:color w:val="auto"/>
                      <w:sz w:val="21"/>
                      <w:szCs w:val="21"/>
                      <w:vertAlign w:val="superscript"/>
                    </w:rPr>
                    <w:t>3</w:t>
                  </w:r>
                  <w:r>
                    <w:rPr>
                      <w:b/>
                      <w:bCs/>
                      <w:color w:val="auto"/>
                      <w:sz w:val="21"/>
                      <w:szCs w:val="21"/>
                    </w:rPr>
                    <w:t>)</w:t>
                  </w:r>
                </w:p>
              </w:tc>
              <w:tc>
                <w:tcPr>
                  <w:tcW w:w="2920" w:type="dxa"/>
                  <w:gridSpan w:val="2"/>
                  <w:vAlign w:val="center"/>
                </w:tcPr>
                <w:p>
                  <w:pPr>
                    <w:adjustRightInd w:val="0"/>
                    <w:snapToGrid w:val="0"/>
                    <w:ind w:left="96"/>
                    <w:jc w:val="center"/>
                    <w:rPr>
                      <w:b/>
                      <w:color w:val="auto"/>
                      <w:sz w:val="21"/>
                      <w:szCs w:val="21"/>
                    </w:rPr>
                  </w:pPr>
                  <w:r>
                    <w:rPr>
                      <w:b/>
                      <w:color w:val="auto"/>
                      <w:sz w:val="21"/>
                      <w:szCs w:val="21"/>
                    </w:rPr>
                    <w:t>最高允许排</w:t>
                  </w:r>
                  <w:r>
                    <w:rPr>
                      <w:b/>
                      <w:color w:val="auto"/>
                      <w:sz w:val="21"/>
                      <w:szCs w:val="21"/>
                    </w:rPr>
                    <w:cr/>
                  </w:r>
                  <w:r>
                    <w:rPr>
                      <w:b/>
                      <w:color w:val="auto"/>
                      <w:sz w:val="21"/>
                      <w:szCs w:val="21"/>
                    </w:rPr>
                    <w:t>速率(kg/h)</w:t>
                  </w:r>
                </w:p>
              </w:tc>
              <w:tc>
                <w:tcPr>
                  <w:tcW w:w="2270" w:type="dxa"/>
                  <w:gridSpan w:val="2"/>
                  <w:vAlign w:val="center"/>
                </w:tcPr>
                <w:p>
                  <w:pPr>
                    <w:jc w:val="center"/>
                    <w:rPr>
                      <w:b/>
                      <w:color w:val="auto"/>
                      <w:sz w:val="21"/>
                      <w:szCs w:val="21"/>
                    </w:rPr>
                  </w:pPr>
                  <w:r>
                    <w:rPr>
                      <w:b/>
                      <w:color w:val="auto"/>
                      <w:sz w:val="21"/>
                      <w:szCs w:val="21"/>
                    </w:rPr>
                    <w:t>无组织排放监控</w:t>
                  </w:r>
                </w:p>
                <w:p>
                  <w:pPr>
                    <w:adjustRightInd w:val="0"/>
                    <w:snapToGrid w:val="0"/>
                    <w:ind w:left="96"/>
                    <w:jc w:val="center"/>
                    <w:rPr>
                      <w:b/>
                      <w:bCs/>
                      <w:color w:val="auto"/>
                      <w:sz w:val="21"/>
                      <w:szCs w:val="21"/>
                    </w:rPr>
                  </w:pPr>
                  <w:r>
                    <w:rPr>
                      <w:b/>
                      <w:color w:val="auto"/>
                      <w:sz w:val="21"/>
                      <w:szCs w:val="21"/>
                    </w:rPr>
                    <w:t>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991" w:type="dxa"/>
                  <w:vMerge w:val="continue"/>
                  <w:vAlign w:val="center"/>
                </w:tcPr>
                <w:p>
                  <w:pPr>
                    <w:adjustRightInd w:val="0"/>
                    <w:snapToGrid w:val="0"/>
                    <w:ind w:left="230" w:leftChars="96"/>
                    <w:jc w:val="center"/>
                    <w:rPr>
                      <w:rFonts w:eastAsia="楷体_GB2312"/>
                      <w:b/>
                      <w:color w:val="auto"/>
                      <w:sz w:val="21"/>
                      <w:szCs w:val="21"/>
                    </w:rPr>
                  </w:pPr>
                </w:p>
              </w:tc>
              <w:tc>
                <w:tcPr>
                  <w:tcW w:w="1474" w:type="dxa"/>
                  <w:vMerge w:val="continue"/>
                  <w:vAlign w:val="center"/>
                </w:tcPr>
                <w:p>
                  <w:pPr>
                    <w:adjustRightInd w:val="0"/>
                    <w:snapToGrid w:val="0"/>
                    <w:jc w:val="center"/>
                    <w:rPr>
                      <w:rFonts w:eastAsia="楷体_GB2312"/>
                      <w:b/>
                      <w:color w:val="auto"/>
                      <w:sz w:val="21"/>
                      <w:szCs w:val="21"/>
                    </w:rPr>
                  </w:pPr>
                </w:p>
              </w:tc>
              <w:tc>
                <w:tcPr>
                  <w:tcW w:w="1556" w:type="dxa"/>
                  <w:vAlign w:val="center"/>
                </w:tcPr>
                <w:p>
                  <w:pPr>
                    <w:adjustRightInd w:val="0"/>
                    <w:snapToGrid w:val="0"/>
                    <w:jc w:val="center"/>
                    <w:rPr>
                      <w:b/>
                      <w:bCs/>
                      <w:color w:val="auto"/>
                      <w:sz w:val="21"/>
                      <w:szCs w:val="21"/>
                    </w:rPr>
                  </w:pPr>
                  <w:r>
                    <w:rPr>
                      <w:b/>
                      <w:bCs/>
                      <w:color w:val="auto"/>
                      <w:sz w:val="21"/>
                      <w:szCs w:val="21"/>
                    </w:rPr>
                    <w:t>排气筒高度(m)</w:t>
                  </w:r>
                </w:p>
              </w:tc>
              <w:tc>
                <w:tcPr>
                  <w:tcW w:w="1364" w:type="dxa"/>
                  <w:vAlign w:val="center"/>
                </w:tcPr>
                <w:p>
                  <w:pPr>
                    <w:adjustRightInd w:val="0"/>
                    <w:snapToGrid w:val="0"/>
                    <w:jc w:val="center"/>
                    <w:rPr>
                      <w:b/>
                      <w:bCs/>
                      <w:color w:val="auto"/>
                      <w:sz w:val="21"/>
                      <w:szCs w:val="21"/>
                    </w:rPr>
                  </w:pPr>
                  <w:r>
                    <w:rPr>
                      <w:b/>
                      <w:bCs/>
                      <w:color w:val="auto"/>
                      <w:sz w:val="21"/>
                      <w:szCs w:val="21"/>
                    </w:rPr>
                    <w:t>二级标准值</w:t>
                  </w:r>
                </w:p>
              </w:tc>
              <w:tc>
                <w:tcPr>
                  <w:tcW w:w="1106" w:type="dxa"/>
                  <w:tcMar>
                    <w:left w:w="0" w:type="dxa"/>
                    <w:right w:w="0" w:type="dxa"/>
                  </w:tcMar>
                  <w:vAlign w:val="center"/>
                </w:tcPr>
                <w:p>
                  <w:pPr>
                    <w:adjustRightInd w:val="0"/>
                    <w:snapToGrid w:val="0"/>
                    <w:jc w:val="center"/>
                    <w:rPr>
                      <w:rFonts w:eastAsia="黑体"/>
                      <w:b/>
                      <w:color w:val="auto"/>
                      <w:sz w:val="21"/>
                      <w:szCs w:val="21"/>
                    </w:rPr>
                  </w:pPr>
                  <w:r>
                    <w:rPr>
                      <w:b/>
                      <w:color w:val="auto"/>
                      <w:sz w:val="21"/>
                      <w:szCs w:val="21"/>
                    </w:rPr>
                    <w:t>监控点</w:t>
                  </w:r>
                </w:p>
              </w:tc>
              <w:tc>
                <w:tcPr>
                  <w:tcW w:w="1164" w:type="dxa"/>
                  <w:vAlign w:val="center"/>
                </w:tcPr>
                <w:p>
                  <w:pPr>
                    <w:jc w:val="center"/>
                    <w:rPr>
                      <w:b/>
                      <w:color w:val="auto"/>
                      <w:sz w:val="21"/>
                      <w:szCs w:val="21"/>
                    </w:rPr>
                  </w:pPr>
                  <w:r>
                    <w:rPr>
                      <w:b/>
                      <w:color w:val="auto"/>
                      <w:sz w:val="21"/>
                      <w:szCs w:val="21"/>
                    </w:rPr>
                    <w:t>浓度</w:t>
                  </w:r>
                </w:p>
                <w:p>
                  <w:pPr>
                    <w:adjustRightInd w:val="0"/>
                    <w:snapToGrid w:val="0"/>
                    <w:jc w:val="center"/>
                    <w:rPr>
                      <w:rFonts w:eastAsia="黑体"/>
                      <w:b/>
                      <w:color w:val="auto"/>
                      <w:sz w:val="21"/>
                      <w:szCs w:val="21"/>
                    </w:rPr>
                  </w:pPr>
                  <w:r>
                    <w:rPr>
                      <w:b/>
                      <w:bCs/>
                      <w:color w:val="auto"/>
                      <w:sz w:val="21"/>
                      <w:szCs w:val="21"/>
                    </w:rPr>
                    <w:t>（mg/m</w:t>
                  </w:r>
                  <w:r>
                    <w:rPr>
                      <w:b/>
                      <w:bCs/>
                      <w:color w:val="auto"/>
                      <w:sz w:val="21"/>
                      <w:szCs w:val="21"/>
                      <w:vertAlign w:val="superscript"/>
                    </w:rPr>
                    <w:t>3</w:t>
                  </w:r>
                  <w:r>
                    <w:rPr>
                      <w:b/>
                      <w:bCs/>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0" w:hRule="atLeast"/>
                <w:jc w:val="center"/>
              </w:trPr>
              <w:tc>
                <w:tcPr>
                  <w:tcW w:w="991" w:type="dxa"/>
                  <w:vAlign w:val="center"/>
                </w:tcPr>
                <w:p>
                  <w:pPr>
                    <w:adjustRightInd w:val="0"/>
                    <w:snapToGrid w:val="0"/>
                    <w:jc w:val="center"/>
                    <w:rPr>
                      <w:color w:val="auto"/>
                      <w:sz w:val="21"/>
                      <w:szCs w:val="21"/>
                    </w:rPr>
                  </w:pPr>
                  <w:r>
                    <w:rPr>
                      <w:color w:val="auto"/>
                      <w:sz w:val="21"/>
                      <w:szCs w:val="21"/>
                    </w:rPr>
                    <w:t>颗粒物</w:t>
                  </w:r>
                </w:p>
              </w:tc>
              <w:tc>
                <w:tcPr>
                  <w:tcW w:w="1474" w:type="dxa"/>
                  <w:vAlign w:val="center"/>
                </w:tcPr>
                <w:p>
                  <w:pPr>
                    <w:adjustRightInd w:val="0"/>
                    <w:snapToGrid w:val="0"/>
                    <w:jc w:val="center"/>
                    <w:rPr>
                      <w:rFonts w:hint="default" w:eastAsia="宋体"/>
                      <w:color w:val="auto"/>
                      <w:sz w:val="21"/>
                      <w:szCs w:val="21"/>
                      <w:lang w:val="en-US" w:eastAsia="zh-CN"/>
                    </w:rPr>
                  </w:pPr>
                  <w:r>
                    <w:rPr>
                      <w:rFonts w:hint="eastAsia"/>
                      <w:color w:val="auto"/>
                      <w:sz w:val="21"/>
                      <w:szCs w:val="21"/>
                      <w:lang w:val="en-US" w:eastAsia="zh-CN"/>
                    </w:rPr>
                    <w:t>120</w:t>
                  </w:r>
                </w:p>
              </w:tc>
              <w:tc>
                <w:tcPr>
                  <w:tcW w:w="1556" w:type="dxa"/>
                  <w:vAlign w:val="center"/>
                </w:tcPr>
                <w:p>
                  <w:pPr>
                    <w:adjustRightInd w:val="0"/>
                    <w:snapToGrid w:val="0"/>
                    <w:jc w:val="center"/>
                    <w:rPr>
                      <w:rFonts w:hint="default" w:eastAsia="宋体"/>
                      <w:color w:val="auto"/>
                      <w:sz w:val="21"/>
                      <w:szCs w:val="21"/>
                      <w:lang w:val="en-US" w:eastAsia="zh-CN"/>
                    </w:rPr>
                  </w:pPr>
                  <w:r>
                    <w:rPr>
                      <w:rFonts w:hint="eastAsia"/>
                      <w:color w:val="auto"/>
                      <w:sz w:val="21"/>
                      <w:szCs w:val="21"/>
                      <w:lang w:val="en-US" w:eastAsia="zh-CN"/>
                    </w:rPr>
                    <w:t>15</w:t>
                  </w:r>
                </w:p>
              </w:tc>
              <w:tc>
                <w:tcPr>
                  <w:tcW w:w="1364" w:type="dxa"/>
                  <w:vAlign w:val="center"/>
                </w:tcPr>
                <w:p>
                  <w:pPr>
                    <w:adjustRightInd w:val="0"/>
                    <w:snapToGrid w:val="0"/>
                    <w:jc w:val="center"/>
                    <w:rPr>
                      <w:rFonts w:hint="default" w:eastAsia="宋体"/>
                      <w:color w:val="auto"/>
                      <w:sz w:val="21"/>
                      <w:szCs w:val="21"/>
                      <w:lang w:val="en-US" w:eastAsia="zh-CN"/>
                    </w:rPr>
                  </w:pPr>
                  <w:r>
                    <w:rPr>
                      <w:rFonts w:hint="eastAsia"/>
                      <w:color w:val="auto"/>
                      <w:sz w:val="21"/>
                      <w:szCs w:val="21"/>
                      <w:lang w:val="en-US" w:eastAsia="zh-CN"/>
                    </w:rPr>
                    <w:t>3.5</w:t>
                  </w:r>
                </w:p>
              </w:tc>
              <w:tc>
                <w:tcPr>
                  <w:tcW w:w="1106" w:type="dxa"/>
                  <w:vAlign w:val="center"/>
                </w:tcPr>
                <w:p>
                  <w:pPr>
                    <w:jc w:val="center"/>
                    <w:rPr>
                      <w:bCs/>
                      <w:color w:val="auto"/>
                      <w:sz w:val="21"/>
                      <w:szCs w:val="21"/>
                    </w:rPr>
                  </w:pPr>
                  <w:r>
                    <w:rPr>
                      <w:color w:val="auto"/>
                      <w:sz w:val="21"/>
                      <w:szCs w:val="21"/>
                    </w:rPr>
                    <w:t>周界外浓度最高点</w:t>
                  </w:r>
                </w:p>
              </w:tc>
              <w:tc>
                <w:tcPr>
                  <w:tcW w:w="1164" w:type="dxa"/>
                  <w:vAlign w:val="center"/>
                </w:tcPr>
                <w:p>
                  <w:pPr>
                    <w:jc w:val="center"/>
                    <w:rPr>
                      <w:bCs/>
                      <w:color w:val="auto"/>
                      <w:sz w:val="21"/>
                      <w:szCs w:val="21"/>
                    </w:rPr>
                  </w:pPr>
                  <w:r>
                    <w:rPr>
                      <w:color w:val="auto"/>
                      <w:sz w:val="21"/>
                      <w:szCs w:val="21"/>
                    </w:rPr>
                    <w:t>1.0</w:t>
                  </w:r>
                </w:p>
              </w:tc>
            </w:tr>
          </w:tbl>
          <w:p>
            <w:pPr>
              <w:pStyle w:val="40"/>
              <w:spacing w:line="240" w:lineRule="auto"/>
              <w:rPr>
                <w:rFonts w:hint="default" w:ascii="Times New Roman" w:hAnsi="Times New Roman" w:cs="Times New Roman"/>
                <w:color w:val="FF0000"/>
              </w:rPr>
            </w:pPr>
          </w:p>
          <w:p>
            <w:pPr>
              <w:tabs>
                <w:tab w:val="left" w:pos="4288"/>
              </w:tabs>
              <w:spacing w:line="360" w:lineRule="auto"/>
              <w:ind w:firstLine="480" w:firstLineChars="200"/>
              <w:outlineLvl w:val="2"/>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2、抛丸粉尘、喷塑废气、油漆废气</w:t>
            </w:r>
          </w:p>
          <w:p>
            <w:pPr>
              <w:tabs>
                <w:tab w:val="left" w:pos="4288"/>
              </w:tabs>
              <w:spacing w:line="360" w:lineRule="auto"/>
              <w:ind w:firstLine="480" w:firstLineChars="200"/>
              <w:outlineLvl w:val="2"/>
              <w:rPr>
                <w:rFonts w:hint="eastAsia"/>
                <w:color w:val="auto"/>
                <w:szCs w:val="24"/>
                <w:lang w:val="en-US" w:eastAsia="zh-CN"/>
              </w:rPr>
            </w:pPr>
            <w:r>
              <w:rPr>
                <w:rFonts w:hint="eastAsia"/>
                <w:color w:val="auto"/>
                <w:szCs w:val="24"/>
                <w:lang w:val="en-US" w:eastAsia="zh-CN"/>
              </w:rPr>
              <w:t>抛丸、喷塑、油漆工序产生的废气执行《工业涂装工序大气污染物排放标准》（DB33/2146-2018）中的“表2大气污染物特别排放限值”。厂界无组织监控浓度参照执行《工业涂装工序大气污染物排放标准》（</w:t>
            </w:r>
            <w:r>
              <w:rPr>
                <w:rFonts w:hint="default"/>
                <w:color w:val="auto"/>
                <w:szCs w:val="24"/>
                <w:lang w:val="en-US" w:eastAsia="zh-CN"/>
              </w:rPr>
              <w:t>DB33/2146-2018</w:t>
            </w:r>
            <w:r>
              <w:rPr>
                <w:rFonts w:hint="eastAsia"/>
                <w:color w:val="auto"/>
                <w:szCs w:val="24"/>
                <w:lang w:val="en-US" w:eastAsia="zh-CN"/>
              </w:rPr>
              <w:t>）中表</w:t>
            </w:r>
            <w:r>
              <w:rPr>
                <w:rFonts w:hint="default"/>
                <w:color w:val="auto"/>
                <w:szCs w:val="24"/>
                <w:lang w:val="en-US" w:eastAsia="zh-CN"/>
              </w:rPr>
              <w:t>6</w:t>
            </w:r>
            <w:r>
              <w:rPr>
                <w:rFonts w:hint="eastAsia"/>
                <w:color w:val="auto"/>
                <w:szCs w:val="24"/>
                <w:lang w:val="en-US" w:eastAsia="zh-CN"/>
              </w:rPr>
              <w:t>的排放限值，具体见表3</w:t>
            </w:r>
            <w:r>
              <w:rPr>
                <w:rFonts w:hint="default"/>
                <w:color w:val="auto"/>
                <w:szCs w:val="24"/>
                <w:lang w:val="en-US" w:eastAsia="zh-CN"/>
              </w:rPr>
              <w:t>-</w:t>
            </w:r>
            <w:r>
              <w:rPr>
                <w:rFonts w:hint="eastAsia"/>
                <w:color w:val="auto"/>
                <w:szCs w:val="24"/>
                <w:lang w:val="en-US" w:eastAsia="zh-CN"/>
              </w:rPr>
              <w:t>6。</w:t>
            </w:r>
          </w:p>
          <w:p>
            <w:pPr>
              <w:spacing w:line="360" w:lineRule="auto"/>
              <w:jc w:val="center"/>
              <w:rPr>
                <w:rFonts w:ascii="Times New Roman" w:hAnsi="Times New Roman" w:eastAsia="宋体" w:cs="Times New Roman"/>
                <w:b/>
                <w:bCs/>
                <w:color w:val="auto"/>
              </w:rPr>
            </w:pPr>
            <w:r>
              <w:rPr>
                <w:rFonts w:hint="eastAsia" w:ascii="Times New Roman" w:hAnsi="Times New Roman" w:eastAsia="宋体" w:cs="Times New Roman"/>
                <w:b/>
                <w:bCs/>
                <w:color w:val="auto"/>
              </w:rPr>
              <w:t>表3-</w:t>
            </w:r>
            <w:r>
              <w:rPr>
                <w:rFonts w:hint="eastAsia" w:ascii="Times New Roman" w:hAnsi="Times New Roman" w:eastAsia="宋体" w:cs="Times New Roman"/>
                <w:b/>
                <w:bCs/>
                <w:color w:val="auto"/>
                <w:lang w:val="en-US" w:eastAsia="zh-CN"/>
              </w:rPr>
              <w:t xml:space="preserve">6  </w:t>
            </w:r>
            <w:r>
              <w:rPr>
                <w:rFonts w:hint="eastAsia" w:ascii="Times New Roman" w:hAnsi="Times New Roman" w:eastAsia="宋体" w:cs="Times New Roman"/>
                <w:b/>
                <w:bCs/>
                <w:color w:val="auto"/>
              </w:rPr>
              <w:t>《工业涂装工序大气污染物排放标准》</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1932"/>
              <w:gridCol w:w="1321"/>
              <w:gridCol w:w="1556"/>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b/>
                      <w:bCs/>
                      <w:color w:val="auto"/>
                      <w:sz w:val="21"/>
                      <w:szCs w:val="21"/>
                    </w:rPr>
                  </w:pPr>
                  <w:r>
                    <w:rPr>
                      <w:rFonts w:hint="eastAsia"/>
                      <w:b/>
                      <w:bCs/>
                      <w:color w:val="auto"/>
                      <w:sz w:val="21"/>
                      <w:szCs w:val="21"/>
                    </w:rPr>
                    <w:t>序号</w:t>
                  </w:r>
                </w:p>
              </w:tc>
              <w:tc>
                <w:tcPr>
                  <w:tcW w:w="1932" w:type="dxa"/>
                  <w:vAlign w:val="center"/>
                </w:tcPr>
                <w:p>
                  <w:pPr>
                    <w:autoSpaceDN w:val="0"/>
                    <w:jc w:val="center"/>
                    <w:textAlignment w:val="center"/>
                    <w:rPr>
                      <w:b/>
                      <w:bCs/>
                      <w:color w:val="auto"/>
                      <w:sz w:val="21"/>
                      <w:szCs w:val="21"/>
                    </w:rPr>
                  </w:pPr>
                  <w:r>
                    <w:rPr>
                      <w:rFonts w:hint="eastAsia"/>
                      <w:b/>
                      <w:bCs/>
                      <w:color w:val="auto"/>
                      <w:sz w:val="21"/>
                      <w:szCs w:val="21"/>
                    </w:rPr>
                    <w:t>污染物项目</w:t>
                  </w:r>
                </w:p>
              </w:tc>
              <w:tc>
                <w:tcPr>
                  <w:tcW w:w="1321" w:type="dxa"/>
                  <w:vAlign w:val="center"/>
                </w:tcPr>
                <w:p>
                  <w:pPr>
                    <w:autoSpaceDN w:val="0"/>
                    <w:jc w:val="center"/>
                    <w:textAlignment w:val="center"/>
                    <w:rPr>
                      <w:b/>
                      <w:bCs/>
                      <w:color w:val="auto"/>
                      <w:sz w:val="21"/>
                      <w:szCs w:val="21"/>
                    </w:rPr>
                  </w:pPr>
                  <w:r>
                    <w:rPr>
                      <w:rFonts w:hint="eastAsia"/>
                      <w:b/>
                      <w:bCs/>
                      <w:color w:val="auto"/>
                      <w:sz w:val="21"/>
                      <w:szCs w:val="21"/>
                    </w:rPr>
                    <w:t>适用条件</w:t>
                  </w:r>
                </w:p>
              </w:tc>
              <w:tc>
                <w:tcPr>
                  <w:tcW w:w="1556" w:type="dxa"/>
                  <w:vAlign w:val="center"/>
                </w:tcPr>
                <w:p>
                  <w:pPr>
                    <w:autoSpaceDN w:val="0"/>
                    <w:jc w:val="center"/>
                    <w:textAlignment w:val="center"/>
                    <w:rPr>
                      <w:b/>
                      <w:bCs/>
                      <w:color w:val="auto"/>
                      <w:sz w:val="21"/>
                      <w:szCs w:val="21"/>
                    </w:rPr>
                  </w:pPr>
                  <w:r>
                    <w:rPr>
                      <w:rFonts w:hint="eastAsia"/>
                      <w:b/>
                      <w:bCs/>
                      <w:color w:val="auto"/>
                      <w:sz w:val="21"/>
                      <w:szCs w:val="21"/>
                    </w:rPr>
                    <w:t>排放限值</w:t>
                  </w:r>
                  <w:r>
                    <w:rPr>
                      <w:rFonts w:ascii="Times New Roman" w:hAnsi="Times New Roman" w:eastAsia="宋体" w:cs="Times New Roman"/>
                      <w:b/>
                      <w:color w:val="auto"/>
                      <w:sz w:val="21"/>
                      <w:szCs w:val="21"/>
                    </w:rPr>
                    <w:t>（mg/m</w:t>
                  </w:r>
                  <w:r>
                    <w:rPr>
                      <w:rFonts w:ascii="Times New Roman" w:hAnsi="Times New Roman" w:eastAsia="宋体" w:cs="Times New Roman"/>
                      <w:b/>
                      <w:color w:val="auto"/>
                      <w:sz w:val="21"/>
                      <w:szCs w:val="21"/>
                      <w:vertAlign w:val="superscript"/>
                    </w:rPr>
                    <w:t>3</w:t>
                  </w:r>
                  <w:r>
                    <w:rPr>
                      <w:rFonts w:ascii="Times New Roman" w:hAnsi="Times New Roman" w:eastAsia="宋体" w:cs="Times New Roman"/>
                      <w:b/>
                      <w:color w:val="auto"/>
                      <w:sz w:val="21"/>
                      <w:szCs w:val="21"/>
                    </w:rPr>
                    <w:t>）</w:t>
                  </w:r>
                </w:p>
              </w:tc>
              <w:tc>
                <w:tcPr>
                  <w:tcW w:w="2120" w:type="dxa"/>
                  <w:vAlign w:val="center"/>
                </w:tcPr>
                <w:p>
                  <w:pPr>
                    <w:adjustRightInd w:val="0"/>
                    <w:snapToGrid w:val="0"/>
                    <w:ind w:left="194" w:leftChars="-28" w:hanging="261" w:hangingChars="124"/>
                    <w:jc w:val="center"/>
                    <w:rPr>
                      <w:b/>
                      <w:bCs/>
                      <w:color w:val="auto"/>
                      <w:sz w:val="21"/>
                      <w:szCs w:val="21"/>
                    </w:rPr>
                  </w:pPr>
                  <w:r>
                    <w:rPr>
                      <w:rFonts w:hint="eastAsia" w:ascii="Times New Roman" w:hAnsi="Times New Roman" w:eastAsia="宋体" w:cs="Times New Roman"/>
                      <w:b/>
                      <w:color w:val="auto"/>
                      <w:sz w:val="21"/>
                      <w:szCs w:val="21"/>
                    </w:rPr>
                    <w:t>企业边界大气污染物</w:t>
                  </w:r>
                  <w:r>
                    <w:rPr>
                      <w:rFonts w:ascii="Times New Roman" w:hAnsi="Times New Roman" w:eastAsia="宋体" w:cs="Times New Roman"/>
                      <w:b/>
                      <w:color w:val="auto"/>
                      <w:sz w:val="21"/>
                      <w:szCs w:val="21"/>
                    </w:rPr>
                    <w:t>浓度</w:t>
                  </w:r>
                  <w:r>
                    <w:rPr>
                      <w:rFonts w:hint="eastAsia" w:ascii="Times New Roman" w:hAnsi="Times New Roman" w:eastAsia="宋体" w:cs="Times New Roman"/>
                      <w:b/>
                      <w:color w:val="auto"/>
                      <w:sz w:val="21"/>
                      <w:szCs w:val="21"/>
                    </w:rPr>
                    <w:t>限值</w:t>
                  </w:r>
                  <w:r>
                    <w:rPr>
                      <w:rFonts w:ascii="Times New Roman" w:hAnsi="Times New Roman" w:eastAsia="宋体" w:cs="Times New Roman"/>
                      <w:b/>
                      <w:color w:val="auto"/>
                      <w:sz w:val="21"/>
                      <w:szCs w:val="21"/>
                    </w:rPr>
                    <w:t>（mg/m</w:t>
                  </w:r>
                  <w:r>
                    <w:rPr>
                      <w:rFonts w:ascii="Times New Roman" w:hAnsi="Times New Roman" w:eastAsia="宋体" w:cs="Times New Roman"/>
                      <w:b/>
                      <w:color w:val="auto"/>
                      <w:sz w:val="21"/>
                      <w:szCs w:val="21"/>
                      <w:vertAlign w:val="superscript"/>
                    </w:rPr>
                    <w:t>3</w:t>
                  </w:r>
                  <w:r>
                    <w:rPr>
                      <w:rFonts w:ascii="Times New Roman" w:hAnsi="Times New Roman" w:eastAsia="宋体" w:cs="Times New Roman"/>
                      <w:b/>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color w:val="auto"/>
                      <w:sz w:val="21"/>
                      <w:szCs w:val="21"/>
                    </w:rPr>
                  </w:pPr>
                  <w:r>
                    <w:rPr>
                      <w:rFonts w:hint="eastAsia"/>
                      <w:color w:val="auto"/>
                      <w:sz w:val="21"/>
                      <w:szCs w:val="21"/>
                    </w:rPr>
                    <w:t>1</w:t>
                  </w:r>
                </w:p>
              </w:tc>
              <w:tc>
                <w:tcPr>
                  <w:tcW w:w="1932" w:type="dxa"/>
                  <w:vAlign w:val="center"/>
                </w:tcPr>
                <w:p>
                  <w:pPr>
                    <w:autoSpaceDN w:val="0"/>
                    <w:jc w:val="center"/>
                    <w:textAlignment w:val="center"/>
                    <w:rPr>
                      <w:color w:val="auto"/>
                      <w:sz w:val="21"/>
                      <w:szCs w:val="21"/>
                    </w:rPr>
                  </w:pPr>
                  <w:r>
                    <w:rPr>
                      <w:rFonts w:hint="eastAsia"/>
                      <w:color w:val="auto"/>
                      <w:sz w:val="21"/>
                      <w:szCs w:val="21"/>
                    </w:rPr>
                    <w:t>颗粒物</w:t>
                  </w:r>
                </w:p>
              </w:tc>
              <w:tc>
                <w:tcPr>
                  <w:tcW w:w="1321" w:type="dxa"/>
                  <w:vAlign w:val="center"/>
                </w:tcPr>
                <w:p>
                  <w:pPr>
                    <w:autoSpaceDN w:val="0"/>
                    <w:jc w:val="center"/>
                    <w:textAlignment w:val="center"/>
                    <w:rPr>
                      <w:color w:val="auto"/>
                      <w:sz w:val="21"/>
                      <w:szCs w:val="21"/>
                    </w:rPr>
                  </w:pPr>
                  <w:r>
                    <w:rPr>
                      <w:rFonts w:hint="eastAsia"/>
                      <w:color w:val="auto"/>
                      <w:sz w:val="21"/>
                      <w:szCs w:val="21"/>
                    </w:rPr>
                    <w:t>所有</w:t>
                  </w:r>
                </w:p>
              </w:tc>
              <w:tc>
                <w:tcPr>
                  <w:tcW w:w="1556" w:type="dxa"/>
                  <w:vAlign w:val="center"/>
                </w:tcPr>
                <w:p>
                  <w:pPr>
                    <w:autoSpaceDN w:val="0"/>
                    <w:jc w:val="center"/>
                    <w:textAlignment w:val="center"/>
                    <w:rPr>
                      <w:rFonts w:hint="default" w:eastAsia="宋体"/>
                      <w:color w:val="auto"/>
                      <w:sz w:val="21"/>
                      <w:szCs w:val="21"/>
                      <w:lang w:val="en-US" w:eastAsia="zh-CN"/>
                    </w:rPr>
                  </w:pPr>
                  <w:r>
                    <w:rPr>
                      <w:rFonts w:hint="eastAsia"/>
                      <w:color w:val="auto"/>
                      <w:sz w:val="21"/>
                      <w:szCs w:val="21"/>
                      <w:lang w:val="en-US" w:eastAsia="zh-CN"/>
                    </w:rPr>
                    <w:t>20</w:t>
                  </w:r>
                </w:p>
              </w:tc>
              <w:tc>
                <w:tcPr>
                  <w:tcW w:w="2120" w:type="dxa"/>
                  <w:vAlign w:val="center"/>
                </w:tcPr>
                <w:p>
                  <w:pPr>
                    <w:adjustRightInd w:val="0"/>
                    <w:snapToGrid w:val="0"/>
                    <w:ind w:left="193" w:leftChars="-28" w:hanging="260" w:hangingChars="124"/>
                    <w:jc w:val="center"/>
                    <w:rPr>
                      <w:color w:val="auto"/>
                      <w:sz w:val="21"/>
                      <w:szCs w:val="21"/>
                    </w:rPr>
                  </w:pPr>
                  <w:r>
                    <w:rPr>
                      <w:rFonts w:hint="eastAsia" w:ascii="Times New Roman" w:hAnsi="Times New Roman" w:eastAsia="宋体" w:cs="Times New Roman"/>
                      <w:b w:val="0"/>
                      <w:bCs/>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2</w:t>
                  </w:r>
                </w:p>
              </w:tc>
              <w:tc>
                <w:tcPr>
                  <w:tcW w:w="1932"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苯系物</w:t>
                  </w:r>
                </w:p>
              </w:tc>
              <w:tc>
                <w:tcPr>
                  <w:tcW w:w="1321" w:type="dxa"/>
                  <w:vAlign w:val="center"/>
                </w:tcPr>
                <w:p>
                  <w:pPr>
                    <w:autoSpaceDN w:val="0"/>
                    <w:jc w:val="center"/>
                    <w:textAlignment w:val="center"/>
                    <w:rPr>
                      <w:rFonts w:hint="eastAsia"/>
                      <w:color w:val="auto"/>
                      <w:sz w:val="21"/>
                      <w:szCs w:val="21"/>
                    </w:rPr>
                  </w:pPr>
                  <w:r>
                    <w:rPr>
                      <w:rFonts w:hint="eastAsia"/>
                      <w:color w:val="auto"/>
                      <w:sz w:val="21"/>
                      <w:szCs w:val="21"/>
                    </w:rPr>
                    <w:t>所有</w:t>
                  </w:r>
                </w:p>
              </w:tc>
              <w:tc>
                <w:tcPr>
                  <w:tcW w:w="1556" w:type="dxa"/>
                  <w:vAlign w:val="center"/>
                </w:tcPr>
                <w:p>
                  <w:pPr>
                    <w:autoSpaceDN w:val="0"/>
                    <w:jc w:val="center"/>
                    <w:textAlignment w:val="center"/>
                    <w:rPr>
                      <w:rFonts w:hint="default" w:eastAsia="宋体"/>
                      <w:color w:val="auto"/>
                      <w:sz w:val="21"/>
                      <w:szCs w:val="21"/>
                      <w:lang w:val="en-US" w:eastAsia="zh-CN"/>
                    </w:rPr>
                  </w:pPr>
                  <w:r>
                    <w:rPr>
                      <w:rFonts w:hint="eastAsia"/>
                      <w:color w:val="auto"/>
                      <w:sz w:val="21"/>
                      <w:szCs w:val="21"/>
                      <w:lang w:val="en-US" w:eastAsia="zh-CN"/>
                    </w:rPr>
                    <w:t>20</w:t>
                  </w:r>
                </w:p>
              </w:tc>
              <w:tc>
                <w:tcPr>
                  <w:tcW w:w="2120" w:type="dxa"/>
                  <w:vAlign w:val="center"/>
                </w:tcPr>
                <w:p>
                  <w:pPr>
                    <w:adjustRightInd w:val="0"/>
                    <w:snapToGrid w:val="0"/>
                    <w:ind w:left="193" w:leftChars="-28" w:hanging="260" w:hangingChars="124"/>
                    <w:jc w:val="center"/>
                    <w:rPr>
                      <w:rFonts w:hint="default" w:ascii="Times New Roman" w:hAnsi="Times New Roman" w:eastAsia="宋体" w:cs="Times New Roman"/>
                      <w:b w:val="0"/>
                      <w:bCs/>
                      <w:color w:val="auto"/>
                      <w:sz w:val="21"/>
                      <w:szCs w:val="21"/>
                      <w:lang w:val="en-US" w:eastAsia="zh-CN"/>
                    </w:rPr>
                  </w:pPr>
                  <w:r>
                    <w:rPr>
                      <w:rFonts w:hint="eastAsia" w:cs="Times New Roman"/>
                      <w:b w:val="0"/>
                      <w:bCs/>
                      <w:color w:val="auto"/>
                      <w:sz w:val="21"/>
                      <w:szCs w:val="21"/>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3</w:t>
                  </w:r>
                </w:p>
              </w:tc>
              <w:tc>
                <w:tcPr>
                  <w:tcW w:w="1932"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乙酸酯类</w:t>
                  </w:r>
                </w:p>
              </w:tc>
              <w:tc>
                <w:tcPr>
                  <w:tcW w:w="1321"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涉乙酸酯类</w:t>
                  </w:r>
                </w:p>
              </w:tc>
              <w:tc>
                <w:tcPr>
                  <w:tcW w:w="1556" w:type="dxa"/>
                  <w:vAlign w:val="center"/>
                </w:tcPr>
                <w:p>
                  <w:pPr>
                    <w:autoSpaceDN w:val="0"/>
                    <w:jc w:val="center"/>
                    <w:textAlignment w:val="center"/>
                    <w:rPr>
                      <w:rFonts w:hint="default" w:eastAsia="宋体"/>
                      <w:color w:val="auto"/>
                      <w:sz w:val="21"/>
                      <w:szCs w:val="21"/>
                      <w:lang w:val="en-US" w:eastAsia="zh-CN"/>
                    </w:rPr>
                  </w:pPr>
                  <w:r>
                    <w:rPr>
                      <w:rFonts w:hint="eastAsia"/>
                      <w:color w:val="auto"/>
                      <w:sz w:val="21"/>
                      <w:szCs w:val="21"/>
                      <w:lang w:val="en-US" w:eastAsia="zh-CN"/>
                    </w:rPr>
                    <w:t>50</w:t>
                  </w:r>
                </w:p>
              </w:tc>
              <w:tc>
                <w:tcPr>
                  <w:tcW w:w="2120" w:type="dxa"/>
                  <w:vAlign w:val="center"/>
                </w:tcPr>
                <w:p>
                  <w:pPr>
                    <w:adjustRightInd w:val="0"/>
                    <w:snapToGrid w:val="0"/>
                    <w:ind w:left="193" w:leftChars="-28" w:hanging="260" w:hangingChars="124"/>
                    <w:jc w:val="center"/>
                    <w:rPr>
                      <w:rFonts w:hint="default" w:ascii="Times New Roman" w:hAnsi="Times New Roman" w:eastAsia="宋体" w:cs="Times New Roman"/>
                      <w:b w:val="0"/>
                      <w:bCs/>
                      <w:color w:val="auto"/>
                      <w:sz w:val="21"/>
                      <w:szCs w:val="21"/>
                      <w:lang w:val="en-US" w:eastAsia="zh-CN"/>
                    </w:rPr>
                  </w:pPr>
                  <w:r>
                    <w:rPr>
                      <w:rFonts w:hint="eastAsia" w:cs="Times New Roman"/>
                      <w:b w:val="0"/>
                      <w:bCs/>
                      <w:color w:val="auto"/>
                      <w:sz w:val="21"/>
                      <w:szCs w:val="21"/>
                      <w:lang w:val="en-US" w:eastAsia="zh-CN"/>
                    </w:rPr>
                    <w:t>0.5（乙酸丁酯）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4</w:t>
                  </w:r>
                </w:p>
              </w:tc>
              <w:tc>
                <w:tcPr>
                  <w:tcW w:w="1932"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rPr>
                    <w:t>非甲烷总烃</w:t>
                  </w:r>
                  <w:r>
                    <w:rPr>
                      <w:rFonts w:hint="eastAsia" w:cs="Times New Roman"/>
                      <w:b w:val="0"/>
                      <w:bCs/>
                      <w:color w:val="auto"/>
                      <w:sz w:val="21"/>
                      <w:szCs w:val="21"/>
                      <w:lang w:eastAsia="zh-CN"/>
                    </w:rPr>
                    <w:t>（</w:t>
                  </w:r>
                  <w:r>
                    <w:rPr>
                      <w:rFonts w:hint="eastAsia" w:ascii="Times New Roman" w:hAnsi="Times New Roman" w:eastAsia="宋体" w:cs="Times New Roman"/>
                      <w:b w:val="0"/>
                      <w:bCs/>
                      <w:color w:val="auto"/>
                      <w:kern w:val="2"/>
                      <w:sz w:val="21"/>
                      <w:szCs w:val="21"/>
                      <w:lang w:val="en-US" w:eastAsia="zh-CN" w:bidi="ar-SA"/>
                    </w:rPr>
                    <w:t>其他</w:t>
                  </w:r>
                  <w:r>
                    <w:rPr>
                      <w:rFonts w:hint="eastAsia" w:cs="Times New Roman"/>
                      <w:b w:val="0"/>
                      <w:bCs/>
                      <w:color w:val="auto"/>
                      <w:sz w:val="21"/>
                      <w:szCs w:val="21"/>
                      <w:lang w:eastAsia="zh-CN"/>
                    </w:rPr>
                    <w:t>）</w:t>
                  </w:r>
                </w:p>
              </w:tc>
              <w:tc>
                <w:tcPr>
                  <w:tcW w:w="1321" w:type="dxa"/>
                  <w:vAlign w:val="center"/>
                </w:tcPr>
                <w:p>
                  <w:pPr>
                    <w:adjustRightInd w:val="0"/>
                    <w:snapToGrid w:val="0"/>
                    <w:ind w:left="193" w:leftChars="-28" w:hanging="260" w:hangingChars="124"/>
                    <w:jc w:val="center"/>
                    <w:rPr>
                      <w:rFonts w:hint="default" w:ascii="Times New Roman" w:hAnsi="Times New Roman" w:eastAsia="宋体" w:cs="Times New Roman"/>
                      <w:b w:val="0"/>
                      <w:bCs/>
                      <w:color w:val="auto"/>
                      <w:kern w:val="2"/>
                      <w:sz w:val="21"/>
                      <w:szCs w:val="21"/>
                      <w:lang w:val="en-US" w:eastAsia="zh-CN" w:bidi="ar-SA"/>
                    </w:rPr>
                  </w:pPr>
                  <w:r>
                    <w:rPr>
                      <w:rFonts w:hint="eastAsia"/>
                      <w:color w:val="auto"/>
                      <w:sz w:val="21"/>
                      <w:szCs w:val="21"/>
                    </w:rPr>
                    <w:t>所有</w:t>
                  </w:r>
                </w:p>
              </w:tc>
              <w:tc>
                <w:tcPr>
                  <w:tcW w:w="1556" w:type="dxa"/>
                  <w:vAlign w:val="center"/>
                </w:tcPr>
                <w:p>
                  <w:pPr>
                    <w:autoSpaceDN w:val="0"/>
                    <w:jc w:val="center"/>
                    <w:textAlignment w:val="center"/>
                    <w:rPr>
                      <w:rFonts w:hint="default" w:eastAsia="宋体"/>
                      <w:color w:val="auto"/>
                      <w:sz w:val="21"/>
                      <w:szCs w:val="21"/>
                      <w:lang w:val="en-US" w:eastAsia="zh-CN"/>
                    </w:rPr>
                  </w:pPr>
                  <w:r>
                    <w:rPr>
                      <w:rFonts w:hint="eastAsia" w:cs="Times New Roman"/>
                      <w:b w:val="0"/>
                      <w:bCs/>
                      <w:color w:val="auto"/>
                      <w:sz w:val="21"/>
                      <w:szCs w:val="21"/>
                      <w:lang w:val="en-US" w:eastAsia="zh-CN"/>
                    </w:rPr>
                    <w:t>60</w:t>
                  </w:r>
                </w:p>
              </w:tc>
              <w:tc>
                <w:tcPr>
                  <w:tcW w:w="2120" w:type="dxa"/>
                  <w:vAlign w:val="center"/>
                </w:tcPr>
                <w:p>
                  <w:pPr>
                    <w:adjustRightInd w:val="0"/>
                    <w:snapToGrid w:val="0"/>
                    <w:ind w:left="193" w:leftChars="-28" w:hanging="260" w:hangingChars="124"/>
                    <w:jc w:val="center"/>
                    <w:rPr>
                      <w:rFonts w:hint="eastAsia"/>
                      <w:color w:val="auto"/>
                      <w:sz w:val="21"/>
                      <w:szCs w:val="21"/>
                    </w:rPr>
                  </w:pPr>
                  <w:r>
                    <w:rPr>
                      <w:rFonts w:hint="eastAsia" w:ascii="Times New Roman" w:hAnsi="Times New Roman" w:eastAsia="宋体" w:cs="Times New Roman"/>
                      <w:b w:val="0"/>
                      <w:bCs/>
                      <w:color w:val="auto"/>
                      <w:sz w:val="21"/>
                      <w:szCs w:val="21"/>
                    </w:rPr>
                    <w:t>4</w:t>
                  </w:r>
                  <w:r>
                    <w:rPr>
                      <w:rFonts w:ascii="Times New Roman" w:hAnsi="Times New Roman" w:eastAsia="宋体" w:cs="Times New Roman"/>
                      <w:b w:val="0"/>
                      <w:bCs/>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rFonts w:hint="default"/>
                      <w:color w:val="auto"/>
                      <w:sz w:val="21"/>
                      <w:szCs w:val="21"/>
                      <w:lang w:val="en-US" w:eastAsia="zh-CN"/>
                    </w:rPr>
                  </w:pPr>
                  <w:r>
                    <w:rPr>
                      <w:rFonts w:hint="eastAsia"/>
                      <w:color w:val="auto"/>
                      <w:sz w:val="21"/>
                      <w:szCs w:val="21"/>
                      <w:lang w:val="en-US" w:eastAsia="zh-CN"/>
                    </w:rPr>
                    <w:t>5</w:t>
                  </w:r>
                </w:p>
              </w:tc>
              <w:tc>
                <w:tcPr>
                  <w:tcW w:w="1932"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rPr>
                    <w:t>臭气浓度</w:t>
                  </w:r>
                </w:p>
              </w:tc>
              <w:tc>
                <w:tcPr>
                  <w:tcW w:w="1321" w:type="dxa"/>
                  <w:vAlign w:val="center"/>
                </w:tcPr>
                <w:p>
                  <w:pPr>
                    <w:adjustRightInd w:val="0"/>
                    <w:snapToGrid w:val="0"/>
                    <w:ind w:left="193" w:leftChars="-28" w:hanging="260" w:hangingChars="124"/>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所有</w:t>
                  </w:r>
                </w:p>
              </w:tc>
              <w:tc>
                <w:tcPr>
                  <w:tcW w:w="1556"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kern w:val="2"/>
                      <w:sz w:val="21"/>
                      <w:szCs w:val="21"/>
                      <w:lang w:val="en-US" w:eastAsia="zh-CN" w:bidi="ar-SA"/>
                    </w:rPr>
                  </w:pPr>
                  <w:r>
                    <w:rPr>
                      <w:rFonts w:hint="eastAsia" w:cs="Times New Roman"/>
                      <w:b w:val="0"/>
                      <w:bCs/>
                      <w:color w:val="auto"/>
                      <w:sz w:val="21"/>
                      <w:szCs w:val="21"/>
                      <w:lang w:val="en-US" w:eastAsia="zh-CN"/>
                    </w:rPr>
                    <w:t>8</w:t>
                  </w:r>
                  <w:r>
                    <w:rPr>
                      <w:rFonts w:hint="eastAsia" w:ascii="Times New Roman" w:hAnsi="Times New Roman" w:eastAsia="宋体" w:cs="Times New Roman"/>
                      <w:b w:val="0"/>
                      <w:bCs/>
                      <w:color w:val="auto"/>
                      <w:sz w:val="21"/>
                      <w:szCs w:val="21"/>
                    </w:rPr>
                    <w:t>00（无量纲）</w:t>
                  </w:r>
                </w:p>
              </w:tc>
              <w:tc>
                <w:tcPr>
                  <w:tcW w:w="2120"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rPr>
                    <w:t>20（无量纲）</w:t>
                  </w:r>
                </w:p>
              </w:tc>
            </w:tr>
          </w:tbl>
          <w:p>
            <w:pPr>
              <w:numPr>
                <w:ilvl w:val="0"/>
                <w:numId w:val="3"/>
              </w:numPr>
              <w:tabs>
                <w:tab w:val="left" w:pos="4288"/>
              </w:tabs>
              <w:spacing w:line="360" w:lineRule="auto"/>
              <w:ind w:firstLine="480" w:firstLineChars="200"/>
              <w:outlineLvl w:val="2"/>
              <w:rPr>
                <w:rFonts w:hint="eastAsia"/>
                <w:color w:val="auto"/>
                <w:szCs w:val="24"/>
                <w:lang w:val="en-US" w:eastAsia="zh-CN"/>
              </w:rPr>
            </w:pPr>
            <w:r>
              <w:rPr>
                <w:rFonts w:hint="eastAsia"/>
                <w:color w:val="auto"/>
                <w:szCs w:val="24"/>
                <w:lang w:val="en-US" w:eastAsia="zh-CN"/>
              </w:rPr>
              <w:t>厂区内无组织排放要求</w:t>
            </w:r>
          </w:p>
          <w:p>
            <w:pPr>
              <w:tabs>
                <w:tab w:val="left" w:pos="4288"/>
              </w:tabs>
              <w:spacing w:line="360" w:lineRule="auto"/>
              <w:ind w:firstLine="480" w:firstLineChars="200"/>
              <w:outlineLvl w:val="2"/>
              <w:rPr>
                <w:color w:val="auto"/>
                <w:szCs w:val="24"/>
              </w:rPr>
            </w:pPr>
            <w:r>
              <w:rPr>
                <w:rFonts w:hint="eastAsia"/>
                <w:color w:val="auto"/>
                <w:szCs w:val="24"/>
              </w:rPr>
              <w:t>厂内挥发性有机物（非甲烷总烃为表征）无组织排放执行GB37822-2019《挥发性有机物无组织排放控制标准》表A.1厂区内挥发性有机物（VOCs）无组织特别排放限值，具体见表3-</w:t>
            </w:r>
            <w:r>
              <w:rPr>
                <w:rFonts w:hint="eastAsia"/>
                <w:color w:val="auto"/>
                <w:szCs w:val="24"/>
                <w:lang w:val="en-US" w:eastAsia="zh-CN"/>
              </w:rPr>
              <w:t>7</w:t>
            </w:r>
            <w:r>
              <w:rPr>
                <w:rFonts w:hint="eastAsia"/>
                <w:color w:val="auto"/>
                <w:szCs w:val="24"/>
              </w:rPr>
              <w:t>。</w:t>
            </w: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表3-</w:t>
            </w:r>
            <w:r>
              <w:rPr>
                <w:rFonts w:hint="eastAsia" w:ascii="Times New Roman" w:hAnsi="Times New Roman" w:eastAsia="宋体" w:cs="Times New Roman"/>
                <w:b/>
                <w:bCs/>
                <w:color w:val="auto"/>
                <w:lang w:val="en-US" w:eastAsia="zh-CN"/>
              </w:rPr>
              <w:t>7</w:t>
            </w:r>
            <w:r>
              <w:rPr>
                <w:rFonts w:hint="eastAsia" w:ascii="Times New Roman" w:hAnsi="Times New Roman" w:eastAsia="宋体" w:cs="Times New Roman"/>
                <w:b/>
                <w:bCs/>
                <w:color w:val="auto"/>
              </w:rPr>
              <w:t xml:space="preserve">  厂区内VOCs无组织排放限值</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2"/>
              <w:gridCol w:w="1583"/>
              <w:gridCol w:w="2828"/>
              <w:gridCol w:w="2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2" w:type="dxa"/>
                  <w:vAlign w:val="center"/>
                </w:tcPr>
                <w:p>
                  <w:pPr>
                    <w:adjustRightInd w:val="0"/>
                    <w:snapToGrid w:val="0"/>
                    <w:jc w:val="center"/>
                    <w:rPr>
                      <w:b/>
                      <w:bCs/>
                      <w:color w:val="auto"/>
                      <w:sz w:val="21"/>
                      <w:szCs w:val="21"/>
                    </w:rPr>
                  </w:pPr>
                  <w:r>
                    <w:rPr>
                      <w:b/>
                      <w:bCs/>
                      <w:color w:val="auto"/>
                      <w:sz w:val="21"/>
                      <w:szCs w:val="21"/>
                    </w:rPr>
                    <w:t>项目名称</w:t>
                  </w:r>
                </w:p>
              </w:tc>
              <w:tc>
                <w:tcPr>
                  <w:tcW w:w="1583" w:type="dxa"/>
                  <w:vAlign w:val="center"/>
                </w:tcPr>
                <w:p>
                  <w:pPr>
                    <w:adjustRightInd w:val="0"/>
                    <w:snapToGrid w:val="0"/>
                    <w:jc w:val="center"/>
                    <w:rPr>
                      <w:b/>
                      <w:bCs/>
                      <w:color w:val="auto"/>
                      <w:sz w:val="21"/>
                      <w:szCs w:val="21"/>
                    </w:rPr>
                  </w:pPr>
                  <w:r>
                    <w:rPr>
                      <w:b/>
                      <w:bCs/>
                      <w:color w:val="auto"/>
                      <w:sz w:val="21"/>
                      <w:szCs w:val="21"/>
                    </w:rPr>
                    <w:t>特别排放限值（mg/m</w:t>
                  </w:r>
                  <w:r>
                    <w:rPr>
                      <w:b/>
                      <w:bCs/>
                      <w:color w:val="auto"/>
                      <w:sz w:val="21"/>
                      <w:szCs w:val="21"/>
                      <w:vertAlign w:val="superscript"/>
                    </w:rPr>
                    <w:t>3</w:t>
                  </w:r>
                  <w:r>
                    <w:rPr>
                      <w:b/>
                      <w:bCs/>
                      <w:color w:val="auto"/>
                      <w:sz w:val="21"/>
                      <w:szCs w:val="21"/>
                    </w:rPr>
                    <w:t>）</w:t>
                  </w:r>
                </w:p>
              </w:tc>
              <w:tc>
                <w:tcPr>
                  <w:tcW w:w="2828" w:type="dxa"/>
                  <w:vAlign w:val="center"/>
                </w:tcPr>
                <w:p>
                  <w:pPr>
                    <w:adjustRightInd w:val="0"/>
                    <w:snapToGrid w:val="0"/>
                    <w:jc w:val="center"/>
                    <w:rPr>
                      <w:b/>
                      <w:bCs/>
                      <w:color w:val="auto"/>
                      <w:sz w:val="21"/>
                      <w:szCs w:val="21"/>
                    </w:rPr>
                  </w:pPr>
                  <w:r>
                    <w:rPr>
                      <w:b/>
                      <w:bCs/>
                      <w:color w:val="auto"/>
                      <w:sz w:val="21"/>
                      <w:szCs w:val="21"/>
                    </w:rPr>
                    <w:t>限值含义</w:t>
                  </w:r>
                </w:p>
              </w:tc>
              <w:tc>
                <w:tcPr>
                  <w:tcW w:w="2152" w:type="dxa"/>
                  <w:vAlign w:val="center"/>
                </w:tcPr>
                <w:p>
                  <w:pPr>
                    <w:adjustRightInd w:val="0"/>
                    <w:snapToGrid w:val="0"/>
                    <w:jc w:val="center"/>
                    <w:rPr>
                      <w:b/>
                      <w:bCs/>
                      <w:color w:val="auto"/>
                      <w:sz w:val="21"/>
                      <w:szCs w:val="21"/>
                    </w:rPr>
                  </w:pPr>
                  <w:r>
                    <w:rPr>
                      <w:b/>
                      <w:bCs/>
                      <w:color w:val="auto"/>
                      <w:sz w:val="21"/>
                      <w:szCs w:val="21"/>
                    </w:rPr>
                    <w:t>无组织排放监控位置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2" w:type="dxa"/>
                  <w:vMerge w:val="restart"/>
                  <w:vAlign w:val="center"/>
                </w:tcPr>
                <w:p>
                  <w:pPr>
                    <w:adjustRightInd w:val="0"/>
                    <w:snapToGrid w:val="0"/>
                    <w:jc w:val="center"/>
                    <w:rPr>
                      <w:bCs/>
                      <w:color w:val="auto"/>
                      <w:sz w:val="21"/>
                      <w:szCs w:val="21"/>
                    </w:rPr>
                  </w:pPr>
                  <w:r>
                    <w:rPr>
                      <w:bCs/>
                      <w:color w:val="auto"/>
                      <w:sz w:val="21"/>
                      <w:szCs w:val="21"/>
                    </w:rPr>
                    <w:t>NMHC</w:t>
                  </w:r>
                </w:p>
              </w:tc>
              <w:tc>
                <w:tcPr>
                  <w:tcW w:w="1583" w:type="dxa"/>
                  <w:vAlign w:val="center"/>
                </w:tcPr>
                <w:p>
                  <w:pPr>
                    <w:adjustRightInd w:val="0"/>
                    <w:snapToGrid w:val="0"/>
                    <w:jc w:val="center"/>
                    <w:rPr>
                      <w:bCs/>
                      <w:color w:val="auto"/>
                      <w:sz w:val="21"/>
                      <w:szCs w:val="21"/>
                    </w:rPr>
                  </w:pPr>
                  <w:r>
                    <w:rPr>
                      <w:bCs/>
                      <w:color w:val="auto"/>
                      <w:sz w:val="21"/>
                      <w:szCs w:val="21"/>
                    </w:rPr>
                    <w:t>6</w:t>
                  </w:r>
                </w:p>
              </w:tc>
              <w:tc>
                <w:tcPr>
                  <w:tcW w:w="2828" w:type="dxa"/>
                  <w:vAlign w:val="center"/>
                </w:tcPr>
                <w:p>
                  <w:pPr>
                    <w:adjustRightInd w:val="0"/>
                    <w:snapToGrid w:val="0"/>
                    <w:jc w:val="center"/>
                    <w:rPr>
                      <w:bCs/>
                      <w:color w:val="auto"/>
                      <w:sz w:val="21"/>
                      <w:szCs w:val="21"/>
                    </w:rPr>
                  </w:pPr>
                  <w:r>
                    <w:rPr>
                      <w:bCs/>
                      <w:color w:val="auto"/>
                      <w:sz w:val="21"/>
                      <w:szCs w:val="21"/>
                    </w:rPr>
                    <w:t>监控点处1h平均浓度值</w:t>
                  </w:r>
                </w:p>
              </w:tc>
              <w:tc>
                <w:tcPr>
                  <w:tcW w:w="2152" w:type="dxa"/>
                  <w:vMerge w:val="restart"/>
                  <w:vAlign w:val="center"/>
                </w:tcPr>
                <w:p>
                  <w:pPr>
                    <w:adjustRightInd w:val="0"/>
                    <w:snapToGrid w:val="0"/>
                    <w:jc w:val="center"/>
                    <w:rPr>
                      <w:bCs/>
                      <w:color w:val="auto"/>
                      <w:sz w:val="21"/>
                      <w:szCs w:val="21"/>
                    </w:rPr>
                  </w:pPr>
                  <w:r>
                    <w:rPr>
                      <w:bCs/>
                      <w:color w:val="auto"/>
                      <w:sz w:val="21"/>
                      <w:szCs w:val="21"/>
                    </w:rPr>
                    <w:t>在厂房外设置监控点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092" w:type="dxa"/>
                  <w:vMerge w:val="continue"/>
                  <w:vAlign w:val="center"/>
                </w:tcPr>
                <w:p>
                  <w:pPr>
                    <w:pStyle w:val="14"/>
                    <w:spacing w:line="240" w:lineRule="auto"/>
                    <w:rPr>
                      <w:color w:val="auto"/>
                      <w:sz w:val="21"/>
                      <w:szCs w:val="21"/>
                    </w:rPr>
                  </w:pPr>
                </w:p>
              </w:tc>
              <w:tc>
                <w:tcPr>
                  <w:tcW w:w="1583" w:type="dxa"/>
                  <w:vAlign w:val="center"/>
                </w:tcPr>
                <w:p>
                  <w:pPr>
                    <w:adjustRightInd w:val="0"/>
                    <w:snapToGrid w:val="0"/>
                    <w:jc w:val="center"/>
                    <w:rPr>
                      <w:bCs/>
                      <w:color w:val="auto"/>
                      <w:sz w:val="21"/>
                      <w:szCs w:val="21"/>
                    </w:rPr>
                  </w:pPr>
                  <w:r>
                    <w:rPr>
                      <w:bCs/>
                      <w:color w:val="auto"/>
                      <w:sz w:val="21"/>
                      <w:szCs w:val="21"/>
                    </w:rPr>
                    <w:t>20</w:t>
                  </w:r>
                </w:p>
              </w:tc>
              <w:tc>
                <w:tcPr>
                  <w:tcW w:w="2828" w:type="dxa"/>
                  <w:vAlign w:val="center"/>
                </w:tcPr>
                <w:p>
                  <w:pPr>
                    <w:adjustRightInd w:val="0"/>
                    <w:snapToGrid w:val="0"/>
                    <w:jc w:val="center"/>
                    <w:rPr>
                      <w:bCs/>
                      <w:color w:val="auto"/>
                      <w:sz w:val="21"/>
                      <w:szCs w:val="21"/>
                    </w:rPr>
                  </w:pPr>
                  <w:r>
                    <w:rPr>
                      <w:bCs/>
                      <w:color w:val="auto"/>
                      <w:sz w:val="21"/>
                      <w:szCs w:val="21"/>
                    </w:rPr>
                    <w:t>监控点处任意一次浓度值</w:t>
                  </w:r>
                </w:p>
              </w:tc>
              <w:tc>
                <w:tcPr>
                  <w:tcW w:w="2152" w:type="dxa"/>
                  <w:vMerge w:val="continue"/>
                  <w:vAlign w:val="center"/>
                </w:tcPr>
                <w:p>
                  <w:pPr>
                    <w:pStyle w:val="14"/>
                    <w:spacing w:line="240" w:lineRule="auto"/>
                    <w:rPr>
                      <w:color w:val="auto"/>
                      <w:sz w:val="21"/>
                      <w:szCs w:val="21"/>
                    </w:rPr>
                  </w:pPr>
                </w:p>
              </w:tc>
            </w:tr>
          </w:tbl>
          <w:p>
            <w:pPr>
              <w:pStyle w:val="40"/>
              <w:spacing w:line="240" w:lineRule="auto"/>
              <w:rPr>
                <w:rFonts w:hint="default" w:ascii="Times New Roman" w:hAnsi="Times New Roman" w:cs="Times New Roman"/>
                <w:color w:val="FF0000"/>
              </w:rPr>
            </w:pPr>
          </w:p>
          <w:p>
            <w:pPr>
              <w:spacing w:line="360" w:lineRule="auto"/>
              <w:jc w:val="left"/>
              <w:rPr>
                <w:rFonts w:hint="eastAsia"/>
                <w:b/>
                <w:color w:val="auto"/>
                <w:szCs w:val="24"/>
                <w:lang w:val="en-US" w:eastAsia="zh-CN"/>
              </w:rPr>
            </w:pPr>
            <w:r>
              <w:rPr>
                <w:b/>
                <w:color w:val="auto"/>
                <w:szCs w:val="24"/>
              </w:rPr>
              <w:t>3.3.1</w:t>
            </w:r>
            <w:r>
              <w:rPr>
                <w:rFonts w:hint="eastAsia"/>
                <w:b/>
                <w:color w:val="auto"/>
                <w:szCs w:val="24"/>
                <w:lang w:val="en-US" w:eastAsia="zh-CN"/>
              </w:rPr>
              <w:t>.2本项目执行标准</w:t>
            </w:r>
          </w:p>
          <w:p>
            <w:pPr>
              <w:tabs>
                <w:tab w:val="left" w:pos="4288"/>
              </w:tabs>
              <w:spacing w:line="360" w:lineRule="auto"/>
              <w:ind w:firstLine="480" w:firstLineChars="200"/>
              <w:outlineLvl w:val="2"/>
              <w:rPr>
                <w:rFonts w:hint="eastAsia"/>
                <w:color w:val="auto"/>
                <w:szCs w:val="24"/>
                <w:lang w:val="en-US" w:eastAsia="zh-CN"/>
              </w:rPr>
            </w:pPr>
            <w:r>
              <w:rPr>
                <w:rFonts w:hint="eastAsia"/>
                <w:color w:val="auto"/>
                <w:szCs w:val="24"/>
                <w:lang w:val="en-US" w:eastAsia="zh-CN"/>
              </w:rPr>
              <w:t>抛丸、喷塑、油漆工序产生的废气执行《工业涂装工序大气污染物排放标准》（DB33/2146-2018）中的“表2大气污染物特别排放限值”。厂界无组织监控浓度参照执行《工业涂装工序大气污染物排放标准》（</w:t>
            </w:r>
            <w:r>
              <w:rPr>
                <w:rFonts w:hint="default"/>
                <w:color w:val="auto"/>
                <w:szCs w:val="24"/>
                <w:lang w:val="en-US" w:eastAsia="zh-CN"/>
              </w:rPr>
              <w:t>DB33/2146-2018</w:t>
            </w:r>
            <w:r>
              <w:rPr>
                <w:rFonts w:hint="eastAsia"/>
                <w:color w:val="auto"/>
                <w:szCs w:val="24"/>
                <w:lang w:val="en-US" w:eastAsia="zh-CN"/>
              </w:rPr>
              <w:t>）中表</w:t>
            </w:r>
            <w:r>
              <w:rPr>
                <w:rFonts w:hint="default"/>
                <w:color w:val="auto"/>
                <w:szCs w:val="24"/>
                <w:lang w:val="en-US" w:eastAsia="zh-CN"/>
              </w:rPr>
              <w:t>6</w:t>
            </w:r>
            <w:r>
              <w:rPr>
                <w:rFonts w:hint="eastAsia"/>
                <w:color w:val="auto"/>
                <w:szCs w:val="24"/>
                <w:lang w:val="en-US" w:eastAsia="zh-CN"/>
              </w:rPr>
              <w:t>的排放限值，其中无组织颗粒物执行</w:t>
            </w:r>
            <w:r>
              <w:rPr>
                <w:color w:val="auto"/>
              </w:rPr>
              <w:t>《大气污染物综合排放标准》</w:t>
            </w:r>
            <w:r>
              <w:rPr>
                <w:rFonts w:hint="eastAsia"/>
                <w:color w:val="auto"/>
                <w:lang w:eastAsia="zh-CN"/>
              </w:rPr>
              <w:t>（</w:t>
            </w:r>
            <w:r>
              <w:rPr>
                <w:color w:val="auto"/>
              </w:rPr>
              <w:t>GB16297-1996</w:t>
            </w:r>
            <w:r>
              <w:rPr>
                <w:rFonts w:hint="eastAsia"/>
                <w:color w:val="auto"/>
                <w:lang w:eastAsia="zh-CN"/>
              </w:rPr>
              <w:t>）</w:t>
            </w:r>
            <w:r>
              <w:rPr>
                <w:rFonts w:hint="eastAsia"/>
                <w:color w:val="auto"/>
                <w:lang w:val="en-US" w:eastAsia="zh-CN"/>
              </w:rPr>
              <w:t>中标准要求</w:t>
            </w:r>
            <w:r>
              <w:rPr>
                <w:rFonts w:hint="eastAsia"/>
                <w:color w:val="auto"/>
                <w:szCs w:val="24"/>
                <w:lang w:val="en-US" w:eastAsia="zh-CN"/>
              </w:rPr>
              <w:t>，具体见表3</w:t>
            </w:r>
            <w:r>
              <w:rPr>
                <w:rFonts w:hint="default"/>
                <w:color w:val="auto"/>
                <w:szCs w:val="24"/>
                <w:lang w:val="en-US" w:eastAsia="zh-CN"/>
              </w:rPr>
              <w:t>-</w:t>
            </w:r>
            <w:r>
              <w:rPr>
                <w:rFonts w:hint="eastAsia"/>
                <w:color w:val="auto"/>
                <w:szCs w:val="24"/>
                <w:lang w:val="en-US" w:eastAsia="zh-CN"/>
              </w:rPr>
              <w:t>8及表3-9。</w:t>
            </w: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表3-</w:t>
            </w:r>
            <w:r>
              <w:rPr>
                <w:rFonts w:hint="eastAsia" w:ascii="Times New Roman" w:hAnsi="Times New Roman" w:eastAsia="宋体" w:cs="Times New Roman"/>
                <w:b/>
                <w:bCs/>
                <w:color w:val="auto"/>
                <w:lang w:val="en-US" w:eastAsia="zh-CN"/>
              </w:rPr>
              <w:t xml:space="preserve">8  </w:t>
            </w:r>
            <w:r>
              <w:rPr>
                <w:rFonts w:hint="eastAsia" w:ascii="Times New Roman" w:hAnsi="Times New Roman" w:eastAsia="宋体" w:cs="Times New Roman"/>
                <w:b/>
                <w:bCs/>
                <w:color w:val="auto"/>
              </w:rPr>
              <w:t>《工业涂装工序大气污染物排放标准》</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1932"/>
              <w:gridCol w:w="1321"/>
              <w:gridCol w:w="1556"/>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b/>
                      <w:bCs/>
                      <w:color w:val="auto"/>
                      <w:sz w:val="21"/>
                      <w:szCs w:val="21"/>
                    </w:rPr>
                  </w:pPr>
                  <w:r>
                    <w:rPr>
                      <w:rFonts w:hint="eastAsia"/>
                      <w:b/>
                      <w:bCs/>
                      <w:color w:val="auto"/>
                      <w:sz w:val="21"/>
                      <w:szCs w:val="21"/>
                    </w:rPr>
                    <w:t>序号</w:t>
                  </w:r>
                </w:p>
              </w:tc>
              <w:tc>
                <w:tcPr>
                  <w:tcW w:w="1932" w:type="dxa"/>
                  <w:vAlign w:val="center"/>
                </w:tcPr>
                <w:p>
                  <w:pPr>
                    <w:autoSpaceDN w:val="0"/>
                    <w:jc w:val="center"/>
                    <w:textAlignment w:val="center"/>
                    <w:rPr>
                      <w:b/>
                      <w:bCs/>
                      <w:color w:val="auto"/>
                      <w:sz w:val="21"/>
                      <w:szCs w:val="21"/>
                    </w:rPr>
                  </w:pPr>
                  <w:r>
                    <w:rPr>
                      <w:rFonts w:hint="eastAsia"/>
                      <w:b/>
                      <w:bCs/>
                      <w:color w:val="auto"/>
                      <w:sz w:val="21"/>
                      <w:szCs w:val="21"/>
                    </w:rPr>
                    <w:t>污染物项目</w:t>
                  </w:r>
                </w:p>
              </w:tc>
              <w:tc>
                <w:tcPr>
                  <w:tcW w:w="1321" w:type="dxa"/>
                  <w:vAlign w:val="center"/>
                </w:tcPr>
                <w:p>
                  <w:pPr>
                    <w:autoSpaceDN w:val="0"/>
                    <w:jc w:val="center"/>
                    <w:textAlignment w:val="center"/>
                    <w:rPr>
                      <w:b/>
                      <w:bCs/>
                      <w:color w:val="auto"/>
                      <w:sz w:val="21"/>
                      <w:szCs w:val="21"/>
                    </w:rPr>
                  </w:pPr>
                  <w:r>
                    <w:rPr>
                      <w:rFonts w:hint="eastAsia"/>
                      <w:b/>
                      <w:bCs/>
                      <w:color w:val="auto"/>
                      <w:sz w:val="21"/>
                      <w:szCs w:val="21"/>
                    </w:rPr>
                    <w:t>适用条件</w:t>
                  </w:r>
                </w:p>
              </w:tc>
              <w:tc>
                <w:tcPr>
                  <w:tcW w:w="1556" w:type="dxa"/>
                  <w:vAlign w:val="center"/>
                </w:tcPr>
                <w:p>
                  <w:pPr>
                    <w:autoSpaceDN w:val="0"/>
                    <w:jc w:val="center"/>
                    <w:textAlignment w:val="center"/>
                    <w:rPr>
                      <w:b/>
                      <w:bCs/>
                      <w:color w:val="auto"/>
                      <w:sz w:val="21"/>
                      <w:szCs w:val="21"/>
                    </w:rPr>
                  </w:pPr>
                  <w:r>
                    <w:rPr>
                      <w:rFonts w:hint="eastAsia"/>
                      <w:b/>
                      <w:bCs/>
                      <w:color w:val="auto"/>
                      <w:sz w:val="21"/>
                      <w:szCs w:val="21"/>
                    </w:rPr>
                    <w:t>排放限值</w:t>
                  </w:r>
                  <w:r>
                    <w:rPr>
                      <w:rFonts w:ascii="Times New Roman" w:hAnsi="Times New Roman" w:eastAsia="宋体" w:cs="Times New Roman"/>
                      <w:b/>
                      <w:color w:val="auto"/>
                      <w:sz w:val="21"/>
                      <w:szCs w:val="21"/>
                    </w:rPr>
                    <w:t>（mg/m</w:t>
                  </w:r>
                  <w:r>
                    <w:rPr>
                      <w:rFonts w:ascii="Times New Roman" w:hAnsi="Times New Roman" w:eastAsia="宋体" w:cs="Times New Roman"/>
                      <w:b/>
                      <w:color w:val="auto"/>
                      <w:sz w:val="21"/>
                      <w:szCs w:val="21"/>
                      <w:vertAlign w:val="superscript"/>
                    </w:rPr>
                    <w:t>3</w:t>
                  </w:r>
                  <w:r>
                    <w:rPr>
                      <w:rFonts w:ascii="Times New Roman" w:hAnsi="Times New Roman" w:eastAsia="宋体" w:cs="Times New Roman"/>
                      <w:b/>
                      <w:color w:val="auto"/>
                      <w:sz w:val="21"/>
                      <w:szCs w:val="21"/>
                    </w:rPr>
                    <w:t>）</w:t>
                  </w:r>
                </w:p>
              </w:tc>
              <w:tc>
                <w:tcPr>
                  <w:tcW w:w="2120" w:type="dxa"/>
                  <w:vAlign w:val="center"/>
                </w:tcPr>
                <w:p>
                  <w:pPr>
                    <w:adjustRightInd w:val="0"/>
                    <w:snapToGrid w:val="0"/>
                    <w:ind w:left="194" w:leftChars="-28" w:hanging="261" w:hangingChars="124"/>
                    <w:jc w:val="center"/>
                    <w:rPr>
                      <w:b/>
                      <w:bCs/>
                      <w:color w:val="auto"/>
                      <w:sz w:val="21"/>
                      <w:szCs w:val="21"/>
                    </w:rPr>
                  </w:pPr>
                  <w:r>
                    <w:rPr>
                      <w:rFonts w:hint="eastAsia" w:ascii="Times New Roman" w:hAnsi="Times New Roman" w:eastAsia="宋体" w:cs="Times New Roman"/>
                      <w:b/>
                      <w:color w:val="auto"/>
                      <w:sz w:val="21"/>
                      <w:szCs w:val="21"/>
                    </w:rPr>
                    <w:t>企业边界大气污染物</w:t>
                  </w:r>
                  <w:r>
                    <w:rPr>
                      <w:rFonts w:ascii="Times New Roman" w:hAnsi="Times New Roman" w:eastAsia="宋体" w:cs="Times New Roman"/>
                      <w:b/>
                      <w:color w:val="auto"/>
                      <w:sz w:val="21"/>
                      <w:szCs w:val="21"/>
                    </w:rPr>
                    <w:t>浓度</w:t>
                  </w:r>
                  <w:r>
                    <w:rPr>
                      <w:rFonts w:hint="eastAsia" w:ascii="Times New Roman" w:hAnsi="Times New Roman" w:eastAsia="宋体" w:cs="Times New Roman"/>
                      <w:b/>
                      <w:color w:val="auto"/>
                      <w:sz w:val="21"/>
                      <w:szCs w:val="21"/>
                    </w:rPr>
                    <w:t>限值</w:t>
                  </w:r>
                  <w:r>
                    <w:rPr>
                      <w:rFonts w:ascii="Times New Roman" w:hAnsi="Times New Roman" w:eastAsia="宋体" w:cs="Times New Roman"/>
                      <w:b/>
                      <w:color w:val="auto"/>
                      <w:sz w:val="21"/>
                      <w:szCs w:val="21"/>
                    </w:rPr>
                    <w:t>（mg/m</w:t>
                  </w:r>
                  <w:r>
                    <w:rPr>
                      <w:rFonts w:ascii="Times New Roman" w:hAnsi="Times New Roman" w:eastAsia="宋体" w:cs="Times New Roman"/>
                      <w:b/>
                      <w:color w:val="auto"/>
                      <w:sz w:val="21"/>
                      <w:szCs w:val="21"/>
                      <w:vertAlign w:val="superscript"/>
                    </w:rPr>
                    <w:t>3</w:t>
                  </w:r>
                  <w:r>
                    <w:rPr>
                      <w:rFonts w:ascii="Times New Roman" w:hAnsi="Times New Roman" w:eastAsia="宋体" w:cs="Times New Roman"/>
                      <w:b/>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color w:val="auto"/>
                      <w:sz w:val="21"/>
                      <w:szCs w:val="21"/>
                    </w:rPr>
                  </w:pPr>
                  <w:r>
                    <w:rPr>
                      <w:rFonts w:hint="eastAsia"/>
                      <w:color w:val="auto"/>
                      <w:sz w:val="21"/>
                      <w:szCs w:val="21"/>
                    </w:rPr>
                    <w:t>1</w:t>
                  </w:r>
                </w:p>
              </w:tc>
              <w:tc>
                <w:tcPr>
                  <w:tcW w:w="1932" w:type="dxa"/>
                  <w:vAlign w:val="center"/>
                </w:tcPr>
                <w:p>
                  <w:pPr>
                    <w:autoSpaceDN w:val="0"/>
                    <w:jc w:val="center"/>
                    <w:textAlignment w:val="center"/>
                    <w:rPr>
                      <w:color w:val="auto"/>
                      <w:sz w:val="21"/>
                      <w:szCs w:val="21"/>
                    </w:rPr>
                  </w:pPr>
                  <w:r>
                    <w:rPr>
                      <w:rFonts w:hint="eastAsia"/>
                      <w:color w:val="auto"/>
                      <w:sz w:val="21"/>
                      <w:szCs w:val="21"/>
                    </w:rPr>
                    <w:t>颗粒物</w:t>
                  </w:r>
                </w:p>
              </w:tc>
              <w:tc>
                <w:tcPr>
                  <w:tcW w:w="1321" w:type="dxa"/>
                  <w:vAlign w:val="center"/>
                </w:tcPr>
                <w:p>
                  <w:pPr>
                    <w:autoSpaceDN w:val="0"/>
                    <w:jc w:val="center"/>
                    <w:textAlignment w:val="center"/>
                    <w:rPr>
                      <w:color w:val="auto"/>
                      <w:sz w:val="21"/>
                      <w:szCs w:val="21"/>
                    </w:rPr>
                  </w:pPr>
                  <w:r>
                    <w:rPr>
                      <w:rFonts w:hint="eastAsia"/>
                      <w:color w:val="auto"/>
                      <w:sz w:val="21"/>
                      <w:szCs w:val="21"/>
                    </w:rPr>
                    <w:t>所有</w:t>
                  </w:r>
                </w:p>
              </w:tc>
              <w:tc>
                <w:tcPr>
                  <w:tcW w:w="1556" w:type="dxa"/>
                  <w:vAlign w:val="center"/>
                </w:tcPr>
                <w:p>
                  <w:pPr>
                    <w:autoSpaceDN w:val="0"/>
                    <w:jc w:val="center"/>
                    <w:textAlignment w:val="center"/>
                    <w:rPr>
                      <w:rFonts w:hint="default" w:eastAsia="宋体"/>
                      <w:color w:val="auto"/>
                      <w:sz w:val="21"/>
                      <w:szCs w:val="21"/>
                      <w:lang w:val="en-US" w:eastAsia="zh-CN"/>
                    </w:rPr>
                  </w:pPr>
                  <w:r>
                    <w:rPr>
                      <w:rFonts w:hint="eastAsia"/>
                      <w:color w:val="auto"/>
                      <w:sz w:val="21"/>
                      <w:szCs w:val="21"/>
                      <w:lang w:val="en-US" w:eastAsia="zh-CN"/>
                    </w:rPr>
                    <w:t>20</w:t>
                  </w:r>
                </w:p>
              </w:tc>
              <w:tc>
                <w:tcPr>
                  <w:tcW w:w="2120" w:type="dxa"/>
                  <w:vAlign w:val="center"/>
                </w:tcPr>
                <w:p>
                  <w:pPr>
                    <w:adjustRightInd w:val="0"/>
                    <w:snapToGrid w:val="0"/>
                    <w:ind w:left="193" w:leftChars="-28" w:hanging="260" w:hangingChars="124"/>
                    <w:jc w:val="center"/>
                    <w:rPr>
                      <w:rFonts w:hint="default"/>
                      <w:color w:val="auto"/>
                      <w:sz w:val="21"/>
                      <w:szCs w:val="21"/>
                      <w:lang w:val="en-US"/>
                    </w:rPr>
                  </w:pPr>
                  <w:r>
                    <w:rPr>
                      <w:rFonts w:hint="eastAsia" w:ascii="Times New Roman" w:hAnsi="Times New Roman" w:eastAsia="宋体" w:cs="Times New Roman"/>
                      <w:b w:val="0"/>
                      <w:bCs/>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2</w:t>
                  </w:r>
                </w:p>
              </w:tc>
              <w:tc>
                <w:tcPr>
                  <w:tcW w:w="1932"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苯系物</w:t>
                  </w:r>
                </w:p>
              </w:tc>
              <w:tc>
                <w:tcPr>
                  <w:tcW w:w="1321" w:type="dxa"/>
                  <w:vAlign w:val="center"/>
                </w:tcPr>
                <w:p>
                  <w:pPr>
                    <w:autoSpaceDN w:val="0"/>
                    <w:jc w:val="center"/>
                    <w:textAlignment w:val="center"/>
                    <w:rPr>
                      <w:rFonts w:hint="eastAsia"/>
                      <w:color w:val="auto"/>
                      <w:sz w:val="21"/>
                      <w:szCs w:val="21"/>
                    </w:rPr>
                  </w:pPr>
                  <w:r>
                    <w:rPr>
                      <w:rFonts w:hint="eastAsia"/>
                      <w:color w:val="auto"/>
                      <w:sz w:val="21"/>
                      <w:szCs w:val="21"/>
                    </w:rPr>
                    <w:t>所有</w:t>
                  </w:r>
                </w:p>
              </w:tc>
              <w:tc>
                <w:tcPr>
                  <w:tcW w:w="1556" w:type="dxa"/>
                  <w:vAlign w:val="center"/>
                </w:tcPr>
                <w:p>
                  <w:pPr>
                    <w:autoSpaceDN w:val="0"/>
                    <w:jc w:val="center"/>
                    <w:textAlignment w:val="center"/>
                    <w:rPr>
                      <w:rFonts w:hint="default" w:eastAsia="宋体"/>
                      <w:color w:val="auto"/>
                      <w:sz w:val="21"/>
                      <w:szCs w:val="21"/>
                      <w:lang w:val="en-US" w:eastAsia="zh-CN"/>
                    </w:rPr>
                  </w:pPr>
                  <w:r>
                    <w:rPr>
                      <w:rFonts w:hint="eastAsia"/>
                      <w:color w:val="auto"/>
                      <w:sz w:val="21"/>
                      <w:szCs w:val="21"/>
                      <w:lang w:val="en-US" w:eastAsia="zh-CN"/>
                    </w:rPr>
                    <w:t>20</w:t>
                  </w:r>
                </w:p>
              </w:tc>
              <w:tc>
                <w:tcPr>
                  <w:tcW w:w="2120" w:type="dxa"/>
                  <w:vAlign w:val="center"/>
                </w:tcPr>
                <w:p>
                  <w:pPr>
                    <w:adjustRightInd w:val="0"/>
                    <w:snapToGrid w:val="0"/>
                    <w:ind w:left="193" w:leftChars="-28" w:hanging="260" w:hangingChars="124"/>
                    <w:jc w:val="center"/>
                    <w:rPr>
                      <w:rFonts w:hint="default" w:ascii="Times New Roman" w:hAnsi="Times New Roman" w:eastAsia="宋体" w:cs="Times New Roman"/>
                      <w:b w:val="0"/>
                      <w:bCs/>
                      <w:color w:val="auto"/>
                      <w:sz w:val="21"/>
                      <w:szCs w:val="21"/>
                      <w:lang w:val="en-US" w:eastAsia="zh-CN"/>
                    </w:rPr>
                  </w:pPr>
                  <w:r>
                    <w:rPr>
                      <w:rFonts w:hint="eastAsia" w:cs="Times New Roman"/>
                      <w:b w:val="0"/>
                      <w:bCs/>
                      <w:color w:val="auto"/>
                      <w:sz w:val="21"/>
                      <w:szCs w:val="21"/>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rFonts w:hint="eastAsia" w:eastAsia="宋体"/>
                      <w:color w:val="auto"/>
                      <w:sz w:val="21"/>
                      <w:szCs w:val="21"/>
                      <w:lang w:val="en-US" w:eastAsia="zh-CN"/>
                    </w:rPr>
                  </w:pPr>
                  <w:r>
                    <w:rPr>
                      <w:rFonts w:hint="eastAsia"/>
                      <w:color w:val="auto"/>
                      <w:sz w:val="21"/>
                      <w:szCs w:val="21"/>
                      <w:lang w:val="en-US" w:eastAsia="zh-CN"/>
                    </w:rPr>
                    <w:t>3</w:t>
                  </w:r>
                </w:p>
              </w:tc>
              <w:tc>
                <w:tcPr>
                  <w:tcW w:w="1932"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rPr>
                    <w:t>非甲烷总烃</w:t>
                  </w:r>
                  <w:r>
                    <w:rPr>
                      <w:rFonts w:hint="eastAsia" w:cs="Times New Roman"/>
                      <w:b w:val="0"/>
                      <w:bCs/>
                      <w:color w:val="auto"/>
                      <w:sz w:val="21"/>
                      <w:szCs w:val="21"/>
                      <w:lang w:eastAsia="zh-CN"/>
                    </w:rPr>
                    <w:t>（</w:t>
                  </w:r>
                  <w:r>
                    <w:rPr>
                      <w:rFonts w:hint="eastAsia" w:ascii="Times New Roman" w:hAnsi="Times New Roman" w:eastAsia="宋体" w:cs="Times New Roman"/>
                      <w:b w:val="0"/>
                      <w:bCs/>
                      <w:color w:val="auto"/>
                      <w:kern w:val="2"/>
                      <w:sz w:val="21"/>
                      <w:szCs w:val="21"/>
                      <w:lang w:val="en-US" w:eastAsia="zh-CN" w:bidi="ar-SA"/>
                    </w:rPr>
                    <w:t>其他</w:t>
                  </w:r>
                  <w:r>
                    <w:rPr>
                      <w:rFonts w:hint="eastAsia" w:cs="Times New Roman"/>
                      <w:b w:val="0"/>
                      <w:bCs/>
                      <w:color w:val="auto"/>
                      <w:sz w:val="21"/>
                      <w:szCs w:val="21"/>
                      <w:lang w:eastAsia="zh-CN"/>
                    </w:rPr>
                    <w:t>）</w:t>
                  </w:r>
                </w:p>
              </w:tc>
              <w:tc>
                <w:tcPr>
                  <w:tcW w:w="1321" w:type="dxa"/>
                  <w:vAlign w:val="center"/>
                </w:tcPr>
                <w:p>
                  <w:pPr>
                    <w:adjustRightInd w:val="0"/>
                    <w:snapToGrid w:val="0"/>
                    <w:ind w:left="193" w:leftChars="-28" w:hanging="260" w:hangingChars="124"/>
                    <w:jc w:val="center"/>
                    <w:rPr>
                      <w:rFonts w:hint="default" w:ascii="Times New Roman" w:hAnsi="Times New Roman" w:eastAsia="宋体" w:cs="Times New Roman"/>
                      <w:b w:val="0"/>
                      <w:bCs/>
                      <w:color w:val="auto"/>
                      <w:kern w:val="2"/>
                      <w:sz w:val="21"/>
                      <w:szCs w:val="21"/>
                      <w:lang w:val="en-US" w:eastAsia="zh-CN" w:bidi="ar-SA"/>
                    </w:rPr>
                  </w:pPr>
                  <w:r>
                    <w:rPr>
                      <w:rFonts w:hint="eastAsia"/>
                      <w:color w:val="auto"/>
                      <w:sz w:val="21"/>
                      <w:szCs w:val="21"/>
                    </w:rPr>
                    <w:t>所有</w:t>
                  </w:r>
                </w:p>
              </w:tc>
              <w:tc>
                <w:tcPr>
                  <w:tcW w:w="1556" w:type="dxa"/>
                  <w:vAlign w:val="center"/>
                </w:tcPr>
                <w:p>
                  <w:pPr>
                    <w:autoSpaceDN w:val="0"/>
                    <w:jc w:val="center"/>
                    <w:textAlignment w:val="center"/>
                    <w:rPr>
                      <w:rFonts w:hint="default" w:eastAsia="宋体"/>
                      <w:color w:val="auto"/>
                      <w:sz w:val="21"/>
                      <w:szCs w:val="21"/>
                      <w:lang w:val="en-US" w:eastAsia="zh-CN"/>
                    </w:rPr>
                  </w:pPr>
                  <w:r>
                    <w:rPr>
                      <w:rFonts w:hint="eastAsia" w:cs="Times New Roman"/>
                      <w:b w:val="0"/>
                      <w:bCs/>
                      <w:color w:val="auto"/>
                      <w:sz w:val="21"/>
                      <w:szCs w:val="21"/>
                      <w:lang w:val="en-US" w:eastAsia="zh-CN"/>
                    </w:rPr>
                    <w:t>60</w:t>
                  </w:r>
                </w:p>
              </w:tc>
              <w:tc>
                <w:tcPr>
                  <w:tcW w:w="2120" w:type="dxa"/>
                  <w:vAlign w:val="center"/>
                </w:tcPr>
                <w:p>
                  <w:pPr>
                    <w:adjustRightInd w:val="0"/>
                    <w:snapToGrid w:val="0"/>
                    <w:ind w:left="193" w:leftChars="-28" w:hanging="260" w:hangingChars="124"/>
                    <w:jc w:val="center"/>
                    <w:rPr>
                      <w:rFonts w:hint="eastAsia"/>
                      <w:color w:val="auto"/>
                      <w:sz w:val="21"/>
                      <w:szCs w:val="21"/>
                    </w:rPr>
                  </w:pPr>
                  <w:r>
                    <w:rPr>
                      <w:rFonts w:hint="eastAsia" w:ascii="Times New Roman" w:hAnsi="Times New Roman" w:eastAsia="宋体" w:cs="Times New Roman"/>
                      <w:b w:val="0"/>
                      <w:bCs/>
                      <w:color w:val="auto"/>
                      <w:sz w:val="21"/>
                      <w:szCs w:val="21"/>
                    </w:rPr>
                    <w:t>4</w:t>
                  </w:r>
                  <w:r>
                    <w:rPr>
                      <w:rFonts w:ascii="Times New Roman" w:hAnsi="Times New Roman" w:eastAsia="宋体" w:cs="Times New Roman"/>
                      <w:b w:val="0"/>
                      <w:bCs/>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4" w:type="dxa"/>
                  <w:vAlign w:val="center"/>
                </w:tcPr>
                <w:p>
                  <w:pPr>
                    <w:autoSpaceDN w:val="0"/>
                    <w:jc w:val="center"/>
                    <w:textAlignment w:val="center"/>
                    <w:rPr>
                      <w:rFonts w:hint="default"/>
                      <w:color w:val="auto"/>
                      <w:sz w:val="21"/>
                      <w:szCs w:val="21"/>
                      <w:lang w:val="en-US" w:eastAsia="zh-CN"/>
                    </w:rPr>
                  </w:pPr>
                  <w:r>
                    <w:rPr>
                      <w:rFonts w:hint="eastAsia"/>
                      <w:color w:val="auto"/>
                      <w:sz w:val="21"/>
                      <w:szCs w:val="21"/>
                      <w:lang w:val="en-US" w:eastAsia="zh-CN"/>
                    </w:rPr>
                    <w:t>4</w:t>
                  </w:r>
                </w:p>
              </w:tc>
              <w:tc>
                <w:tcPr>
                  <w:tcW w:w="1932"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rPr>
                    <w:t>臭气浓度</w:t>
                  </w:r>
                </w:p>
              </w:tc>
              <w:tc>
                <w:tcPr>
                  <w:tcW w:w="1321" w:type="dxa"/>
                  <w:vAlign w:val="center"/>
                </w:tcPr>
                <w:p>
                  <w:pPr>
                    <w:adjustRightInd w:val="0"/>
                    <w:snapToGrid w:val="0"/>
                    <w:ind w:left="193" w:leftChars="-28" w:hanging="260" w:hangingChars="124"/>
                    <w:jc w:val="center"/>
                    <w:rPr>
                      <w:rFonts w:hint="default"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kern w:val="2"/>
                      <w:sz w:val="21"/>
                      <w:szCs w:val="21"/>
                      <w:lang w:val="en-US" w:eastAsia="zh-CN" w:bidi="ar-SA"/>
                    </w:rPr>
                    <w:t>所有</w:t>
                  </w:r>
                </w:p>
              </w:tc>
              <w:tc>
                <w:tcPr>
                  <w:tcW w:w="1556"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kern w:val="2"/>
                      <w:sz w:val="21"/>
                      <w:szCs w:val="21"/>
                      <w:lang w:val="en-US" w:eastAsia="zh-CN" w:bidi="ar-SA"/>
                    </w:rPr>
                  </w:pPr>
                  <w:r>
                    <w:rPr>
                      <w:rFonts w:hint="eastAsia" w:cs="Times New Roman"/>
                      <w:b w:val="0"/>
                      <w:bCs/>
                      <w:color w:val="auto"/>
                      <w:sz w:val="21"/>
                      <w:szCs w:val="21"/>
                      <w:lang w:val="en-US" w:eastAsia="zh-CN"/>
                    </w:rPr>
                    <w:t>8</w:t>
                  </w:r>
                  <w:r>
                    <w:rPr>
                      <w:rFonts w:hint="eastAsia" w:ascii="Times New Roman" w:hAnsi="Times New Roman" w:eastAsia="宋体" w:cs="Times New Roman"/>
                      <w:b w:val="0"/>
                      <w:bCs/>
                      <w:color w:val="auto"/>
                      <w:sz w:val="21"/>
                      <w:szCs w:val="21"/>
                    </w:rPr>
                    <w:t>00（无量纲）</w:t>
                  </w:r>
                </w:p>
              </w:tc>
              <w:tc>
                <w:tcPr>
                  <w:tcW w:w="2120" w:type="dxa"/>
                  <w:vAlign w:val="center"/>
                </w:tcPr>
                <w:p>
                  <w:pPr>
                    <w:adjustRightInd w:val="0"/>
                    <w:snapToGrid w:val="0"/>
                    <w:ind w:left="193" w:leftChars="-28" w:hanging="260" w:hangingChars="124"/>
                    <w:jc w:val="center"/>
                    <w:rPr>
                      <w:rFonts w:hint="eastAsia" w:ascii="Times New Roman" w:hAnsi="Times New Roman" w:eastAsia="宋体" w:cs="Times New Roman"/>
                      <w:b w:val="0"/>
                      <w:bCs/>
                      <w:color w:val="auto"/>
                      <w:kern w:val="2"/>
                      <w:sz w:val="21"/>
                      <w:szCs w:val="21"/>
                      <w:lang w:val="en-US" w:eastAsia="zh-CN" w:bidi="ar-SA"/>
                    </w:rPr>
                  </w:pPr>
                  <w:r>
                    <w:rPr>
                      <w:rFonts w:hint="eastAsia" w:ascii="Times New Roman" w:hAnsi="Times New Roman" w:eastAsia="宋体" w:cs="Times New Roman"/>
                      <w:b w:val="0"/>
                      <w:bCs/>
                      <w:color w:val="auto"/>
                      <w:sz w:val="21"/>
                      <w:szCs w:val="21"/>
                    </w:rPr>
                    <w:t>20（无量纲）</w:t>
                  </w:r>
                </w:p>
              </w:tc>
            </w:tr>
          </w:tbl>
          <w:p>
            <w:pPr>
              <w:pStyle w:val="40"/>
              <w:rPr>
                <w:rFonts w:hint="eastAsia"/>
                <w:b/>
                <w:color w:val="auto"/>
                <w:szCs w:val="24"/>
                <w:lang w:val="en-US" w:eastAsia="zh-CN"/>
              </w:rPr>
            </w:pP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表3-</w:t>
            </w:r>
            <w:r>
              <w:rPr>
                <w:rFonts w:hint="eastAsia" w:ascii="Times New Roman" w:hAnsi="Times New Roman" w:eastAsia="宋体" w:cs="Times New Roman"/>
                <w:b/>
                <w:bCs/>
                <w:color w:val="auto"/>
                <w:lang w:val="en-US" w:eastAsia="zh-CN"/>
              </w:rPr>
              <w:t xml:space="preserve">9  </w:t>
            </w:r>
            <w:r>
              <w:rPr>
                <w:rFonts w:hint="eastAsia" w:ascii="Times New Roman" w:hAnsi="Times New Roman" w:eastAsia="宋体" w:cs="Times New Roman"/>
                <w:b/>
                <w:bCs/>
                <w:color w:val="auto"/>
              </w:rPr>
              <w:t>GB16297-1996《大气污染物综合排放标准》</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1"/>
              <w:gridCol w:w="1215"/>
              <w:gridCol w:w="1158"/>
              <w:gridCol w:w="1151"/>
              <w:gridCol w:w="1976"/>
              <w:gridCol w:w="1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991" w:type="dxa"/>
                  <w:vMerge w:val="restart"/>
                  <w:vAlign w:val="center"/>
                </w:tcPr>
                <w:p>
                  <w:pPr>
                    <w:adjustRightInd w:val="0"/>
                    <w:snapToGrid w:val="0"/>
                    <w:ind w:left="194" w:leftChars="-28" w:hanging="261" w:hangingChars="124"/>
                    <w:jc w:val="center"/>
                    <w:rPr>
                      <w:b/>
                      <w:color w:val="auto"/>
                      <w:sz w:val="21"/>
                      <w:szCs w:val="21"/>
                    </w:rPr>
                  </w:pPr>
                  <w:r>
                    <w:rPr>
                      <w:b/>
                      <w:color w:val="auto"/>
                      <w:sz w:val="21"/>
                      <w:szCs w:val="21"/>
                    </w:rPr>
                    <w:t>污染物</w:t>
                  </w:r>
                </w:p>
              </w:tc>
              <w:tc>
                <w:tcPr>
                  <w:tcW w:w="1215" w:type="dxa"/>
                  <w:vMerge w:val="restart"/>
                  <w:vAlign w:val="center"/>
                </w:tcPr>
                <w:p>
                  <w:pPr>
                    <w:adjustRightInd w:val="0"/>
                    <w:snapToGrid w:val="0"/>
                    <w:ind w:left="96"/>
                    <w:jc w:val="center"/>
                    <w:rPr>
                      <w:b/>
                      <w:color w:val="auto"/>
                      <w:sz w:val="21"/>
                      <w:szCs w:val="21"/>
                    </w:rPr>
                  </w:pPr>
                  <w:r>
                    <w:rPr>
                      <w:b/>
                      <w:color w:val="auto"/>
                      <w:sz w:val="21"/>
                      <w:szCs w:val="21"/>
                    </w:rPr>
                    <w:t>最高允许</w:t>
                  </w:r>
                </w:p>
                <w:p>
                  <w:pPr>
                    <w:adjustRightInd w:val="0"/>
                    <w:snapToGrid w:val="0"/>
                    <w:ind w:left="96"/>
                    <w:jc w:val="center"/>
                    <w:rPr>
                      <w:b/>
                      <w:color w:val="auto"/>
                      <w:sz w:val="21"/>
                      <w:szCs w:val="21"/>
                    </w:rPr>
                  </w:pPr>
                  <w:r>
                    <w:rPr>
                      <w:b/>
                      <w:color w:val="auto"/>
                      <w:sz w:val="21"/>
                      <w:szCs w:val="21"/>
                    </w:rPr>
                    <w:t>排放浓度</w:t>
                  </w:r>
                </w:p>
                <w:p>
                  <w:pPr>
                    <w:adjustRightInd w:val="0"/>
                    <w:snapToGrid w:val="0"/>
                    <w:ind w:left="96"/>
                    <w:jc w:val="center"/>
                    <w:rPr>
                      <w:b/>
                      <w:bCs/>
                      <w:color w:val="auto"/>
                      <w:sz w:val="21"/>
                      <w:szCs w:val="21"/>
                    </w:rPr>
                  </w:pPr>
                  <w:r>
                    <w:rPr>
                      <w:b/>
                      <w:bCs/>
                      <w:color w:val="auto"/>
                      <w:sz w:val="21"/>
                      <w:szCs w:val="21"/>
                    </w:rPr>
                    <w:t>(mg/m</w:t>
                  </w:r>
                  <w:r>
                    <w:rPr>
                      <w:b/>
                      <w:bCs/>
                      <w:color w:val="auto"/>
                      <w:sz w:val="21"/>
                      <w:szCs w:val="21"/>
                      <w:vertAlign w:val="superscript"/>
                    </w:rPr>
                    <w:t>3</w:t>
                  </w:r>
                  <w:r>
                    <w:rPr>
                      <w:b/>
                      <w:bCs/>
                      <w:color w:val="auto"/>
                      <w:sz w:val="21"/>
                      <w:szCs w:val="21"/>
                    </w:rPr>
                    <w:t>)</w:t>
                  </w:r>
                </w:p>
              </w:tc>
              <w:tc>
                <w:tcPr>
                  <w:tcW w:w="2309" w:type="dxa"/>
                  <w:gridSpan w:val="2"/>
                  <w:vAlign w:val="center"/>
                </w:tcPr>
                <w:p>
                  <w:pPr>
                    <w:adjustRightInd w:val="0"/>
                    <w:snapToGrid w:val="0"/>
                    <w:ind w:left="96"/>
                    <w:jc w:val="center"/>
                    <w:rPr>
                      <w:b/>
                      <w:color w:val="auto"/>
                      <w:sz w:val="21"/>
                      <w:szCs w:val="21"/>
                    </w:rPr>
                  </w:pPr>
                  <w:r>
                    <w:rPr>
                      <w:b/>
                      <w:color w:val="auto"/>
                      <w:sz w:val="21"/>
                      <w:szCs w:val="21"/>
                    </w:rPr>
                    <w:t>最高允许排</w:t>
                  </w:r>
                  <w:r>
                    <w:rPr>
                      <w:b/>
                      <w:color w:val="auto"/>
                      <w:sz w:val="21"/>
                      <w:szCs w:val="21"/>
                    </w:rPr>
                    <w:cr/>
                  </w:r>
                  <w:r>
                    <w:rPr>
                      <w:b/>
                      <w:color w:val="auto"/>
                      <w:sz w:val="21"/>
                      <w:szCs w:val="21"/>
                    </w:rPr>
                    <w:t>速率(kg/h)</w:t>
                  </w:r>
                </w:p>
              </w:tc>
              <w:tc>
                <w:tcPr>
                  <w:tcW w:w="3140" w:type="dxa"/>
                  <w:gridSpan w:val="2"/>
                  <w:vAlign w:val="center"/>
                </w:tcPr>
                <w:p>
                  <w:pPr>
                    <w:jc w:val="center"/>
                    <w:rPr>
                      <w:b/>
                      <w:color w:val="auto"/>
                      <w:sz w:val="21"/>
                      <w:szCs w:val="21"/>
                    </w:rPr>
                  </w:pPr>
                  <w:r>
                    <w:rPr>
                      <w:b/>
                      <w:color w:val="auto"/>
                      <w:sz w:val="21"/>
                      <w:szCs w:val="21"/>
                    </w:rPr>
                    <w:t>无组织排放监控</w:t>
                  </w:r>
                </w:p>
                <w:p>
                  <w:pPr>
                    <w:adjustRightInd w:val="0"/>
                    <w:snapToGrid w:val="0"/>
                    <w:ind w:left="96"/>
                    <w:jc w:val="center"/>
                    <w:rPr>
                      <w:b/>
                      <w:bCs/>
                      <w:color w:val="auto"/>
                      <w:sz w:val="21"/>
                      <w:szCs w:val="21"/>
                    </w:rPr>
                  </w:pPr>
                  <w:r>
                    <w:rPr>
                      <w:b/>
                      <w:color w:val="auto"/>
                      <w:sz w:val="21"/>
                      <w:szCs w:val="21"/>
                    </w:rPr>
                    <w:t>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991" w:type="dxa"/>
                  <w:vMerge w:val="continue"/>
                  <w:vAlign w:val="center"/>
                </w:tcPr>
                <w:p>
                  <w:pPr>
                    <w:adjustRightInd w:val="0"/>
                    <w:snapToGrid w:val="0"/>
                    <w:ind w:left="230" w:leftChars="96"/>
                    <w:jc w:val="center"/>
                    <w:rPr>
                      <w:rFonts w:eastAsia="楷体_GB2312"/>
                      <w:b/>
                      <w:color w:val="auto"/>
                      <w:sz w:val="21"/>
                      <w:szCs w:val="21"/>
                    </w:rPr>
                  </w:pPr>
                </w:p>
              </w:tc>
              <w:tc>
                <w:tcPr>
                  <w:tcW w:w="1215" w:type="dxa"/>
                  <w:vMerge w:val="continue"/>
                  <w:vAlign w:val="center"/>
                </w:tcPr>
                <w:p>
                  <w:pPr>
                    <w:adjustRightInd w:val="0"/>
                    <w:snapToGrid w:val="0"/>
                    <w:jc w:val="center"/>
                    <w:rPr>
                      <w:rFonts w:eastAsia="楷体_GB2312"/>
                      <w:b/>
                      <w:color w:val="auto"/>
                      <w:sz w:val="21"/>
                      <w:szCs w:val="21"/>
                    </w:rPr>
                  </w:pPr>
                </w:p>
              </w:tc>
              <w:tc>
                <w:tcPr>
                  <w:tcW w:w="1158" w:type="dxa"/>
                  <w:vAlign w:val="center"/>
                </w:tcPr>
                <w:p>
                  <w:pPr>
                    <w:adjustRightInd w:val="0"/>
                    <w:snapToGrid w:val="0"/>
                    <w:jc w:val="center"/>
                    <w:rPr>
                      <w:b/>
                      <w:bCs/>
                      <w:color w:val="auto"/>
                      <w:sz w:val="21"/>
                      <w:szCs w:val="21"/>
                    </w:rPr>
                  </w:pPr>
                  <w:r>
                    <w:rPr>
                      <w:b/>
                      <w:bCs/>
                      <w:color w:val="auto"/>
                      <w:sz w:val="21"/>
                      <w:szCs w:val="21"/>
                    </w:rPr>
                    <w:t>排气筒高度(m)</w:t>
                  </w:r>
                </w:p>
              </w:tc>
              <w:tc>
                <w:tcPr>
                  <w:tcW w:w="1151" w:type="dxa"/>
                  <w:vAlign w:val="center"/>
                </w:tcPr>
                <w:p>
                  <w:pPr>
                    <w:adjustRightInd w:val="0"/>
                    <w:snapToGrid w:val="0"/>
                    <w:jc w:val="center"/>
                    <w:rPr>
                      <w:b/>
                      <w:bCs/>
                      <w:color w:val="auto"/>
                      <w:sz w:val="21"/>
                      <w:szCs w:val="21"/>
                    </w:rPr>
                  </w:pPr>
                  <w:r>
                    <w:rPr>
                      <w:b/>
                      <w:bCs/>
                      <w:color w:val="auto"/>
                      <w:sz w:val="21"/>
                      <w:szCs w:val="21"/>
                    </w:rPr>
                    <w:t>二级标准值</w:t>
                  </w:r>
                </w:p>
              </w:tc>
              <w:tc>
                <w:tcPr>
                  <w:tcW w:w="1976" w:type="dxa"/>
                  <w:tcMar>
                    <w:left w:w="0" w:type="dxa"/>
                    <w:right w:w="0" w:type="dxa"/>
                  </w:tcMar>
                  <w:vAlign w:val="center"/>
                </w:tcPr>
                <w:p>
                  <w:pPr>
                    <w:adjustRightInd w:val="0"/>
                    <w:snapToGrid w:val="0"/>
                    <w:jc w:val="center"/>
                    <w:rPr>
                      <w:rFonts w:eastAsia="黑体"/>
                      <w:b/>
                      <w:color w:val="auto"/>
                      <w:sz w:val="21"/>
                      <w:szCs w:val="21"/>
                    </w:rPr>
                  </w:pPr>
                  <w:r>
                    <w:rPr>
                      <w:b/>
                      <w:color w:val="auto"/>
                      <w:sz w:val="21"/>
                      <w:szCs w:val="21"/>
                    </w:rPr>
                    <w:t>监控点</w:t>
                  </w:r>
                </w:p>
              </w:tc>
              <w:tc>
                <w:tcPr>
                  <w:tcW w:w="1164" w:type="dxa"/>
                  <w:vAlign w:val="center"/>
                </w:tcPr>
                <w:p>
                  <w:pPr>
                    <w:jc w:val="center"/>
                    <w:rPr>
                      <w:b/>
                      <w:color w:val="auto"/>
                      <w:sz w:val="21"/>
                      <w:szCs w:val="21"/>
                    </w:rPr>
                  </w:pPr>
                  <w:r>
                    <w:rPr>
                      <w:b/>
                      <w:color w:val="auto"/>
                      <w:sz w:val="21"/>
                      <w:szCs w:val="21"/>
                    </w:rPr>
                    <w:t>浓度</w:t>
                  </w:r>
                </w:p>
                <w:p>
                  <w:pPr>
                    <w:adjustRightInd w:val="0"/>
                    <w:snapToGrid w:val="0"/>
                    <w:jc w:val="center"/>
                    <w:rPr>
                      <w:rFonts w:eastAsia="黑体"/>
                      <w:b/>
                      <w:color w:val="auto"/>
                      <w:sz w:val="21"/>
                      <w:szCs w:val="21"/>
                    </w:rPr>
                  </w:pPr>
                  <w:r>
                    <w:rPr>
                      <w:b/>
                      <w:bCs/>
                      <w:color w:val="auto"/>
                      <w:sz w:val="21"/>
                      <w:szCs w:val="21"/>
                    </w:rPr>
                    <w:t>（mg/m</w:t>
                  </w:r>
                  <w:r>
                    <w:rPr>
                      <w:b/>
                      <w:bCs/>
                      <w:color w:val="auto"/>
                      <w:sz w:val="21"/>
                      <w:szCs w:val="21"/>
                      <w:vertAlign w:val="superscript"/>
                    </w:rPr>
                    <w:t>3</w:t>
                  </w:r>
                  <w:r>
                    <w:rPr>
                      <w:b/>
                      <w:bCs/>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1" w:hRule="atLeast"/>
                <w:jc w:val="center"/>
              </w:trPr>
              <w:tc>
                <w:tcPr>
                  <w:tcW w:w="991" w:type="dxa"/>
                  <w:vAlign w:val="center"/>
                </w:tcPr>
                <w:p>
                  <w:pPr>
                    <w:adjustRightInd w:val="0"/>
                    <w:snapToGrid w:val="0"/>
                    <w:jc w:val="center"/>
                    <w:rPr>
                      <w:color w:val="auto"/>
                      <w:sz w:val="21"/>
                      <w:szCs w:val="21"/>
                    </w:rPr>
                  </w:pPr>
                  <w:r>
                    <w:rPr>
                      <w:color w:val="auto"/>
                      <w:sz w:val="21"/>
                      <w:szCs w:val="21"/>
                    </w:rPr>
                    <w:t>颗粒物</w:t>
                  </w:r>
                </w:p>
              </w:tc>
              <w:tc>
                <w:tcPr>
                  <w:tcW w:w="1215" w:type="dxa"/>
                  <w:vAlign w:val="center"/>
                </w:tcPr>
                <w:p>
                  <w:pPr>
                    <w:adjustRightInd w:val="0"/>
                    <w:snapToGrid w:val="0"/>
                    <w:jc w:val="center"/>
                    <w:rPr>
                      <w:rFonts w:hint="default" w:eastAsia="宋体"/>
                      <w:color w:val="auto"/>
                      <w:sz w:val="21"/>
                      <w:szCs w:val="21"/>
                      <w:lang w:val="en-US" w:eastAsia="zh-CN"/>
                    </w:rPr>
                  </w:pPr>
                  <w:r>
                    <w:rPr>
                      <w:rFonts w:hint="eastAsia"/>
                      <w:color w:val="auto"/>
                      <w:sz w:val="21"/>
                      <w:szCs w:val="21"/>
                      <w:lang w:val="en-US" w:eastAsia="zh-CN"/>
                    </w:rPr>
                    <w:t>/</w:t>
                  </w:r>
                </w:p>
              </w:tc>
              <w:tc>
                <w:tcPr>
                  <w:tcW w:w="1158" w:type="dxa"/>
                  <w:vAlign w:val="center"/>
                </w:tcPr>
                <w:p>
                  <w:pPr>
                    <w:adjustRightInd w:val="0"/>
                    <w:snapToGrid w:val="0"/>
                    <w:jc w:val="center"/>
                    <w:rPr>
                      <w:rFonts w:hint="default" w:eastAsia="宋体"/>
                      <w:color w:val="auto"/>
                      <w:sz w:val="21"/>
                      <w:szCs w:val="21"/>
                      <w:lang w:val="en-US" w:eastAsia="zh-CN"/>
                    </w:rPr>
                  </w:pPr>
                  <w:r>
                    <w:rPr>
                      <w:rFonts w:hint="eastAsia"/>
                      <w:color w:val="auto"/>
                      <w:sz w:val="21"/>
                      <w:szCs w:val="21"/>
                      <w:lang w:val="en-US" w:eastAsia="zh-CN"/>
                    </w:rPr>
                    <w:t>/</w:t>
                  </w:r>
                </w:p>
              </w:tc>
              <w:tc>
                <w:tcPr>
                  <w:tcW w:w="1151" w:type="dxa"/>
                  <w:vAlign w:val="center"/>
                </w:tcPr>
                <w:p>
                  <w:pPr>
                    <w:adjustRightInd w:val="0"/>
                    <w:snapToGrid w:val="0"/>
                    <w:jc w:val="center"/>
                    <w:rPr>
                      <w:rFonts w:hint="default" w:eastAsia="宋体"/>
                      <w:color w:val="auto"/>
                      <w:sz w:val="21"/>
                      <w:szCs w:val="21"/>
                      <w:lang w:val="en-US" w:eastAsia="zh-CN"/>
                    </w:rPr>
                  </w:pPr>
                  <w:r>
                    <w:rPr>
                      <w:rFonts w:hint="eastAsia"/>
                      <w:color w:val="auto"/>
                      <w:sz w:val="21"/>
                      <w:szCs w:val="21"/>
                      <w:lang w:val="en-US" w:eastAsia="zh-CN"/>
                    </w:rPr>
                    <w:t>/</w:t>
                  </w:r>
                </w:p>
              </w:tc>
              <w:tc>
                <w:tcPr>
                  <w:tcW w:w="1976" w:type="dxa"/>
                  <w:vAlign w:val="center"/>
                </w:tcPr>
                <w:p>
                  <w:pPr>
                    <w:jc w:val="center"/>
                    <w:rPr>
                      <w:bCs/>
                      <w:color w:val="auto"/>
                      <w:sz w:val="21"/>
                      <w:szCs w:val="21"/>
                    </w:rPr>
                  </w:pPr>
                  <w:r>
                    <w:rPr>
                      <w:color w:val="auto"/>
                      <w:sz w:val="21"/>
                      <w:szCs w:val="21"/>
                    </w:rPr>
                    <w:t>周界外浓度最高点</w:t>
                  </w:r>
                </w:p>
              </w:tc>
              <w:tc>
                <w:tcPr>
                  <w:tcW w:w="1164" w:type="dxa"/>
                  <w:vAlign w:val="center"/>
                </w:tcPr>
                <w:p>
                  <w:pPr>
                    <w:jc w:val="center"/>
                    <w:rPr>
                      <w:bCs/>
                      <w:color w:val="auto"/>
                      <w:sz w:val="21"/>
                      <w:szCs w:val="21"/>
                    </w:rPr>
                  </w:pPr>
                  <w:r>
                    <w:rPr>
                      <w:color w:val="auto"/>
                      <w:sz w:val="21"/>
                      <w:szCs w:val="21"/>
                    </w:rPr>
                    <w:t>1.0</w:t>
                  </w:r>
                </w:p>
              </w:tc>
            </w:tr>
          </w:tbl>
          <w:p>
            <w:pPr>
              <w:pStyle w:val="40"/>
              <w:rPr>
                <w:rFonts w:hint="eastAsia"/>
                <w:b/>
                <w:color w:val="auto"/>
                <w:szCs w:val="24"/>
                <w:lang w:val="en-US" w:eastAsia="zh-CN"/>
              </w:rPr>
            </w:pPr>
          </w:p>
          <w:p>
            <w:pPr>
              <w:tabs>
                <w:tab w:val="left" w:pos="4288"/>
              </w:tabs>
              <w:spacing w:line="360" w:lineRule="auto"/>
              <w:ind w:firstLine="480" w:firstLineChars="200"/>
              <w:outlineLvl w:val="2"/>
              <w:rPr>
                <w:color w:val="auto"/>
                <w:szCs w:val="24"/>
              </w:rPr>
            </w:pPr>
            <w:r>
              <w:rPr>
                <w:rFonts w:hint="eastAsia"/>
                <w:color w:val="auto"/>
                <w:szCs w:val="24"/>
              </w:rPr>
              <w:t>厂内挥发性有机物（非甲烷总烃为表征）无组织排放执行GB37822-2019《挥发性有机物无组织排放控制标准》表A.1厂区内挥发性有机物（VOCs）无组织特别排放限值，具体见表3-</w:t>
            </w:r>
            <w:r>
              <w:rPr>
                <w:rFonts w:hint="eastAsia"/>
                <w:color w:val="auto"/>
                <w:szCs w:val="24"/>
                <w:lang w:val="en-US" w:eastAsia="zh-CN"/>
              </w:rPr>
              <w:t>10</w:t>
            </w:r>
            <w:r>
              <w:rPr>
                <w:rFonts w:hint="eastAsia"/>
                <w:color w:val="auto"/>
                <w:szCs w:val="24"/>
              </w:rPr>
              <w:t>。</w:t>
            </w:r>
          </w:p>
          <w:p>
            <w:pPr>
              <w:spacing w:line="360" w:lineRule="auto"/>
              <w:jc w:val="center"/>
              <w:rPr>
                <w:rFonts w:hint="eastAsia" w:ascii="Times New Roman" w:hAnsi="Times New Roman" w:eastAsia="宋体" w:cs="Times New Roman"/>
                <w:b/>
                <w:bCs/>
                <w:color w:val="auto"/>
              </w:rPr>
            </w:pPr>
            <w:r>
              <w:rPr>
                <w:rFonts w:hint="eastAsia" w:ascii="Times New Roman" w:hAnsi="Times New Roman" w:eastAsia="宋体" w:cs="Times New Roman"/>
                <w:b/>
                <w:bCs/>
                <w:color w:val="auto"/>
              </w:rPr>
              <w:t>表3-</w:t>
            </w:r>
            <w:r>
              <w:rPr>
                <w:rFonts w:hint="eastAsia" w:ascii="Times New Roman" w:hAnsi="Times New Roman" w:eastAsia="宋体" w:cs="Times New Roman"/>
                <w:b/>
                <w:bCs/>
                <w:color w:val="auto"/>
                <w:lang w:val="en-US" w:eastAsia="zh-CN"/>
              </w:rPr>
              <w:t>10</w:t>
            </w:r>
            <w:r>
              <w:rPr>
                <w:rFonts w:hint="eastAsia" w:ascii="Times New Roman" w:hAnsi="Times New Roman" w:eastAsia="宋体" w:cs="Times New Roman"/>
                <w:b/>
                <w:bCs/>
                <w:color w:val="auto"/>
              </w:rPr>
              <w:t xml:space="preserve">  厂区内VOCs无组织排放限值</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2"/>
              <w:gridCol w:w="1583"/>
              <w:gridCol w:w="2828"/>
              <w:gridCol w:w="2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2" w:type="dxa"/>
                  <w:vAlign w:val="center"/>
                </w:tcPr>
                <w:p>
                  <w:pPr>
                    <w:adjustRightInd w:val="0"/>
                    <w:snapToGrid w:val="0"/>
                    <w:jc w:val="center"/>
                    <w:rPr>
                      <w:b/>
                      <w:bCs/>
                      <w:color w:val="auto"/>
                      <w:sz w:val="21"/>
                      <w:szCs w:val="21"/>
                    </w:rPr>
                  </w:pPr>
                  <w:r>
                    <w:rPr>
                      <w:b/>
                      <w:bCs/>
                      <w:color w:val="auto"/>
                      <w:sz w:val="21"/>
                      <w:szCs w:val="21"/>
                    </w:rPr>
                    <w:t>项目名称</w:t>
                  </w:r>
                </w:p>
              </w:tc>
              <w:tc>
                <w:tcPr>
                  <w:tcW w:w="1583" w:type="dxa"/>
                  <w:vAlign w:val="center"/>
                </w:tcPr>
                <w:p>
                  <w:pPr>
                    <w:adjustRightInd w:val="0"/>
                    <w:snapToGrid w:val="0"/>
                    <w:jc w:val="center"/>
                    <w:rPr>
                      <w:b/>
                      <w:bCs/>
                      <w:color w:val="auto"/>
                      <w:sz w:val="21"/>
                      <w:szCs w:val="21"/>
                    </w:rPr>
                  </w:pPr>
                  <w:r>
                    <w:rPr>
                      <w:b/>
                      <w:bCs/>
                      <w:color w:val="auto"/>
                      <w:sz w:val="21"/>
                      <w:szCs w:val="21"/>
                    </w:rPr>
                    <w:t>特别排放限值（mg/m</w:t>
                  </w:r>
                  <w:r>
                    <w:rPr>
                      <w:b/>
                      <w:bCs/>
                      <w:color w:val="auto"/>
                      <w:sz w:val="21"/>
                      <w:szCs w:val="21"/>
                      <w:vertAlign w:val="superscript"/>
                    </w:rPr>
                    <w:t>3</w:t>
                  </w:r>
                  <w:r>
                    <w:rPr>
                      <w:b/>
                      <w:bCs/>
                      <w:color w:val="auto"/>
                      <w:sz w:val="21"/>
                      <w:szCs w:val="21"/>
                    </w:rPr>
                    <w:t>）</w:t>
                  </w:r>
                </w:p>
              </w:tc>
              <w:tc>
                <w:tcPr>
                  <w:tcW w:w="2828" w:type="dxa"/>
                  <w:vAlign w:val="center"/>
                </w:tcPr>
                <w:p>
                  <w:pPr>
                    <w:adjustRightInd w:val="0"/>
                    <w:snapToGrid w:val="0"/>
                    <w:jc w:val="center"/>
                    <w:rPr>
                      <w:b/>
                      <w:bCs/>
                      <w:color w:val="auto"/>
                      <w:sz w:val="21"/>
                      <w:szCs w:val="21"/>
                    </w:rPr>
                  </w:pPr>
                  <w:r>
                    <w:rPr>
                      <w:b/>
                      <w:bCs/>
                      <w:color w:val="auto"/>
                      <w:sz w:val="21"/>
                      <w:szCs w:val="21"/>
                    </w:rPr>
                    <w:t>限值含义</w:t>
                  </w:r>
                </w:p>
              </w:tc>
              <w:tc>
                <w:tcPr>
                  <w:tcW w:w="2152" w:type="dxa"/>
                  <w:vAlign w:val="center"/>
                </w:tcPr>
                <w:p>
                  <w:pPr>
                    <w:adjustRightInd w:val="0"/>
                    <w:snapToGrid w:val="0"/>
                    <w:jc w:val="center"/>
                    <w:rPr>
                      <w:b/>
                      <w:bCs/>
                      <w:color w:val="auto"/>
                      <w:sz w:val="21"/>
                      <w:szCs w:val="21"/>
                    </w:rPr>
                  </w:pPr>
                  <w:r>
                    <w:rPr>
                      <w:b/>
                      <w:bCs/>
                      <w:color w:val="auto"/>
                      <w:sz w:val="21"/>
                      <w:szCs w:val="21"/>
                    </w:rPr>
                    <w:t>无组织排放监控位置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2" w:type="dxa"/>
                  <w:vMerge w:val="restart"/>
                  <w:vAlign w:val="center"/>
                </w:tcPr>
                <w:p>
                  <w:pPr>
                    <w:adjustRightInd w:val="0"/>
                    <w:snapToGrid w:val="0"/>
                    <w:jc w:val="center"/>
                    <w:rPr>
                      <w:bCs/>
                      <w:color w:val="auto"/>
                      <w:sz w:val="21"/>
                      <w:szCs w:val="21"/>
                    </w:rPr>
                  </w:pPr>
                  <w:r>
                    <w:rPr>
                      <w:bCs/>
                      <w:color w:val="auto"/>
                      <w:sz w:val="21"/>
                      <w:szCs w:val="21"/>
                    </w:rPr>
                    <w:t>NMHC</w:t>
                  </w:r>
                </w:p>
              </w:tc>
              <w:tc>
                <w:tcPr>
                  <w:tcW w:w="1583" w:type="dxa"/>
                  <w:vAlign w:val="center"/>
                </w:tcPr>
                <w:p>
                  <w:pPr>
                    <w:adjustRightInd w:val="0"/>
                    <w:snapToGrid w:val="0"/>
                    <w:jc w:val="center"/>
                    <w:rPr>
                      <w:bCs/>
                      <w:color w:val="auto"/>
                      <w:sz w:val="21"/>
                      <w:szCs w:val="21"/>
                    </w:rPr>
                  </w:pPr>
                  <w:r>
                    <w:rPr>
                      <w:bCs/>
                      <w:color w:val="auto"/>
                      <w:sz w:val="21"/>
                      <w:szCs w:val="21"/>
                    </w:rPr>
                    <w:t>6</w:t>
                  </w:r>
                </w:p>
              </w:tc>
              <w:tc>
                <w:tcPr>
                  <w:tcW w:w="2828" w:type="dxa"/>
                  <w:vAlign w:val="center"/>
                </w:tcPr>
                <w:p>
                  <w:pPr>
                    <w:adjustRightInd w:val="0"/>
                    <w:snapToGrid w:val="0"/>
                    <w:jc w:val="center"/>
                    <w:rPr>
                      <w:bCs/>
                      <w:color w:val="auto"/>
                      <w:sz w:val="21"/>
                      <w:szCs w:val="21"/>
                    </w:rPr>
                  </w:pPr>
                  <w:r>
                    <w:rPr>
                      <w:bCs/>
                      <w:color w:val="auto"/>
                      <w:sz w:val="21"/>
                      <w:szCs w:val="21"/>
                    </w:rPr>
                    <w:t>监控点处1h平均浓度值</w:t>
                  </w:r>
                </w:p>
              </w:tc>
              <w:tc>
                <w:tcPr>
                  <w:tcW w:w="2152" w:type="dxa"/>
                  <w:vMerge w:val="restart"/>
                  <w:vAlign w:val="center"/>
                </w:tcPr>
                <w:p>
                  <w:pPr>
                    <w:adjustRightInd w:val="0"/>
                    <w:snapToGrid w:val="0"/>
                    <w:jc w:val="center"/>
                    <w:rPr>
                      <w:bCs/>
                      <w:color w:val="auto"/>
                      <w:sz w:val="21"/>
                      <w:szCs w:val="21"/>
                    </w:rPr>
                  </w:pPr>
                  <w:r>
                    <w:rPr>
                      <w:bCs/>
                      <w:color w:val="auto"/>
                      <w:sz w:val="21"/>
                      <w:szCs w:val="21"/>
                    </w:rPr>
                    <w:t>在厂房外设置监控点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2" w:type="dxa"/>
                  <w:vMerge w:val="continue"/>
                  <w:vAlign w:val="center"/>
                </w:tcPr>
                <w:p>
                  <w:pPr>
                    <w:pStyle w:val="14"/>
                    <w:spacing w:line="240" w:lineRule="auto"/>
                    <w:rPr>
                      <w:color w:val="auto"/>
                      <w:sz w:val="21"/>
                      <w:szCs w:val="21"/>
                    </w:rPr>
                  </w:pPr>
                </w:p>
              </w:tc>
              <w:tc>
                <w:tcPr>
                  <w:tcW w:w="1583" w:type="dxa"/>
                  <w:vAlign w:val="center"/>
                </w:tcPr>
                <w:p>
                  <w:pPr>
                    <w:adjustRightInd w:val="0"/>
                    <w:snapToGrid w:val="0"/>
                    <w:jc w:val="center"/>
                    <w:rPr>
                      <w:bCs/>
                      <w:color w:val="auto"/>
                      <w:sz w:val="21"/>
                      <w:szCs w:val="21"/>
                    </w:rPr>
                  </w:pPr>
                  <w:r>
                    <w:rPr>
                      <w:bCs/>
                      <w:color w:val="auto"/>
                      <w:sz w:val="21"/>
                      <w:szCs w:val="21"/>
                    </w:rPr>
                    <w:t>20</w:t>
                  </w:r>
                </w:p>
              </w:tc>
              <w:tc>
                <w:tcPr>
                  <w:tcW w:w="2828" w:type="dxa"/>
                  <w:vAlign w:val="center"/>
                </w:tcPr>
                <w:p>
                  <w:pPr>
                    <w:adjustRightInd w:val="0"/>
                    <w:snapToGrid w:val="0"/>
                    <w:jc w:val="center"/>
                    <w:rPr>
                      <w:bCs/>
                      <w:color w:val="auto"/>
                      <w:sz w:val="21"/>
                      <w:szCs w:val="21"/>
                    </w:rPr>
                  </w:pPr>
                  <w:r>
                    <w:rPr>
                      <w:bCs/>
                      <w:color w:val="auto"/>
                      <w:sz w:val="21"/>
                      <w:szCs w:val="21"/>
                    </w:rPr>
                    <w:t>监控点处任意一次浓度值</w:t>
                  </w:r>
                </w:p>
              </w:tc>
              <w:tc>
                <w:tcPr>
                  <w:tcW w:w="2152" w:type="dxa"/>
                  <w:vMerge w:val="continue"/>
                  <w:vAlign w:val="center"/>
                </w:tcPr>
                <w:p>
                  <w:pPr>
                    <w:pStyle w:val="14"/>
                    <w:spacing w:line="240" w:lineRule="auto"/>
                    <w:rPr>
                      <w:color w:val="auto"/>
                      <w:sz w:val="21"/>
                      <w:szCs w:val="21"/>
                    </w:rPr>
                  </w:pPr>
                </w:p>
              </w:tc>
            </w:tr>
          </w:tbl>
          <w:p>
            <w:pPr>
              <w:pStyle w:val="40"/>
              <w:rPr>
                <w:rFonts w:hint="eastAsia"/>
                <w:b/>
                <w:color w:val="auto"/>
                <w:szCs w:val="24"/>
                <w:lang w:val="en-US" w:eastAsia="zh-CN"/>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3.3.2废水</w:t>
            </w:r>
          </w:p>
          <w:p>
            <w:pPr>
              <w:tabs>
                <w:tab w:val="left" w:pos="4288"/>
              </w:tabs>
              <w:spacing w:line="360" w:lineRule="auto"/>
              <w:ind w:firstLine="480" w:firstLineChars="200"/>
              <w:outlineLvl w:val="2"/>
              <w:rPr>
                <w:rFonts w:hint="default" w:ascii="Times New Roman" w:hAnsi="Times New Roman" w:cs="Times New Roman"/>
                <w:color w:val="auto"/>
                <w:sz w:val="21"/>
                <w:szCs w:val="21"/>
              </w:rPr>
            </w:pPr>
            <w:r>
              <w:rPr>
                <w:rFonts w:hint="default" w:ascii="Times New Roman" w:hAnsi="Times New Roman" w:cs="Times New Roman"/>
                <w:color w:val="auto"/>
                <w:szCs w:val="24"/>
              </w:rPr>
              <w:t>项目</w:t>
            </w:r>
            <w:r>
              <w:rPr>
                <w:rFonts w:hint="default" w:ascii="Times New Roman" w:hAnsi="Times New Roman" w:cs="Times New Roman"/>
                <w:color w:val="auto"/>
                <w:szCs w:val="24"/>
                <w:lang w:val="en-US" w:eastAsia="zh-CN"/>
              </w:rPr>
              <w:t>排放</w:t>
            </w:r>
            <w:r>
              <w:rPr>
                <w:rFonts w:hint="default" w:ascii="Times New Roman" w:hAnsi="Times New Roman" w:cs="Times New Roman"/>
                <w:color w:val="auto"/>
                <w:szCs w:val="24"/>
              </w:rPr>
              <w:t>的废水主要是员工生活污水，生活污水经化粪池预处理后达到《污水综合排放标准》(GB8978-1996)三级标准后纳入市政污水管网，最终送至</w:t>
            </w:r>
            <w:r>
              <w:rPr>
                <w:rFonts w:hint="default" w:ascii="Times New Roman" w:hAnsi="Times New Roman" w:cs="Times New Roman"/>
                <w:color w:val="auto"/>
                <w:szCs w:val="24"/>
                <w:lang w:eastAsia="zh-CN"/>
              </w:rPr>
              <w:t>德清鸿晟水务科技有限公司</w:t>
            </w:r>
            <w:r>
              <w:rPr>
                <w:rFonts w:hint="default" w:ascii="Times New Roman" w:hAnsi="Times New Roman" w:cs="Times New Roman"/>
                <w:color w:val="auto"/>
                <w:szCs w:val="24"/>
              </w:rPr>
              <w:t>处理达到《城镇污水处理厂主要水污染物排放标准》（DB33/2169-2018）中表1标准及《城镇污水处理厂污染物排放标准》（GB18918-2002）中一级标准（A标准）后排放。具体标准限值见下表。</w:t>
            </w:r>
          </w:p>
          <w:p>
            <w:pPr>
              <w:spacing w:line="360" w:lineRule="auto"/>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表3-</w:t>
            </w:r>
            <w:r>
              <w:rPr>
                <w:rFonts w:hint="eastAsia" w:cs="Times New Roman"/>
                <w:b/>
                <w:bCs/>
                <w:color w:val="auto"/>
                <w:szCs w:val="24"/>
                <w:lang w:val="en-US" w:eastAsia="zh-CN"/>
              </w:rPr>
              <w:t>11</w:t>
            </w:r>
            <w:r>
              <w:rPr>
                <w:rFonts w:hint="default" w:ascii="Times New Roman" w:hAnsi="Times New Roman" w:cs="Times New Roman"/>
                <w:b/>
                <w:bCs/>
                <w:color w:val="auto"/>
                <w:szCs w:val="24"/>
                <w:lang w:val="en-US" w:eastAsia="zh-CN"/>
              </w:rPr>
              <w:t xml:space="preserve">  </w:t>
            </w:r>
            <w:r>
              <w:rPr>
                <w:rFonts w:hint="default" w:ascii="Times New Roman" w:hAnsi="Times New Roman" w:cs="Times New Roman"/>
                <w:b/>
                <w:bCs/>
                <w:color w:val="auto"/>
                <w:szCs w:val="24"/>
              </w:rPr>
              <w:t>《污水综合排放标准》（单位：除pH外均为mg/L）</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1"/>
              <w:gridCol w:w="1244"/>
              <w:gridCol w:w="1244"/>
              <w:gridCol w:w="1244"/>
              <w:gridCol w:w="1245"/>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80" w:type="dxa"/>
                  <w:vAlign w:val="center"/>
                </w:tcPr>
                <w:p>
                  <w:pPr>
                    <w:adjustRightInd w:val="0"/>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污染物</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pH值</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SS</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BOD</w:t>
                  </w:r>
                  <w:r>
                    <w:rPr>
                      <w:rFonts w:hint="default" w:ascii="Times New Roman" w:hAnsi="Times New Roman" w:cs="Times New Roman"/>
                      <w:color w:val="auto"/>
                      <w:sz w:val="21"/>
                      <w:szCs w:val="21"/>
                      <w:vertAlign w:val="subscript"/>
                    </w:rPr>
                    <w:t>5</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COD</w:t>
                  </w:r>
                  <w:r>
                    <w:rPr>
                      <w:rFonts w:hint="default" w:ascii="Times New Roman" w:hAnsi="Times New Roman" w:cs="Times New Roman"/>
                      <w:color w:val="auto"/>
                      <w:sz w:val="21"/>
                      <w:szCs w:val="21"/>
                      <w:vertAlign w:val="subscript"/>
                    </w:rPr>
                    <w:t>Cr</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NH</w:t>
                  </w:r>
                  <w:r>
                    <w:rPr>
                      <w:rFonts w:hint="default" w:ascii="Times New Roman" w:hAnsi="Times New Roman" w:cs="Times New Roman"/>
                      <w:color w:val="auto"/>
                      <w:sz w:val="21"/>
                      <w:szCs w:val="21"/>
                      <w:vertAlign w:val="subscript"/>
                    </w:rPr>
                    <w:t>3</w:t>
                  </w:r>
                  <w:r>
                    <w:rPr>
                      <w:rFonts w:hint="default" w:ascii="Times New Roman" w:hAnsi="Times New Roman" w:cs="Times New Roman"/>
                      <w:color w:val="auto"/>
                      <w:sz w:val="21"/>
                      <w:szCs w:val="21"/>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80" w:type="dxa"/>
                  <w:vAlign w:val="center"/>
                </w:tcPr>
                <w:p>
                  <w:pPr>
                    <w:adjustRightInd w:val="0"/>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三级标准</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6~9</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≤400</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≤300</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≤500</w:t>
                  </w:r>
                </w:p>
              </w:tc>
              <w:tc>
                <w:tcPr>
                  <w:tcW w:w="939"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≤35*</w:t>
                  </w:r>
                </w:p>
              </w:tc>
            </w:tr>
          </w:tbl>
          <w:p>
            <w:pPr>
              <w:adjustRightInd w:val="0"/>
              <w:snapToGrid w:val="0"/>
              <w:spacing w:beforeLines="15"/>
              <w:ind w:firstLine="103" w:firstLineChars="49"/>
              <w:rPr>
                <w:rFonts w:hint="default" w:ascii="Times New Roman" w:hAnsi="Times New Roman" w:cs="Times New Roman"/>
                <w:color w:val="auto"/>
                <w:sz w:val="21"/>
                <w:szCs w:val="21"/>
              </w:rPr>
            </w:pPr>
            <w:r>
              <w:rPr>
                <w:rStyle w:val="32"/>
                <w:rFonts w:hint="default" w:ascii="Times New Roman" w:hAnsi="Times New Roman" w:cs="Times New Roman"/>
                <w:color w:val="auto"/>
                <w:sz w:val="21"/>
                <w:szCs w:val="21"/>
              </w:rPr>
              <w:t>*注：</w:t>
            </w:r>
            <w:r>
              <w:rPr>
                <w:rFonts w:hint="default" w:ascii="Times New Roman" w:hAnsi="Times New Roman" w:cs="Times New Roman"/>
                <w:color w:val="auto"/>
                <w:sz w:val="21"/>
                <w:szCs w:val="21"/>
              </w:rPr>
              <w:t>NH</w:t>
            </w:r>
            <w:r>
              <w:rPr>
                <w:rFonts w:hint="default" w:ascii="Times New Roman" w:hAnsi="Times New Roman" w:cs="Times New Roman"/>
                <w:color w:val="auto"/>
                <w:sz w:val="21"/>
                <w:szCs w:val="21"/>
                <w:vertAlign w:val="subscript"/>
              </w:rPr>
              <w:t>3</w:t>
            </w:r>
            <w:r>
              <w:rPr>
                <w:rFonts w:hint="default" w:ascii="Times New Roman" w:hAnsi="Times New Roman" w:cs="Times New Roman"/>
                <w:color w:val="auto"/>
                <w:sz w:val="21"/>
                <w:szCs w:val="21"/>
              </w:rPr>
              <w:t>-N执行《工业企业废水氮、磷污染物间接排放限值》（DB33/887-2013）。</w:t>
            </w:r>
          </w:p>
          <w:p>
            <w:pPr>
              <w:pStyle w:val="38"/>
              <w:jc w:val="both"/>
              <w:rPr>
                <w:rFonts w:hint="default" w:ascii="Times New Roman" w:hAnsi="Times New Roman" w:cs="Times New Roman"/>
                <w:color w:val="auto"/>
              </w:rPr>
            </w:pPr>
          </w:p>
          <w:p>
            <w:pPr>
              <w:spacing w:line="240" w:lineRule="auto"/>
              <w:jc w:val="center"/>
              <w:rPr>
                <w:rFonts w:hint="default" w:ascii="Times New Roman" w:hAnsi="Times New Roman" w:cs="Times New Roman"/>
                <w:b/>
                <w:bCs/>
                <w:color w:val="auto"/>
                <w:szCs w:val="24"/>
                <w:lang w:val="en-US" w:eastAsia="zh-CN"/>
              </w:rPr>
            </w:pPr>
            <w:r>
              <w:rPr>
                <w:rFonts w:hint="default" w:ascii="Times New Roman" w:hAnsi="Times New Roman" w:cs="Times New Roman"/>
                <w:b/>
                <w:bCs/>
                <w:color w:val="auto"/>
                <w:szCs w:val="24"/>
              </w:rPr>
              <w:t>表3-</w:t>
            </w:r>
            <w:r>
              <w:rPr>
                <w:rFonts w:hint="eastAsia" w:cs="Times New Roman"/>
                <w:b/>
                <w:bCs/>
                <w:color w:val="auto"/>
                <w:szCs w:val="24"/>
                <w:lang w:val="en-US" w:eastAsia="zh-CN"/>
              </w:rPr>
              <w:t>12</w:t>
            </w:r>
            <w:r>
              <w:rPr>
                <w:rFonts w:hint="default" w:ascii="Times New Roman" w:hAnsi="Times New Roman" w:cs="Times New Roman"/>
                <w:b/>
                <w:bCs/>
                <w:color w:val="auto"/>
                <w:szCs w:val="24"/>
                <w:lang w:val="en-US" w:eastAsia="zh-CN"/>
              </w:rPr>
              <w:t xml:space="preserve">  </w:t>
            </w:r>
            <w:r>
              <w:rPr>
                <w:rFonts w:hint="default" w:ascii="Times New Roman" w:hAnsi="Times New Roman" w:cs="Times New Roman"/>
                <w:b/>
                <w:bCs/>
                <w:color w:val="auto"/>
                <w:szCs w:val="24"/>
              </w:rPr>
              <w:t>《城镇污水处理厂污染物排放标准》（单位：mg/L）</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2693"/>
              <w:gridCol w:w="1985"/>
              <w:gridCol w:w="22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序号</w:t>
                  </w:r>
                </w:p>
              </w:tc>
              <w:tc>
                <w:tcPr>
                  <w:tcW w:w="2693" w:type="dxa"/>
                  <w:vAlign w:val="center"/>
                </w:tcPr>
                <w:p>
                  <w:pPr>
                    <w:adjustRightInd w:val="0"/>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基本控制项目</w:t>
                  </w:r>
                </w:p>
              </w:tc>
              <w:tc>
                <w:tcPr>
                  <w:tcW w:w="1985" w:type="dxa"/>
                  <w:vAlign w:val="center"/>
                </w:tcPr>
                <w:p>
                  <w:pPr>
                    <w:adjustRightInd w:val="0"/>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DB33/2169-2018中表1标准</w:t>
                  </w:r>
                </w:p>
              </w:tc>
              <w:tc>
                <w:tcPr>
                  <w:tcW w:w="2270" w:type="dxa"/>
                  <w:vAlign w:val="center"/>
                </w:tcPr>
                <w:p>
                  <w:pPr>
                    <w:adjustRightInd w:val="0"/>
                    <w:snapToGrid w:val="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GB18918-2002中一级标准（A标准）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CODcr</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40</w:t>
                  </w:r>
                </w:p>
              </w:tc>
              <w:tc>
                <w:tcPr>
                  <w:tcW w:w="227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BOD</w:t>
                  </w:r>
                  <w:r>
                    <w:rPr>
                      <w:rFonts w:hint="default" w:ascii="Times New Roman" w:hAnsi="Times New Roman" w:cs="Times New Roman"/>
                      <w:color w:val="auto"/>
                      <w:sz w:val="21"/>
                      <w:szCs w:val="21"/>
                      <w:vertAlign w:val="subscript"/>
                    </w:rPr>
                    <w:t>5</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227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SS</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2270" w:type="dxa"/>
                  <w:vAlign w:val="center"/>
                </w:tcPr>
                <w:p>
                  <w:pPr>
                    <w:pStyle w:val="4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动植物油</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2270" w:type="dxa"/>
                  <w:vAlign w:val="center"/>
                </w:tcPr>
                <w:p>
                  <w:pPr>
                    <w:pStyle w:val="40"/>
                    <w:spacing w:line="240" w:lineRule="auto"/>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总磷</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0.3</w:t>
                  </w:r>
                </w:p>
              </w:tc>
              <w:tc>
                <w:tcPr>
                  <w:tcW w:w="227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总氮</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12（15）</w:t>
                  </w:r>
                </w:p>
              </w:tc>
              <w:tc>
                <w:tcPr>
                  <w:tcW w:w="227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7</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氨氮</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2（4）</w:t>
                  </w:r>
                </w:p>
              </w:tc>
              <w:tc>
                <w:tcPr>
                  <w:tcW w:w="227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8</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pH</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227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7"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9</w:t>
                  </w:r>
                </w:p>
              </w:tc>
              <w:tc>
                <w:tcPr>
                  <w:tcW w:w="26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粪大肠菌群数（个/L）</w:t>
                  </w:r>
                </w:p>
              </w:tc>
              <w:tc>
                <w:tcPr>
                  <w:tcW w:w="198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227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10</w:t>
                  </w:r>
                  <w:r>
                    <w:rPr>
                      <w:rFonts w:hint="default" w:ascii="Times New Roman" w:hAnsi="Times New Roman" w:cs="Times New Roman"/>
                      <w:color w:val="auto"/>
                      <w:sz w:val="21"/>
                      <w:szCs w:val="21"/>
                      <w:vertAlign w:val="superscript"/>
                    </w:rPr>
                    <w:t>3</w:t>
                  </w:r>
                </w:p>
              </w:tc>
            </w:tr>
          </w:tbl>
          <w:p>
            <w:pPr>
              <w:adjustRightInd w:val="0"/>
              <w:snapToGrid w:val="0"/>
              <w:spacing w:beforeLines="15"/>
              <w:ind w:firstLine="522" w:firstLineChars="249"/>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注：括号内数值为每年11月1日至次年3月31日执行。</w:t>
            </w:r>
          </w:p>
          <w:p>
            <w:pPr>
              <w:spacing w:line="360" w:lineRule="auto"/>
              <w:jc w:val="left"/>
              <w:rPr>
                <w:rFonts w:hint="default" w:ascii="Times New Roman" w:hAnsi="Times New Roman" w:cs="Times New Roman"/>
                <w:b/>
                <w:color w:val="auto"/>
                <w:sz w:val="15"/>
                <w:szCs w:val="15"/>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3.3.3噪声</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本项目位于</w:t>
            </w:r>
            <w:r>
              <w:rPr>
                <w:rFonts w:hint="eastAsia" w:cs="Times New Roman"/>
                <w:color w:val="auto"/>
                <w:szCs w:val="24"/>
                <w:lang w:eastAsia="zh-CN"/>
              </w:rPr>
              <w:t>德清县钟管镇横塘桥路2号</w:t>
            </w:r>
            <w:r>
              <w:rPr>
                <w:rFonts w:hint="default" w:ascii="Times New Roman" w:hAnsi="Times New Roman" w:cs="Times New Roman"/>
                <w:color w:val="auto"/>
                <w:szCs w:val="24"/>
              </w:rPr>
              <w:t>，属于工业集中区，厂界四周噪声执行《工业企业厂界环境噪声排放标准》(GB12348-2008)中的3类标准，具体见表3-</w:t>
            </w:r>
            <w:r>
              <w:rPr>
                <w:rFonts w:hint="eastAsia" w:cs="Times New Roman"/>
                <w:color w:val="auto"/>
                <w:szCs w:val="24"/>
                <w:lang w:val="en-US" w:eastAsia="zh-CN"/>
              </w:rPr>
              <w:t>13</w:t>
            </w:r>
            <w:r>
              <w:rPr>
                <w:rFonts w:hint="default" w:ascii="Times New Roman" w:hAnsi="Times New Roman" w:cs="Times New Roman"/>
                <w:color w:val="auto"/>
                <w:szCs w:val="24"/>
              </w:rPr>
              <w:t>。</w:t>
            </w:r>
          </w:p>
          <w:p>
            <w:pPr>
              <w:spacing w:line="360" w:lineRule="auto"/>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表3-</w:t>
            </w:r>
            <w:r>
              <w:rPr>
                <w:rFonts w:hint="eastAsia" w:cs="Times New Roman"/>
                <w:b/>
                <w:bCs/>
                <w:color w:val="auto"/>
                <w:szCs w:val="24"/>
                <w:lang w:val="en-US" w:eastAsia="zh-CN"/>
              </w:rPr>
              <w:t>13</w:t>
            </w:r>
            <w:r>
              <w:rPr>
                <w:rFonts w:hint="default" w:ascii="Times New Roman" w:hAnsi="Times New Roman" w:cs="Times New Roman"/>
                <w:b/>
                <w:bCs/>
                <w:color w:val="auto"/>
                <w:szCs w:val="24"/>
                <w:lang w:val="en-US" w:eastAsia="zh-CN"/>
              </w:rPr>
              <w:t xml:space="preserve">  </w:t>
            </w:r>
            <w:r>
              <w:rPr>
                <w:rFonts w:hint="default" w:ascii="Times New Roman" w:hAnsi="Times New Roman" w:cs="Times New Roman"/>
                <w:b/>
                <w:bCs/>
                <w:color w:val="auto"/>
                <w:szCs w:val="24"/>
              </w:rPr>
              <w:t>《工业企业厂界环境噪声排放标准》（单位：dB(A)）</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551"/>
              <w:gridCol w:w="2552"/>
              <w:gridCol w:w="2552"/>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2551"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区域类别</w:t>
                  </w:r>
                </w:p>
              </w:tc>
              <w:tc>
                <w:tcPr>
                  <w:tcW w:w="2552"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昼间</w:t>
                  </w:r>
                </w:p>
              </w:tc>
              <w:tc>
                <w:tcPr>
                  <w:tcW w:w="2552"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夜间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2551" w:type="dxa"/>
                  <w:vAlign w:val="center"/>
                </w:tcPr>
                <w:p>
                  <w:pPr>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3类</w:t>
                  </w:r>
                </w:p>
              </w:tc>
              <w:tc>
                <w:tcPr>
                  <w:tcW w:w="2552" w:type="dxa"/>
                  <w:vAlign w:val="center"/>
                </w:tcPr>
                <w:p>
                  <w:pPr>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65</w:t>
                  </w:r>
                </w:p>
              </w:tc>
              <w:tc>
                <w:tcPr>
                  <w:tcW w:w="2552" w:type="dxa"/>
                  <w:vAlign w:val="center"/>
                </w:tcPr>
                <w:p>
                  <w:pPr>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55</w:t>
                  </w:r>
                </w:p>
              </w:tc>
            </w:tr>
          </w:tbl>
          <w:p>
            <w:pPr>
              <w:spacing w:line="360" w:lineRule="auto"/>
              <w:jc w:val="left"/>
              <w:rPr>
                <w:rFonts w:hint="default" w:ascii="Times New Roman" w:hAnsi="Times New Roman" w:cs="Times New Roman"/>
                <w:b/>
                <w:color w:val="auto"/>
                <w:szCs w:val="24"/>
              </w:rPr>
            </w:pPr>
          </w:p>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3.3.4固废</w:t>
            </w:r>
          </w:p>
          <w:p>
            <w:pPr>
              <w:tabs>
                <w:tab w:val="left" w:pos="4288"/>
              </w:tabs>
              <w:spacing w:line="360" w:lineRule="auto"/>
              <w:ind w:firstLine="480" w:firstLineChars="200"/>
              <w:outlineLvl w:val="2"/>
              <w:rPr>
                <w:color w:val="auto"/>
                <w:szCs w:val="24"/>
              </w:rPr>
            </w:pPr>
            <w:r>
              <w:rPr>
                <w:color w:val="auto"/>
                <w:szCs w:val="24"/>
              </w:rPr>
              <w:t>一般工业固废贮存执行《一般工业固体废物贮存和填埋污染控制标准》（GB18599-2020）中的：</w:t>
            </w:r>
            <w:r>
              <w:rPr>
                <w:rFonts w:hint="eastAsia"/>
                <w:color w:val="auto"/>
                <w:szCs w:val="24"/>
              </w:rPr>
              <w:t>“</w:t>
            </w:r>
            <w:r>
              <w:rPr>
                <w:color w:val="auto"/>
                <w:szCs w:val="24"/>
              </w:rPr>
              <w:t>采用库房、包装工具（罐、桶、包装袋等）贮GB18597存一般工业固体废物过程的污染控制，不适用《一般工业固体废物贮存和填埋污染控制标准》（GB18599-2020），其贮存过程应满足相应防渗漏、防雨淋、防扬尘等环境保护要求</w:t>
            </w:r>
            <w:r>
              <w:rPr>
                <w:rFonts w:hint="eastAsia"/>
                <w:color w:val="auto"/>
                <w:szCs w:val="24"/>
              </w:rPr>
              <w:t>”</w:t>
            </w:r>
            <w:r>
              <w:rPr>
                <w:rFonts w:hint="eastAsia"/>
                <w:color w:val="auto"/>
                <w:szCs w:val="24"/>
                <w:lang w:eastAsia="zh-CN"/>
              </w:rPr>
              <w:t>，</w:t>
            </w:r>
            <w:r>
              <w:rPr>
                <w:color w:val="auto"/>
                <w:szCs w:val="24"/>
              </w:rPr>
              <w:t>一般工业固废</w:t>
            </w:r>
            <w:r>
              <w:rPr>
                <w:rFonts w:hint="eastAsia"/>
                <w:color w:val="auto"/>
                <w:szCs w:val="24"/>
                <w:lang w:val="en-US" w:eastAsia="zh-CN"/>
              </w:rPr>
              <w:t>转移参照</w:t>
            </w:r>
            <w:r>
              <w:rPr>
                <w:rFonts w:hint="eastAsia"/>
                <w:color w:val="auto"/>
                <w:szCs w:val="24"/>
                <w:lang w:eastAsia="zh-CN"/>
              </w:rPr>
              <w:t>浙江省工业固体废物电子转移联单管理办法（试行）要求</w:t>
            </w:r>
            <w:r>
              <w:rPr>
                <w:rFonts w:hint="eastAsia"/>
                <w:color w:val="auto"/>
                <w:szCs w:val="24"/>
                <w:lang w:val="en-US" w:eastAsia="zh-CN"/>
              </w:rPr>
              <w:t>执行</w:t>
            </w:r>
            <w:r>
              <w:rPr>
                <w:color w:val="auto"/>
                <w:szCs w:val="24"/>
              </w:rPr>
              <w:t>。危险废物执行《危险废物贮存污染控制标准》（GB18597-20</w:t>
            </w:r>
            <w:r>
              <w:rPr>
                <w:rFonts w:hint="eastAsia"/>
                <w:color w:val="auto"/>
                <w:szCs w:val="24"/>
              </w:rPr>
              <w:t>23</w:t>
            </w:r>
            <w:r>
              <w:rPr>
                <w:color w:val="auto"/>
                <w:szCs w:val="24"/>
              </w:rPr>
              <w:t>）</w:t>
            </w:r>
            <w:r>
              <w:rPr>
                <w:rFonts w:hint="eastAsia"/>
                <w:color w:val="auto"/>
                <w:szCs w:val="24"/>
              </w:rPr>
              <w:t>标准</w:t>
            </w:r>
            <w:r>
              <w:rPr>
                <w:color w:val="auto"/>
                <w:szCs w:val="24"/>
              </w:rPr>
              <w:t>要求。</w:t>
            </w:r>
          </w:p>
          <w:p>
            <w:pPr>
              <w:pStyle w:val="40"/>
              <w:rPr>
                <w:color w:val="auto"/>
                <w:szCs w:val="24"/>
              </w:rPr>
            </w:pPr>
          </w:p>
          <w:p>
            <w:pPr>
              <w:pStyle w:val="40"/>
              <w:rPr>
                <w:rFonts w:hint="default"/>
                <w:color w:val="auto"/>
                <w:szCs w:val="24"/>
              </w:rPr>
            </w:pPr>
          </w:p>
          <w:p>
            <w:pPr>
              <w:tabs>
                <w:tab w:val="left" w:pos="4288"/>
              </w:tabs>
              <w:spacing w:line="360" w:lineRule="auto"/>
              <w:outlineLvl w:val="2"/>
              <w:rPr>
                <w:rFonts w:hint="default" w:ascii="Times New Roman" w:hAnsi="Times New Roman" w:cs="Times New Roman"/>
                <w:color w:val="FF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 w:type="dxa"/>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总量控制指标</w:t>
            </w:r>
          </w:p>
        </w:tc>
        <w:tc>
          <w:tcPr>
            <w:tcW w:w="8034" w:type="dxa"/>
            <w:vAlign w:val="center"/>
          </w:tcPr>
          <w:p>
            <w:pPr>
              <w:spacing w:line="360" w:lineRule="auto"/>
              <w:jc w:val="left"/>
              <w:rPr>
                <w:rFonts w:hint="default" w:ascii="Times New Roman" w:hAnsi="Times New Roman" w:cs="Times New Roman"/>
                <w:b/>
                <w:color w:val="auto"/>
                <w:szCs w:val="24"/>
              </w:rPr>
            </w:pPr>
            <w:r>
              <w:rPr>
                <w:rFonts w:hint="default" w:ascii="Times New Roman" w:hAnsi="Times New Roman" w:cs="Times New Roman"/>
                <w:b/>
                <w:color w:val="auto"/>
                <w:szCs w:val="24"/>
              </w:rPr>
              <w:t>3.4总量控制指标</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根据《湖州市区主要污染物排污权有偿使用和交易实施细则》（湖环发[2017]39号）及《关于加强重点行业建设项目区域削减措施监督管理的通知》（环办环评[2020]36号）要求，对化学需氧量（COD</w:t>
            </w:r>
            <w:r>
              <w:rPr>
                <w:rFonts w:hint="default" w:ascii="Times New Roman" w:hAnsi="Times New Roman" w:cs="Times New Roman"/>
                <w:color w:val="auto"/>
                <w:szCs w:val="24"/>
                <w:vertAlign w:val="subscript"/>
                <w:lang w:val="en-US" w:eastAsia="zh-CN"/>
              </w:rPr>
              <w:t>C</w:t>
            </w:r>
            <w:r>
              <w:rPr>
                <w:rFonts w:hint="default" w:ascii="Times New Roman" w:hAnsi="Times New Roman" w:cs="Times New Roman"/>
                <w:color w:val="auto"/>
                <w:szCs w:val="24"/>
                <w:vertAlign w:val="subscript"/>
              </w:rPr>
              <w:t>r</w:t>
            </w:r>
            <w:r>
              <w:rPr>
                <w:rFonts w:hint="default" w:ascii="Times New Roman" w:hAnsi="Times New Roman" w:cs="Times New Roman"/>
                <w:color w:val="auto"/>
                <w:szCs w:val="24"/>
              </w:rPr>
              <w:t>）、氨氮（NH</w:t>
            </w:r>
            <w:r>
              <w:rPr>
                <w:rFonts w:hint="default" w:ascii="Times New Roman" w:hAnsi="Times New Roman" w:cs="Times New Roman"/>
                <w:color w:val="auto"/>
                <w:szCs w:val="24"/>
                <w:vertAlign w:val="subscript"/>
              </w:rPr>
              <w:t>3</w:t>
            </w:r>
            <w:r>
              <w:rPr>
                <w:rFonts w:hint="default" w:ascii="Times New Roman" w:hAnsi="Times New Roman" w:cs="Times New Roman"/>
                <w:color w:val="auto"/>
                <w:szCs w:val="24"/>
              </w:rPr>
              <w:t>-N）、二氧化硫（SO</w:t>
            </w:r>
            <w:r>
              <w:rPr>
                <w:rFonts w:hint="default" w:ascii="Times New Roman" w:hAnsi="Times New Roman" w:cs="Times New Roman"/>
                <w:color w:val="auto"/>
                <w:szCs w:val="24"/>
                <w:vertAlign w:val="subscript"/>
              </w:rPr>
              <w:t>2</w:t>
            </w:r>
            <w:r>
              <w:rPr>
                <w:rFonts w:hint="default" w:ascii="Times New Roman" w:hAnsi="Times New Roman" w:cs="Times New Roman"/>
                <w:color w:val="auto"/>
                <w:szCs w:val="24"/>
              </w:rPr>
              <w:t>）和氮氧化物（NO</w:t>
            </w:r>
            <w:r>
              <w:rPr>
                <w:rFonts w:hint="default" w:ascii="Times New Roman" w:hAnsi="Times New Roman" w:cs="Times New Roman"/>
                <w:color w:val="auto"/>
                <w:szCs w:val="24"/>
                <w:vertAlign w:val="subscript"/>
              </w:rPr>
              <w:t>x</w:t>
            </w:r>
            <w:r>
              <w:rPr>
                <w:rFonts w:hint="default" w:ascii="Times New Roman" w:hAnsi="Times New Roman" w:cs="Times New Roman"/>
                <w:color w:val="auto"/>
                <w:szCs w:val="24"/>
              </w:rPr>
              <w:t>）四种主要污染物实施排放总量控制。烟粉尘、挥发性有机物、重点重金属污染物、沿海地级及以上城市总氮和地方实施总量控制的特征污染物参照本办法执行。</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结合本项目污染特征，纳入总量控制指标的主要是COD</w:t>
            </w:r>
            <w:r>
              <w:rPr>
                <w:rFonts w:hint="default" w:ascii="Times New Roman" w:hAnsi="Times New Roman" w:cs="Times New Roman"/>
                <w:color w:val="auto"/>
                <w:szCs w:val="24"/>
                <w:vertAlign w:val="subscript"/>
                <w:lang w:val="en-US" w:eastAsia="zh-CN"/>
              </w:rPr>
              <w:t>C</w:t>
            </w:r>
            <w:r>
              <w:rPr>
                <w:rFonts w:hint="default" w:ascii="Times New Roman" w:hAnsi="Times New Roman" w:cs="Times New Roman"/>
                <w:color w:val="auto"/>
                <w:szCs w:val="24"/>
                <w:vertAlign w:val="subscript"/>
              </w:rPr>
              <w:t>r</w:t>
            </w:r>
            <w:r>
              <w:rPr>
                <w:rFonts w:hint="default" w:ascii="Times New Roman" w:hAnsi="Times New Roman" w:cs="Times New Roman"/>
                <w:color w:val="auto"/>
                <w:szCs w:val="24"/>
              </w:rPr>
              <w:t>、NH</w:t>
            </w:r>
            <w:r>
              <w:rPr>
                <w:rFonts w:hint="default" w:ascii="Times New Roman" w:hAnsi="Times New Roman" w:cs="Times New Roman"/>
                <w:color w:val="auto"/>
                <w:szCs w:val="24"/>
                <w:vertAlign w:val="subscript"/>
              </w:rPr>
              <w:t>3</w:t>
            </w:r>
            <w:r>
              <w:rPr>
                <w:rFonts w:hint="default" w:ascii="Times New Roman" w:hAnsi="Times New Roman" w:cs="Times New Roman"/>
                <w:color w:val="auto"/>
                <w:szCs w:val="24"/>
              </w:rPr>
              <w:t>-N、</w:t>
            </w:r>
            <w:r>
              <w:rPr>
                <w:rFonts w:hint="default" w:ascii="Times New Roman" w:hAnsi="Times New Roman" w:eastAsia="宋体" w:cs="Times New Roman"/>
                <w:color w:val="auto"/>
                <w:kern w:val="0"/>
                <w:sz w:val="24"/>
                <w:szCs w:val="24"/>
                <w:lang w:val="en-US" w:eastAsia="zh-CN" w:bidi="ar"/>
              </w:rPr>
              <w:t>VOCs</w:t>
            </w:r>
            <w:r>
              <w:rPr>
                <w:rFonts w:hint="eastAsia" w:ascii="Times New Roman" w:hAnsi="Times New Roman" w:eastAsia="宋体" w:cs="Times New Roman"/>
                <w:color w:val="auto"/>
                <w:kern w:val="0"/>
                <w:sz w:val="24"/>
                <w:szCs w:val="24"/>
                <w:lang w:val="en-US" w:eastAsia="zh-CN" w:bidi="ar"/>
              </w:rPr>
              <w:t>、</w:t>
            </w:r>
            <w:r>
              <w:rPr>
                <w:rFonts w:hint="default" w:ascii="Times New Roman" w:hAnsi="Times New Roman" w:eastAsia="宋体" w:cs="Times New Roman"/>
                <w:color w:val="auto"/>
                <w:kern w:val="0"/>
                <w:sz w:val="24"/>
                <w:szCs w:val="24"/>
                <w:lang w:val="en-US" w:eastAsia="zh-CN" w:bidi="ar"/>
              </w:rPr>
              <w:t>颗粒物</w:t>
            </w:r>
            <w:r>
              <w:rPr>
                <w:rFonts w:hint="default" w:ascii="Times New Roman" w:hAnsi="Times New Roman" w:cs="Times New Roman"/>
                <w:color w:val="auto"/>
                <w:szCs w:val="24"/>
              </w:rPr>
              <w:t>。</w:t>
            </w:r>
          </w:p>
          <w:p>
            <w:pPr>
              <w:pStyle w:val="40"/>
              <w:rPr>
                <w:rFonts w:hint="default"/>
                <w:color w:val="auto"/>
              </w:rPr>
            </w:pPr>
          </w:p>
          <w:p>
            <w:pPr>
              <w:spacing w:line="360" w:lineRule="auto"/>
              <w:jc w:val="center"/>
              <w:rPr>
                <w:rFonts w:hint="default" w:ascii="Times New Roman" w:hAnsi="Times New Roman" w:eastAsia="宋体" w:cs="Times New Roman"/>
                <w:b/>
                <w:bCs/>
                <w:color w:val="auto"/>
                <w:szCs w:val="24"/>
              </w:rPr>
            </w:pPr>
            <w:r>
              <w:rPr>
                <w:rFonts w:hint="default" w:ascii="Times New Roman" w:hAnsi="Times New Roman" w:eastAsia="宋体" w:cs="Times New Roman"/>
                <w:b/>
                <w:bCs/>
                <w:color w:val="auto"/>
                <w:szCs w:val="24"/>
              </w:rPr>
              <w:t>表3-</w:t>
            </w:r>
            <w:r>
              <w:rPr>
                <w:rFonts w:hint="eastAsia" w:cs="Times New Roman"/>
                <w:b/>
                <w:bCs/>
                <w:color w:val="auto"/>
                <w:szCs w:val="24"/>
                <w:lang w:val="en-US" w:eastAsia="zh-CN"/>
              </w:rPr>
              <w:t>14</w:t>
            </w:r>
            <w:r>
              <w:rPr>
                <w:rFonts w:hint="default" w:ascii="Times New Roman" w:hAnsi="Times New Roman" w:eastAsia="宋体" w:cs="Times New Roman"/>
                <w:b/>
                <w:bCs/>
                <w:color w:val="auto"/>
                <w:szCs w:val="24"/>
                <w:lang w:val="en-US" w:eastAsia="zh-CN"/>
              </w:rPr>
              <w:t xml:space="preserve">  </w:t>
            </w:r>
            <w:r>
              <w:rPr>
                <w:rFonts w:hint="default" w:ascii="Times New Roman" w:hAnsi="Times New Roman" w:eastAsia="宋体" w:cs="Times New Roman"/>
                <w:b/>
                <w:bCs/>
                <w:color w:val="auto"/>
                <w:szCs w:val="24"/>
              </w:rPr>
              <w:t>项目污染物排放总量（t/a）</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223"/>
              <w:gridCol w:w="1327"/>
              <w:gridCol w:w="1328"/>
              <w:gridCol w:w="1327"/>
              <w:gridCol w:w="14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2211" w:type="dxa"/>
                  <w:gridSpan w:val="2"/>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污染物名称</w:t>
                  </w:r>
                </w:p>
              </w:tc>
              <w:tc>
                <w:tcPr>
                  <w:tcW w:w="1327" w:type="dxa"/>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产生量</w:t>
                  </w:r>
                </w:p>
              </w:tc>
              <w:tc>
                <w:tcPr>
                  <w:tcW w:w="1328" w:type="dxa"/>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削减量</w:t>
                  </w:r>
                </w:p>
              </w:tc>
              <w:tc>
                <w:tcPr>
                  <w:tcW w:w="1327" w:type="dxa"/>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预测排放量</w:t>
                  </w:r>
                </w:p>
              </w:tc>
              <w:tc>
                <w:tcPr>
                  <w:tcW w:w="1460" w:type="dxa"/>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建议申请排放量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88" w:type="dxa"/>
                  <w:vMerge w:val="restart"/>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废水</w:t>
                  </w:r>
                </w:p>
              </w:tc>
              <w:tc>
                <w:tcPr>
                  <w:tcW w:w="1223"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废水量</w:t>
                  </w:r>
                </w:p>
              </w:tc>
              <w:tc>
                <w:tcPr>
                  <w:tcW w:w="1327"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120</w:t>
                  </w:r>
                </w:p>
              </w:tc>
              <w:tc>
                <w:tcPr>
                  <w:tcW w:w="1328"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bCs/>
                      <w:color w:val="auto"/>
                      <w:sz w:val="21"/>
                      <w:szCs w:val="21"/>
                    </w:rPr>
                    <w:t>0</w:t>
                  </w:r>
                </w:p>
              </w:tc>
              <w:tc>
                <w:tcPr>
                  <w:tcW w:w="1327" w:type="dxa"/>
                  <w:vAlign w:val="center"/>
                </w:tcPr>
                <w:p>
                  <w:pPr>
                    <w:jc w:val="center"/>
                    <w:rPr>
                      <w:rFonts w:hint="default" w:ascii="Times New Roman" w:hAnsi="Times New Roman" w:cs="Times New Roman"/>
                      <w:bCs/>
                      <w:color w:val="auto"/>
                      <w:sz w:val="21"/>
                      <w:szCs w:val="21"/>
                      <w:lang w:val="en-US"/>
                    </w:rPr>
                  </w:pPr>
                  <w:r>
                    <w:rPr>
                      <w:rFonts w:hint="eastAsia" w:cs="Times New Roman"/>
                      <w:color w:val="auto"/>
                      <w:sz w:val="21"/>
                      <w:szCs w:val="21"/>
                      <w:lang w:val="en-US" w:eastAsia="zh-CN"/>
                    </w:rPr>
                    <w:t>120</w:t>
                  </w:r>
                </w:p>
              </w:tc>
              <w:tc>
                <w:tcPr>
                  <w:tcW w:w="1460" w:type="dxa"/>
                  <w:vAlign w:val="center"/>
                </w:tcPr>
                <w:p>
                  <w:pPr>
                    <w:jc w:val="center"/>
                    <w:rPr>
                      <w:rFonts w:hint="default" w:ascii="Times New Roman" w:hAnsi="Times New Roman" w:cs="Times New Roman"/>
                      <w:bCs/>
                      <w:color w:val="auto"/>
                      <w:sz w:val="21"/>
                      <w:szCs w:val="21"/>
                      <w:lang w:val="en-US"/>
                    </w:rPr>
                  </w:pPr>
                  <w:r>
                    <w:rPr>
                      <w:rFonts w:hint="eastAsia" w:cs="Times New Roman"/>
                      <w:color w:val="auto"/>
                      <w:sz w:val="21"/>
                      <w:szCs w:val="21"/>
                      <w:lang w:val="en-US" w:eastAsia="zh-CN"/>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88" w:type="dxa"/>
                  <w:vMerge w:val="continue"/>
                  <w:vAlign w:val="center"/>
                </w:tcPr>
                <w:p>
                  <w:pPr>
                    <w:jc w:val="center"/>
                    <w:rPr>
                      <w:rFonts w:hint="default" w:ascii="Times New Roman" w:hAnsi="Times New Roman" w:cs="Times New Roman"/>
                      <w:color w:val="auto"/>
                      <w:sz w:val="21"/>
                      <w:szCs w:val="21"/>
                    </w:rPr>
                  </w:pPr>
                </w:p>
              </w:tc>
              <w:tc>
                <w:tcPr>
                  <w:tcW w:w="1223"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COD</w:t>
                  </w:r>
                  <w:r>
                    <w:rPr>
                      <w:rFonts w:hint="default" w:ascii="Times New Roman" w:hAnsi="Times New Roman" w:cs="Times New Roman"/>
                      <w:color w:val="auto"/>
                      <w:sz w:val="21"/>
                      <w:szCs w:val="21"/>
                      <w:vertAlign w:val="subscript"/>
                    </w:rPr>
                    <w:t>Cr</w:t>
                  </w:r>
                </w:p>
              </w:tc>
              <w:tc>
                <w:tcPr>
                  <w:tcW w:w="1327" w:type="dxa"/>
                  <w:vAlign w:val="center"/>
                </w:tcPr>
                <w:p>
                  <w:pPr>
                    <w:widowControl/>
                    <w:snapToGrid w:val="0"/>
                    <w:jc w:val="center"/>
                    <w:textAlignment w:val="center"/>
                    <w:outlineLvl w:val="1"/>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w:t>
                  </w:r>
                  <w:r>
                    <w:rPr>
                      <w:rFonts w:hint="default" w:ascii="Times New Roman" w:hAnsi="Times New Roman" w:cs="Times New Roman"/>
                      <w:color w:val="auto"/>
                      <w:sz w:val="21"/>
                      <w:szCs w:val="21"/>
                      <w:lang w:val="en-US" w:eastAsia="zh-CN"/>
                    </w:rPr>
                    <w:t>0</w:t>
                  </w:r>
                  <w:r>
                    <w:rPr>
                      <w:rFonts w:hint="eastAsia" w:cs="Times New Roman"/>
                      <w:color w:val="auto"/>
                      <w:sz w:val="21"/>
                      <w:szCs w:val="21"/>
                      <w:lang w:val="en-US" w:eastAsia="zh-CN"/>
                    </w:rPr>
                    <w:t>42</w:t>
                  </w:r>
                </w:p>
              </w:tc>
              <w:tc>
                <w:tcPr>
                  <w:tcW w:w="1328" w:type="dxa"/>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kern w:val="0"/>
                      <w:sz w:val="21"/>
                      <w:szCs w:val="21"/>
                    </w:rPr>
                    <w:t>0.</w:t>
                  </w:r>
                  <w:r>
                    <w:rPr>
                      <w:rFonts w:hint="default" w:ascii="Times New Roman" w:hAnsi="Times New Roman" w:cs="Times New Roman"/>
                      <w:color w:val="auto"/>
                      <w:kern w:val="0"/>
                      <w:sz w:val="21"/>
                      <w:szCs w:val="21"/>
                      <w:lang w:val="en-US" w:eastAsia="zh-CN"/>
                    </w:rPr>
                    <w:t>0</w:t>
                  </w:r>
                  <w:r>
                    <w:rPr>
                      <w:rFonts w:hint="eastAsia" w:cs="Times New Roman"/>
                      <w:color w:val="auto"/>
                      <w:kern w:val="0"/>
                      <w:sz w:val="21"/>
                      <w:szCs w:val="21"/>
                      <w:lang w:val="en-US" w:eastAsia="zh-CN"/>
                    </w:rPr>
                    <w:t>37</w:t>
                  </w:r>
                </w:p>
              </w:tc>
              <w:tc>
                <w:tcPr>
                  <w:tcW w:w="1327" w:type="dxa"/>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0.0</w:t>
                  </w:r>
                  <w:r>
                    <w:rPr>
                      <w:rFonts w:hint="eastAsia" w:cs="Times New Roman"/>
                      <w:color w:val="auto"/>
                      <w:sz w:val="21"/>
                      <w:szCs w:val="21"/>
                      <w:lang w:val="en-US" w:eastAsia="zh-CN"/>
                    </w:rPr>
                    <w:t>05</w:t>
                  </w:r>
                </w:p>
              </w:tc>
              <w:tc>
                <w:tcPr>
                  <w:tcW w:w="1460" w:type="dxa"/>
                  <w:vAlign w:val="center"/>
                </w:tcPr>
                <w:p>
                  <w:pPr>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rPr>
                    <w:t>0.0</w:t>
                  </w:r>
                  <w:r>
                    <w:rPr>
                      <w:rFonts w:hint="eastAsia" w:cs="Times New Roman"/>
                      <w:color w:val="auto"/>
                      <w:sz w:val="21"/>
                      <w:szCs w:val="21"/>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88" w:type="dxa"/>
                  <w:vMerge w:val="continue"/>
                  <w:vAlign w:val="center"/>
                </w:tcPr>
                <w:p>
                  <w:pPr>
                    <w:jc w:val="center"/>
                    <w:rPr>
                      <w:rFonts w:hint="default" w:ascii="Times New Roman" w:hAnsi="Times New Roman" w:cs="Times New Roman"/>
                      <w:color w:val="auto"/>
                      <w:sz w:val="21"/>
                      <w:szCs w:val="21"/>
                    </w:rPr>
                  </w:pPr>
                </w:p>
              </w:tc>
              <w:tc>
                <w:tcPr>
                  <w:tcW w:w="1223"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NH</w:t>
                  </w:r>
                  <w:r>
                    <w:rPr>
                      <w:rFonts w:hint="default" w:ascii="Times New Roman" w:hAnsi="Times New Roman" w:cs="Times New Roman"/>
                      <w:color w:val="auto"/>
                      <w:sz w:val="21"/>
                      <w:szCs w:val="21"/>
                      <w:vertAlign w:val="subscript"/>
                    </w:rPr>
                    <w:t>3</w:t>
                  </w:r>
                  <w:r>
                    <w:rPr>
                      <w:rFonts w:hint="default" w:ascii="Times New Roman" w:hAnsi="Times New Roman" w:cs="Times New Roman"/>
                      <w:color w:val="auto"/>
                      <w:sz w:val="21"/>
                      <w:szCs w:val="21"/>
                    </w:rPr>
                    <w:t>-N</w:t>
                  </w:r>
                </w:p>
              </w:tc>
              <w:tc>
                <w:tcPr>
                  <w:tcW w:w="1327" w:type="dxa"/>
                  <w:vAlign w:val="center"/>
                </w:tcPr>
                <w:p>
                  <w:pPr>
                    <w:widowControl/>
                    <w:snapToGrid w:val="0"/>
                    <w:jc w:val="center"/>
                    <w:textAlignment w:val="center"/>
                    <w:outlineLvl w:val="1"/>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0.0</w:t>
                  </w:r>
                  <w:r>
                    <w:rPr>
                      <w:rFonts w:hint="default" w:ascii="Times New Roman" w:hAnsi="Times New Roman" w:cs="Times New Roman"/>
                      <w:color w:val="auto"/>
                      <w:sz w:val="21"/>
                      <w:szCs w:val="21"/>
                      <w:lang w:val="en-US" w:eastAsia="zh-CN"/>
                    </w:rPr>
                    <w:t>0</w:t>
                  </w:r>
                  <w:r>
                    <w:rPr>
                      <w:rFonts w:hint="eastAsia" w:cs="Times New Roman"/>
                      <w:color w:val="auto"/>
                      <w:sz w:val="21"/>
                      <w:szCs w:val="21"/>
                      <w:lang w:val="en-US" w:eastAsia="zh-CN"/>
                    </w:rPr>
                    <w:t>4</w:t>
                  </w:r>
                </w:p>
              </w:tc>
              <w:tc>
                <w:tcPr>
                  <w:tcW w:w="1328" w:type="dxa"/>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kern w:val="0"/>
                      <w:sz w:val="21"/>
                      <w:szCs w:val="21"/>
                    </w:rPr>
                    <w:t>0.0</w:t>
                  </w:r>
                  <w:r>
                    <w:rPr>
                      <w:rFonts w:hint="default" w:ascii="Times New Roman" w:hAnsi="Times New Roman" w:cs="Times New Roman"/>
                      <w:color w:val="auto"/>
                      <w:kern w:val="0"/>
                      <w:sz w:val="21"/>
                      <w:szCs w:val="21"/>
                      <w:lang w:val="en-US" w:eastAsia="zh-CN"/>
                    </w:rPr>
                    <w:t>0</w:t>
                  </w:r>
                  <w:r>
                    <w:rPr>
                      <w:rFonts w:hint="eastAsia" w:cs="Times New Roman"/>
                      <w:color w:val="auto"/>
                      <w:kern w:val="0"/>
                      <w:sz w:val="21"/>
                      <w:szCs w:val="21"/>
                      <w:lang w:val="en-US" w:eastAsia="zh-CN"/>
                    </w:rPr>
                    <w:t>4</w:t>
                  </w:r>
                </w:p>
              </w:tc>
              <w:tc>
                <w:tcPr>
                  <w:tcW w:w="1327" w:type="dxa"/>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0.00</w:t>
                  </w:r>
                  <w:r>
                    <w:rPr>
                      <w:rFonts w:hint="eastAsia" w:cs="Times New Roman"/>
                      <w:color w:val="auto"/>
                      <w:sz w:val="21"/>
                      <w:szCs w:val="21"/>
                      <w:lang w:val="en-US" w:eastAsia="zh-CN"/>
                    </w:rPr>
                    <w:t>0</w:t>
                  </w:r>
                </w:p>
              </w:tc>
              <w:tc>
                <w:tcPr>
                  <w:tcW w:w="1460"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0.00</w:t>
                  </w:r>
                  <w:r>
                    <w:rPr>
                      <w:rFonts w:hint="eastAsia" w:cs="Times New Roman"/>
                      <w:color w:val="auto"/>
                      <w:sz w:val="21"/>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88" w:type="dxa"/>
                  <w:vMerge w:val="restart"/>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废气</w:t>
                  </w:r>
                </w:p>
              </w:tc>
              <w:tc>
                <w:tcPr>
                  <w:tcW w:w="1223" w:type="dxa"/>
                  <w:vAlign w:val="center"/>
                </w:tcPr>
                <w:p>
                  <w:pPr>
                    <w:jc w:val="center"/>
                    <w:rPr>
                      <w:rFonts w:hint="default" w:ascii="Times New Roman" w:hAnsi="Times New Roman" w:cs="Times New Roman"/>
                      <w:color w:val="auto"/>
                      <w:sz w:val="21"/>
                      <w:szCs w:val="21"/>
                    </w:rPr>
                  </w:pPr>
                  <w:r>
                    <w:rPr>
                      <w:rFonts w:hint="default" w:ascii="Times New Roman" w:hAnsi="Times New Roman" w:eastAsia="宋体" w:cs="Times New Roman"/>
                      <w:color w:val="auto"/>
                      <w:kern w:val="0"/>
                      <w:sz w:val="21"/>
                      <w:szCs w:val="21"/>
                      <w:lang w:val="en-US" w:eastAsia="zh-CN" w:bidi="ar"/>
                    </w:rPr>
                    <w:t>VOCs</w:t>
                  </w:r>
                </w:p>
              </w:tc>
              <w:tc>
                <w:tcPr>
                  <w:tcW w:w="1327"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2.252</w:t>
                  </w:r>
                </w:p>
              </w:tc>
              <w:tc>
                <w:tcPr>
                  <w:tcW w:w="1328"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1.542</w:t>
                  </w:r>
                </w:p>
              </w:tc>
              <w:tc>
                <w:tcPr>
                  <w:tcW w:w="1327" w:type="dxa"/>
                  <w:vAlign w:val="center"/>
                </w:tcPr>
                <w:p>
                  <w:pPr>
                    <w:pStyle w:val="8"/>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kern w:val="2"/>
                      <w:sz w:val="21"/>
                      <w:szCs w:val="21"/>
                      <w:lang w:val="en-US" w:eastAsia="zh-CN"/>
                    </w:rPr>
                    <w:t>0.71</w:t>
                  </w:r>
                </w:p>
              </w:tc>
              <w:tc>
                <w:tcPr>
                  <w:tcW w:w="1460" w:type="dxa"/>
                  <w:vAlign w:val="center"/>
                </w:tcPr>
                <w:p>
                  <w:pPr>
                    <w:pStyle w:val="8"/>
                    <w:ind w:firstLine="0" w:firstLineChars="0"/>
                    <w:jc w:val="center"/>
                    <w:rPr>
                      <w:rFonts w:hint="default" w:ascii="Times New Roman" w:hAnsi="Times New Roman" w:cs="Times New Roman"/>
                      <w:color w:val="auto"/>
                      <w:sz w:val="21"/>
                      <w:szCs w:val="21"/>
                      <w:lang w:val="en-US"/>
                    </w:rPr>
                  </w:pPr>
                  <w:r>
                    <w:rPr>
                      <w:rFonts w:hint="eastAsia" w:cs="Times New Roman"/>
                      <w:color w:val="auto"/>
                      <w:kern w:val="2"/>
                      <w:sz w:val="21"/>
                      <w:szCs w:val="21"/>
                      <w:lang w:val="en-US" w:eastAsia="zh-CN"/>
                    </w:rPr>
                    <w:t>0.71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88" w:type="dxa"/>
                  <w:vMerge w:val="continue"/>
                  <w:vAlign w:val="center"/>
                </w:tcPr>
                <w:p>
                  <w:pPr>
                    <w:jc w:val="center"/>
                    <w:rPr>
                      <w:rFonts w:hint="default" w:ascii="Times New Roman" w:hAnsi="Times New Roman" w:cs="Times New Roman"/>
                      <w:color w:val="auto"/>
                      <w:sz w:val="21"/>
                      <w:szCs w:val="21"/>
                    </w:rPr>
                  </w:pPr>
                </w:p>
              </w:tc>
              <w:tc>
                <w:tcPr>
                  <w:tcW w:w="1223" w:type="dxa"/>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颗粒物</w:t>
                  </w:r>
                </w:p>
              </w:tc>
              <w:tc>
                <w:tcPr>
                  <w:tcW w:w="1327" w:type="dxa"/>
                  <w:vAlign w:val="center"/>
                </w:tcPr>
                <w:p>
                  <w:pPr>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167.31</w:t>
                  </w:r>
                </w:p>
              </w:tc>
              <w:tc>
                <w:tcPr>
                  <w:tcW w:w="1328" w:type="dxa"/>
                  <w:vAlign w:val="center"/>
                </w:tcPr>
                <w:p>
                  <w:pPr>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156.563</w:t>
                  </w:r>
                </w:p>
              </w:tc>
              <w:tc>
                <w:tcPr>
                  <w:tcW w:w="1327" w:type="dxa"/>
                  <w:vAlign w:val="center"/>
                </w:tcPr>
                <w:p>
                  <w:pPr>
                    <w:pStyle w:val="8"/>
                    <w:ind w:firstLine="0" w:firstLineChars="0"/>
                    <w:jc w:val="center"/>
                    <w:rPr>
                      <w:rFonts w:hint="default" w:ascii="Times New Roman" w:hAnsi="Times New Roman" w:cs="Times New Roman"/>
                      <w:color w:val="auto"/>
                      <w:kern w:val="2"/>
                      <w:sz w:val="21"/>
                      <w:szCs w:val="21"/>
                      <w:lang w:val="en-US" w:eastAsia="zh-CN"/>
                    </w:rPr>
                  </w:pPr>
                  <w:r>
                    <w:rPr>
                      <w:rFonts w:hint="eastAsia" w:cs="Times New Roman"/>
                      <w:color w:val="auto"/>
                      <w:kern w:val="2"/>
                      <w:sz w:val="21"/>
                      <w:szCs w:val="21"/>
                      <w:lang w:val="en-US" w:eastAsia="zh-CN"/>
                    </w:rPr>
                    <w:t>10.747</w:t>
                  </w:r>
                </w:p>
              </w:tc>
              <w:tc>
                <w:tcPr>
                  <w:tcW w:w="1460" w:type="dxa"/>
                  <w:vAlign w:val="center"/>
                </w:tcPr>
                <w:p>
                  <w:pPr>
                    <w:pStyle w:val="8"/>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rPr>
                    <w:t>10.747</w:t>
                  </w:r>
                </w:p>
              </w:tc>
            </w:tr>
          </w:tbl>
          <w:p>
            <w:pPr>
              <w:pStyle w:val="8"/>
              <w:ind w:left="0" w:leftChars="0" w:firstLine="0" w:firstLineChars="0"/>
              <w:rPr>
                <w:rFonts w:hint="default" w:ascii="Times New Roman" w:hAnsi="Times New Roman" w:eastAsia="宋体" w:cs="Times New Roman"/>
                <w:b/>
                <w:bCs/>
                <w:color w:val="auto"/>
                <w:szCs w:val="24"/>
              </w:rPr>
            </w:pPr>
          </w:p>
          <w:p>
            <w:pPr>
              <w:spacing w:line="360" w:lineRule="auto"/>
              <w:jc w:val="center"/>
              <w:rPr>
                <w:rFonts w:ascii="Times New Roman" w:hAnsi="Times New Roman" w:eastAsia="宋体" w:cs="Times New Roman"/>
                <w:b/>
                <w:bCs/>
                <w:color w:val="auto"/>
                <w:szCs w:val="24"/>
              </w:rPr>
            </w:pPr>
            <w:r>
              <w:rPr>
                <w:rFonts w:ascii="Times New Roman" w:hAnsi="Times New Roman" w:eastAsia="宋体" w:cs="Times New Roman"/>
                <w:b/>
                <w:bCs/>
                <w:color w:val="auto"/>
                <w:szCs w:val="24"/>
              </w:rPr>
              <w:t>表</w:t>
            </w:r>
            <w:r>
              <w:rPr>
                <w:rFonts w:hint="eastAsia" w:ascii="Times New Roman" w:hAnsi="Times New Roman" w:eastAsia="宋体" w:cs="Times New Roman"/>
                <w:b/>
                <w:bCs/>
                <w:color w:val="auto"/>
                <w:szCs w:val="24"/>
              </w:rPr>
              <w:t>3-1</w:t>
            </w:r>
            <w:r>
              <w:rPr>
                <w:rFonts w:hint="eastAsia" w:cs="Times New Roman"/>
                <w:b/>
                <w:bCs/>
                <w:color w:val="auto"/>
                <w:szCs w:val="24"/>
                <w:lang w:val="en-US" w:eastAsia="zh-CN"/>
              </w:rPr>
              <w:t>5</w:t>
            </w:r>
            <w:r>
              <w:rPr>
                <w:rFonts w:hint="eastAsia" w:ascii="Times New Roman" w:hAnsi="Times New Roman" w:eastAsia="宋体" w:cs="Times New Roman"/>
                <w:b/>
                <w:bCs/>
                <w:color w:val="auto"/>
                <w:szCs w:val="24"/>
              </w:rPr>
              <w:t xml:space="preserve">  本项目完成后全厂污染物“三本账”一览表</w:t>
            </w:r>
            <w:r>
              <w:rPr>
                <w:rFonts w:ascii="Times New Roman" w:hAnsi="Times New Roman" w:eastAsia="宋体" w:cs="Times New Roman"/>
                <w:b/>
                <w:bCs/>
                <w:color w:val="auto"/>
                <w:szCs w:val="24"/>
              </w:rPr>
              <w:t>（t/a）</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3"/>
              <w:gridCol w:w="896"/>
              <w:gridCol w:w="1183"/>
              <w:gridCol w:w="1183"/>
              <w:gridCol w:w="1183"/>
              <w:gridCol w:w="1183"/>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843" w:type="dxa"/>
                  <w:vAlign w:val="center"/>
                </w:tcPr>
                <w:p>
                  <w:pPr>
                    <w:jc w:val="center"/>
                    <w:rPr>
                      <w:b/>
                      <w:bCs/>
                      <w:color w:val="auto"/>
                      <w:sz w:val="21"/>
                      <w:szCs w:val="21"/>
                    </w:rPr>
                  </w:pPr>
                  <w:r>
                    <w:rPr>
                      <w:rFonts w:hint="eastAsia"/>
                      <w:b/>
                      <w:bCs/>
                      <w:color w:val="auto"/>
                      <w:sz w:val="21"/>
                      <w:szCs w:val="21"/>
                    </w:rPr>
                    <w:t>类型</w:t>
                  </w:r>
                </w:p>
              </w:tc>
              <w:tc>
                <w:tcPr>
                  <w:tcW w:w="896" w:type="dxa"/>
                  <w:vAlign w:val="center"/>
                </w:tcPr>
                <w:p>
                  <w:pPr>
                    <w:jc w:val="center"/>
                    <w:rPr>
                      <w:b/>
                      <w:bCs/>
                      <w:color w:val="auto"/>
                      <w:sz w:val="21"/>
                      <w:szCs w:val="21"/>
                    </w:rPr>
                  </w:pPr>
                  <w:r>
                    <w:rPr>
                      <w:rFonts w:hint="eastAsia"/>
                      <w:b/>
                      <w:bCs/>
                      <w:color w:val="auto"/>
                      <w:sz w:val="21"/>
                      <w:szCs w:val="21"/>
                    </w:rPr>
                    <w:t>污染物名称</w:t>
                  </w:r>
                </w:p>
              </w:tc>
              <w:tc>
                <w:tcPr>
                  <w:tcW w:w="1183" w:type="dxa"/>
                  <w:vAlign w:val="center"/>
                </w:tcPr>
                <w:p>
                  <w:pPr>
                    <w:jc w:val="center"/>
                    <w:rPr>
                      <w:b/>
                      <w:bCs/>
                      <w:color w:val="auto"/>
                      <w:sz w:val="21"/>
                      <w:szCs w:val="21"/>
                    </w:rPr>
                  </w:pPr>
                  <w:r>
                    <w:rPr>
                      <w:rFonts w:hint="eastAsia"/>
                      <w:b/>
                      <w:bCs/>
                      <w:color w:val="auto"/>
                      <w:sz w:val="21"/>
                      <w:szCs w:val="21"/>
                    </w:rPr>
                    <w:t>现有项目许可</w:t>
                  </w:r>
                  <w:r>
                    <w:rPr>
                      <w:b/>
                      <w:bCs/>
                      <w:color w:val="auto"/>
                      <w:sz w:val="21"/>
                      <w:szCs w:val="21"/>
                    </w:rPr>
                    <w:t>排放量</w:t>
                  </w:r>
                </w:p>
              </w:tc>
              <w:tc>
                <w:tcPr>
                  <w:tcW w:w="1183" w:type="dxa"/>
                  <w:vAlign w:val="center"/>
                </w:tcPr>
                <w:p>
                  <w:pPr>
                    <w:jc w:val="center"/>
                    <w:rPr>
                      <w:b/>
                      <w:bCs/>
                      <w:color w:val="auto"/>
                      <w:sz w:val="21"/>
                      <w:szCs w:val="21"/>
                    </w:rPr>
                  </w:pPr>
                  <w:r>
                    <w:rPr>
                      <w:rFonts w:hint="eastAsia"/>
                      <w:b/>
                      <w:bCs/>
                      <w:color w:val="auto"/>
                      <w:sz w:val="21"/>
                      <w:szCs w:val="21"/>
                    </w:rPr>
                    <w:t>本项目</w:t>
                  </w:r>
                  <w:r>
                    <w:rPr>
                      <w:b/>
                      <w:bCs/>
                      <w:color w:val="auto"/>
                      <w:sz w:val="21"/>
                      <w:szCs w:val="21"/>
                    </w:rPr>
                    <w:t>排放量</w:t>
                  </w:r>
                </w:p>
              </w:tc>
              <w:tc>
                <w:tcPr>
                  <w:tcW w:w="1183" w:type="dxa"/>
                  <w:vAlign w:val="center"/>
                </w:tcPr>
                <w:p>
                  <w:pPr>
                    <w:jc w:val="center"/>
                    <w:rPr>
                      <w:b/>
                      <w:bCs/>
                      <w:color w:val="auto"/>
                      <w:sz w:val="21"/>
                      <w:szCs w:val="21"/>
                    </w:rPr>
                  </w:pPr>
                  <w:r>
                    <w:rPr>
                      <w:rFonts w:hint="eastAsia"/>
                      <w:b/>
                      <w:bCs/>
                      <w:color w:val="auto"/>
                      <w:sz w:val="21"/>
                      <w:szCs w:val="21"/>
                    </w:rPr>
                    <w:t>以新带老削减量</w:t>
                  </w:r>
                </w:p>
              </w:tc>
              <w:tc>
                <w:tcPr>
                  <w:tcW w:w="1183" w:type="dxa"/>
                  <w:vAlign w:val="center"/>
                </w:tcPr>
                <w:p>
                  <w:pPr>
                    <w:jc w:val="center"/>
                    <w:rPr>
                      <w:b/>
                      <w:bCs/>
                      <w:color w:val="auto"/>
                      <w:sz w:val="21"/>
                      <w:szCs w:val="21"/>
                    </w:rPr>
                  </w:pPr>
                  <w:r>
                    <w:rPr>
                      <w:rFonts w:hint="eastAsia"/>
                      <w:b/>
                      <w:bCs/>
                      <w:color w:val="auto"/>
                      <w:sz w:val="21"/>
                      <w:szCs w:val="21"/>
                    </w:rPr>
                    <w:t>项目实施后总</w:t>
                  </w:r>
                  <w:r>
                    <w:rPr>
                      <w:b/>
                      <w:bCs/>
                      <w:color w:val="auto"/>
                      <w:sz w:val="21"/>
                      <w:szCs w:val="21"/>
                    </w:rPr>
                    <w:t>排放量</w:t>
                  </w:r>
                </w:p>
              </w:tc>
              <w:tc>
                <w:tcPr>
                  <w:tcW w:w="1184" w:type="dxa"/>
                  <w:vAlign w:val="center"/>
                </w:tcPr>
                <w:p>
                  <w:pPr>
                    <w:jc w:val="center"/>
                    <w:rPr>
                      <w:b/>
                      <w:bCs/>
                      <w:color w:val="auto"/>
                      <w:sz w:val="21"/>
                      <w:szCs w:val="21"/>
                    </w:rPr>
                  </w:pPr>
                  <w:r>
                    <w:rPr>
                      <w:rFonts w:hint="eastAsia"/>
                      <w:b/>
                      <w:bCs/>
                      <w:color w:val="auto"/>
                      <w:sz w:val="21"/>
                      <w:szCs w:val="21"/>
                    </w:rPr>
                    <w:t>项目实施前后</w:t>
                  </w:r>
                  <w:r>
                    <w:rPr>
                      <w:b/>
                      <w:bCs/>
                      <w:color w:val="auto"/>
                      <w:sz w:val="21"/>
                      <w:szCs w:val="21"/>
                    </w:rPr>
                    <w:t>排放</w:t>
                  </w:r>
                  <w:r>
                    <w:rPr>
                      <w:rFonts w:hint="eastAsia"/>
                      <w:b/>
                      <w:bCs/>
                      <w:color w:val="auto"/>
                      <w:sz w:val="21"/>
                      <w:szCs w:val="21"/>
                    </w:rPr>
                    <w:t>增减</w:t>
                  </w:r>
                  <w:r>
                    <w:rPr>
                      <w:b/>
                      <w:bCs/>
                      <w:color w:val="auto"/>
                      <w:sz w:val="21"/>
                      <w:szCs w:val="21"/>
                    </w:rPr>
                    <w:t>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843" w:type="dxa"/>
                  <w:vMerge w:val="restart"/>
                  <w:vAlign w:val="center"/>
                </w:tcPr>
                <w:p>
                  <w:pPr>
                    <w:jc w:val="center"/>
                    <w:rPr>
                      <w:color w:val="auto"/>
                      <w:sz w:val="21"/>
                      <w:szCs w:val="21"/>
                    </w:rPr>
                  </w:pPr>
                  <w:r>
                    <w:rPr>
                      <w:rFonts w:hint="eastAsia"/>
                      <w:color w:val="auto"/>
                      <w:sz w:val="21"/>
                      <w:szCs w:val="21"/>
                    </w:rPr>
                    <w:t>废水</w:t>
                  </w:r>
                </w:p>
              </w:tc>
              <w:tc>
                <w:tcPr>
                  <w:tcW w:w="896" w:type="dxa"/>
                  <w:vAlign w:val="center"/>
                </w:tcPr>
                <w:p>
                  <w:pPr>
                    <w:pStyle w:val="103"/>
                    <w:spacing w:line="240" w:lineRule="auto"/>
                    <w:ind w:left="-120" w:leftChars="0" w:right="-120" w:rightChars="0" w:firstLine="0" w:firstLineChars="0"/>
                    <w:jc w:val="center"/>
                    <w:rPr>
                      <w:rFonts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废水量</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1020</w:t>
                  </w:r>
                </w:p>
              </w:tc>
              <w:tc>
                <w:tcPr>
                  <w:tcW w:w="118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120</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w:t>
                  </w:r>
                </w:p>
              </w:tc>
              <w:tc>
                <w:tcPr>
                  <w:tcW w:w="1183" w:type="dxa"/>
                  <w:vAlign w:val="center"/>
                </w:tcPr>
                <w:p>
                  <w:pPr>
                    <w:pStyle w:val="103"/>
                    <w:spacing w:line="240" w:lineRule="auto"/>
                    <w:ind w:left="-120" w:leftChars="0" w:right="-120" w:rightChars="0" w:firstLine="0" w:firstLineChars="0"/>
                    <w:jc w:val="center"/>
                    <w:rPr>
                      <w:rFonts w:hint="default"/>
                      <w:bCs/>
                      <w:color w:val="auto"/>
                      <w:kern w:val="2"/>
                      <w:sz w:val="21"/>
                      <w:szCs w:val="21"/>
                      <w:lang w:val="en-US" w:eastAsia="zh-CN"/>
                    </w:rPr>
                  </w:pPr>
                  <w:r>
                    <w:rPr>
                      <w:rFonts w:hint="eastAsia"/>
                      <w:bCs/>
                      <w:color w:val="auto"/>
                      <w:kern w:val="2"/>
                      <w:sz w:val="21"/>
                      <w:szCs w:val="21"/>
                      <w:lang w:val="en-US" w:eastAsia="zh-CN"/>
                    </w:rPr>
                    <w:t>1140</w:t>
                  </w:r>
                </w:p>
              </w:tc>
              <w:tc>
                <w:tcPr>
                  <w:tcW w:w="1184" w:type="dxa"/>
                  <w:vAlign w:val="center"/>
                </w:tcPr>
                <w:p>
                  <w:pPr>
                    <w:pStyle w:val="103"/>
                    <w:spacing w:line="240" w:lineRule="auto"/>
                    <w:ind w:left="-120" w:leftChars="0" w:right="-120" w:rightChars="0" w:firstLine="0" w:firstLineChars="0"/>
                    <w:jc w:val="center"/>
                    <w:rPr>
                      <w:rFonts w:hint="default"/>
                      <w:bCs/>
                      <w:color w:val="auto"/>
                      <w:kern w:val="2"/>
                      <w:sz w:val="21"/>
                      <w:szCs w:val="21"/>
                      <w:lang w:val="en-US" w:eastAsia="zh-CN"/>
                    </w:rPr>
                  </w:pPr>
                  <w:r>
                    <w:rPr>
                      <w:rFonts w:hint="eastAsia"/>
                      <w:bCs/>
                      <w:color w:val="auto"/>
                      <w:kern w:val="2"/>
                      <w:sz w:val="21"/>
                      <w:szCs w:val="21"/>
                      <w:lang w:val="en-US" w:eastAsia="zh-CN"/>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843" w:type="dxa"/>
                  <w:vMerge w:val="continue"/>
                  <w:vAlign w:val="center"/>
                </w:tcPr>
                <w:p>
                  <w:pPr>
                    <w:jc w:val="center"/>
                    <w:rPr>
                      <w:color w:val="auto"/>
                      <w:sz w:val="21"/>
                      <w:szCs w:val="21"/>
                    </w:rPr>
                  </w:pPr>
                </w:p>
              </w:tc>
              <w:tc>
                <w:tcPr>
                  <w:tcW w:w="896" w:type="dxa"/>
                  <w:vAlign w:val="center"/>
                </w:tcPr>
                <w:p>
                  <w:pPr>
                    <w:pStyle w:val="103"/>
                    <w:spacing w:line="240" w:lineRule="auto"/>
                    <w:ind w:left="-120" w:leftChars="0" w:right="-120" w:rightChars="0" w:firstLine="0" w:firstLineChars="0"/>
                    <w:jc w:val="center"/>
                    <w:rPr>
                      <w:rFonts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COD</w:t>
                  </w:r>
                  <w:r>
                    <w:rPr>
                      <w:rFonts w:hint="eastAsia"/>
                      <w:bCs/>
                      <w:color w:val="auto"/>
                      <w:kern w:val="2"/>
                      <w:sz w:val="21"/>
                      <w:szCs w:val="21"/>
                      <w:vertAlign w:val="subscript"/>
                      <w:lang w:val="en-US" w:eastAsia="zh-CN"/>
                    </w:rPr>
                    <w:t>C</w:t>
                  </w:r>
                  <w:r>
                    <w:rPr>
                      <w:rFonts w:hint="eastAsia"/>
                      <w:bCs/>
                      <w:color w:val="auto"/>
                      <w:kern w:val="2"/>
                      <w:sz w:val="21"/>
                      <w:szCs w:val="21"/>
                      <w:vertAlign w:val="subscript"/>
                    </w:rPr>
                    <w:t>r</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0.051</w:t>
                  </w:r>
                </w:p>
              </w:tc>
              <w:tc>
                <w:tcPr>
                  <w:tcW w:w="118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olor w:val="auto"/>
                      <w:sz w:val="21"/>
                      <w:szCs w:val="21"/>
                      <w:lang w:val="en-US" w:eastAsia="zh-CN"/>
                    </w:rPr>
                    <w:t>0.005</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0.01</w:t>
                  </w:r>
                </w:p>
              </w:tc>
              <w:tc>
                <w:tcPr>
                  <w:tcW w:w="1183" w:type="dxa"/>
                  <w:vAlign w:val="center"/>
                </w:tcPr>
                <w:p>
                  <w:pPr>
                    <w:pStyle w:val="103"/>
                    <w:spacing w:line="240" w:lineRule="auto"/>
                    <w:ind w:left="-120" w:leftChars="0" w:right="-120" w:rightChars="0" w:firstLine="0" w:firstLineChars="0"/>
                    <w:jc w:val="center"/>
                    <w:rPr>
                      <w:rFonts w:hint="default"/>
                      <w:bCs/>
                      <w:color w:val="auto"/>
                      <w:kern w:val="2"/>
                      <w:sz w:val="21"/>
                      <w:szCs w:val="21"/>
                      <w:lang w:val="en-US" w:eastAsia="zh-CN"/>
                    </w:rPr>
                  </w:pPr>
                  <w:r>
                    <w:rPr>
                      <w:rFonts w:hint="eastAsia"/>
                      <w:bCs/>
                      <w:color w:val="auto"/>
                      <w:kern w:val="2"/>
                      <w:sz w:val="21"/>
                      <w:szCs w:val="21"/>
                      <w:lang w:val="en-US" w:eastAsia="zh-CN"/>
                    </w:rPr>
                    <w:t>0.046</w:t>
                  </w:r>
                </w:p>
              </w:tc>
              <w:tc>
                <w:tcPr>
                  <w:tcW w:w="1184" w:type="dxa"/>
                  <w:vAlign w:val="center"/>
                </w:tcPr>
                <w:p>
                  <w:pPr>
                    <w:pStyle w:val="103"/>
                    <w:spacing w:line="240" w:lineRule="auto"/>
                    <w:ind w:left="-120" w:leftChars="0" w:right="-120" w:rightChars="0" w:firstLine="0" w:firstLineChars="0"/>
                    <w:jc w:val="center"/>
                    <w:rPr>
                      <w:rFonts w:hint="default"/>
                      <w:bCs/>
                      <w:color w:val="auto"/>
                      <w:kern w:val="2"/>
                      <w:sz w:val="21"/>
                      <w:szCs w:val="21"/>
                      <w:lang w:val="en-US" w:eastAsia="zh-CN"/>
                    </w:rPr>
                  </w:pPr>
                  <w:r>
                    <w:rPr>
                      <w:rFonts w:hint="eastAsia"/>
                      <w:bCs/>
                      <w:color w:val="auto"/>
                      <w:kern w:val="2"/>
                      <w:sz w:val="21"/>
                      <w:szCs w:val="21"/>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843" w:type="dxa"/>
                  <w:vMerge w:val="continue"/>
                  <w:vAlign w:val="center"/>
                </w:tcPr>
                <w:p>
                  <w:pPr>
                    <w:jc w:val="center"/>
                    <w:rPr>
                      <w:color w:val="auto"/>
                      <w:sz w:val="21"/>
                      <w:szCs w:val="21"/>
                    </w:rPr>
                  </w:pPr>
                </w:p>
              </w:tc>
              <w:tc>
                <w:tcPr>
                  <w:tcW w:w="896" w:type="dxa"/>
                  <w:vAlign w:val="center"/>
                </w:tcPr>
                <w:p>
                  <w:pPr>
                    <w:pStyle w:val="103"/>
                    <w:spacing w:line="240" w:lineRule="auto"/>
                    <w:ind w:left="-120" w:leftChars="0" w:right="-120" w:rightChars="0" w:firstLine="0" w:firstLineChars="0"/>
                    <w:jc w:val="center"/>
                    <w:rPr>
                      <w:rFonts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NH</w:t>
                  </w:r>
                  <w:r>
                    <w:rPr>
                      <w:rFonts w:hint="eastAsia"/>
                      <w:bCs/>
                      <w:color w:val="auto"/>
                      <w:kern w:val="2"/>
                      <w:sz w:val="21"/>
                      <w:szCs w:val="21"/>
                      <w:vertAlign w:val="subscript"/>
                    </w:rPr>
                    <w:t>3</w:t>
                  </w:r>
                  <w:r>
                    <w:rPr>
                      <w:rFonts w:hint="eastAsia"/>
                      <w:bCs/>
                      <w:color w:val="auto"/>
                      <w:kern w:val="2"/>
                      <w:sz w:val="21"/>
                      <w:szCs w:val="21"/>
                    </w:rPr>
                    <w:t>-N</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0.006</w:t>
                  </w:r>
                </w:p>
              </w:tc>
              <w:tc>
                <w:tcPr>
                  <w:tcW w:w="1183"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olor w:val="auto"/>
                      <w:sz w:val="21"/>
                      <w:szCs w:val="21"/>
                      <w:lang w:val="en-US" w:eastAsia="zh-CN"/>
                    </w:rPr>
                    <w:t>0.000</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0.004</w:t>
                  </w:r>
                </w:p>
              </w:tc>
              <w:tc>
                <w:tcPr>
                  <w:tcW w:w="1183" w:type="dxa"/>
                  <w:vAlign w:val="center"/>
                </w:tcPr>
                <w:p>
                  <w:pPr>
                    <w:pStyle w:val="103"/>
                    <w:spacing w:line="240" w:lineRule="auto"/>
                    <w:ind w:left="-120" w:leftChars="0" w:right="-120" w:rightChars="0" w:firstLine="0" w:firstLineChars="0"/>
                    <w:jc w:val="center"/>
                    <w:rPr>
                      <w:rFonts w:hint="default"/>
                      <w:bCs/>
                      <w:color w:val="auto"/>
                      <w:kern w:val="2"/>
                      <w:sz w:val="21"/>
                      <w:szCs w:val="21"/>
                      <w:lang w:val="en-US" w:eastAsia="zh-CN"/>
                    </w:rPr>
                  </w:pPr>
                  <w:r>
                    <w:rPr>
                      <w:rFonts w:hint="eastAsia"/>
                      <w:bCs/>
                      <w:color w:val="auto"/>
                      <w:kern w:val="2"/>
                      <w:sz w:val="21"/>
                      <w:szCs w:val="21"/>
                      <w:lang w:val="en-US" w:eastAsia="zh-CN"/>
                    </w:rPr>
                    <w:t>0.002</w:t>
                  </w:r>
                </w:p>
              </w:tc>
              <w:tc>
                <w:tcPr>
                  <w:tcW w:w="1184" w:type="dxa"/>
                  <w:vAlign w:val="center"/>
                </w:tcPr>
                <w:p>
                  <w:pPr>
                    <w:pStyle w:val="103"/>
                    <w:spacing w:line="240" w:lineRule="auto"/>
                    <w:ind w:left="-120" w:leftChars="0" w:right="-120" w:rightChars="0" w:firstLine="0" w:firstLineChars="0"/>
                    <w:jc w:val="center"/>
                    <w:rPr>
                      <w:rFonts w:hint="default"/>
                      <w:bCs/>
                      <w:color w:val="auto"/>
                      <w:kern w:val="2"/>
                      <w:sz w:val="21"/>
                      <w:szCs w:val="21"/>
                      <w:lang w:val="en-US" w:eastAsia="zh-CN"/>
                    </w:rPr>
                  </w:pPr>
                  <w:r>
                    <w:rPr>
                      <w:rFonts w:hint="eastAsia"/>
                      <w:bCs/>
                      <w:color w:val="auto"/>
                      <w:kern w:val="2"/>
                      <w:sz w:val="21"/>
                      <w:szCs w:val="21"/>
                      <w:lang w:val="en-US" w:eastAsia="zh-CN"/>
                    </w:rPr>
                    <w:t>-0.004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843" w:type="dxa"/>
                  <w:vMerge w:val="restart"/>
                  <w:vAlign w:val="center"/>
                </w:tcPr>
                <w:p>
                  <w:pPr>
                    <w:jc w:val="center"/>
                    <w:rPr>
                      <w:color w:val="auto"/>
                      <w:sz w:val="21"/>
                      <w:szCs w:val="21"/>
                    </w:rPr>
                  </w:pPr>
                  <w:r>
                    <w:rPr>
                      <w:rFonts w:hint="eastAsia"/>
                      <w:color w:val="auto"/>
                      <w:sz w:val="21"/>
                      <w:szCs w:val="21"/>
                    </w:rPr>
                    <w:t>废气</w:t>
                  </w:r>
                </w:p>
              </w:tc>
              <w:tc>
                <w:tcPr>
                  <w:tcW w:w="896" w:type="dxa"/>
                  <w:vAlign w:val="center"/>
                </w:tcPr>
                <w:p>
                  <w:pPr>
                    <w:pStyle w:val="103"/>
                    <w:spacing w:line="240" w:lineRule="auto"/>
                    <w:ind w:left="-120" w:leftChars="0" w:right="-120" w:rightChars="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kern w:val="2"/>
                      <w:sz w:val="21"/>
                      <w:szCs w:val="21"/>
                    </w:rPr>
                    <w:t>VOCs</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0.714</w:t>
                  </w:r>
                </w:p>
              </w:tc>
              <w:tc>
                <w:tcPr>
                  <w:tcW w:w="1183" w:type="dxa"/>
                  <w:vAlign w:val="center"/>
                </w:tcPr>
                <w:p>
                  <w:pPr>
                    <w:pStyle w:val="8"/>
                    <w:ind w:firstLine="0" w:firstLineChars="0"/>
                    <w:jc w:val="center"/>
                    <w:rPr>
                      <w:rFonts w:hint="default" w:ascii="宋体" w:hAnsi="宋体" w:cs="宋体"/>
                      <w:color w:val="auto"/>
                      <w:sz w:val="21"/>
                      <w:szCs w:val="21"/>
                      <w:lang w:val="en-US"/>
                    </w:rPr>
                  </w:pPr>
                  <w:r>
                    <w:rPr>
                      <w:rFonts w:hint="eastAsia"/>
                      <w:color w:val="auto"/>
                      <w:kern w:val="2"/>
                      <w:sz w:val="21"/>
                      <w:szCs w:val="21"/>
                      <w:lang w:val="en-US" w:eastAsia="zh-CN"/>
                    </w:rPr>
                    <w:t>0.71</w:t>
                  </w:r>
                </w:p>
              </w:tc>
              <w:tc>
                <w:tcPr>
                  <w:tcW w:w="1183" w:type="dxa"/>
                  <w:vAlign w:val="center"/>
                </w:tcPr>
                <w:p>
                  <w:pPr>
                    <w:jc w:val="center"/>
                    <w:rPr>
                      <w:rFonts w:hint="default"/>
                      <w:color w:val="auto"/>
                      <w:sz w:val="21"/>
                      <w:szCs w:val="21"/>
                      <w:lang w:val="en-US"/>
                    </w:rPr>
                  </w:pPr>
                  <w:r>
                    <w:rPr>
                      <w:rFonts w:hint="eastAsia"/>
                      <w:bCs/>
                      <w:color w:val="auto"/>
                      <w:kern w:val="2"/>
                      <w:sz w:val="21"/>
                      <w:szCs w:val="21"/>
                      <w:lang w:val="en-US" w:eastAsia="zh-CN"/>
                    </w:rPr>
                    <w:t>0.714</w:t>
                  </w:r>
                </w:p>
              </w:tc>
              <w:tc>
                <w:tcPr>
                  <w:tcW w:w="1183" w:type="dxa"/>
                  <w:vAlign w:val="center"/>
                </w:tcPr>
                <w:p>
                  <w:pPr>
                    <w:pStyle w:val="8"/>
                    <w:ind w:firstLine="0"/>
                    <w:jc w:val="center"/>
                    <w:rPr>
                      <w:rFonts w:hint="default" w:ascii="宋体" w:hAnsi="宋体" w:eastAsia="宋体" w:cs="宋体"/>
                      <w:color w:val="auto"/>
                      <w:sz w:val="21"/>
                      <w:szCs w:val="21"/>
                      <w:lang w:val="en-US" w:eastAsia="zh-CN"/>
                    </w:rPr>
                  </w:pPr>
                  <w:r>
                    <w:rPr>
                      <w:rFonts w:hint="eastAsia"/>
                      <w:color w:val="auto"/>
                      <w:kern w:val="2"/>
                      <w:sz w:val="21"/>
                      <w:szCs w:val="21"/>
                      <w:lang w:val="en-US" w:eastAsia="zh-CN"/>
                    </w:rPr>
                    <w:t>0.71</w:t>
                  </w:r>
                </w:p>
              </w:tc>
              <w:tc>
                <w:tcPr>
                  <w:tcW w:w="1184" w:type="dxa"/>
                  <w:vAlign w:val="center"/>
                </w:tcPr>
                <w:p>
                  <w:pPr>
                    <w:pStyle w:val="8"/>
                    <w:ind w:firstLine="0" w:firstLineChars="0"/>
                    <w:jc w:val="center"/>
                    <w:rPr>
                      <w:color w:val="auto"/>
                      <w:sz w:val="21"/>
                      <w:szCs w:val="21"/>
                    </w:rPr>
                  </w:pPr>
                  <w:r>
                    <w:rPr>
                      <w:rFonts w:hint="eastAsia"/>
                      <w:color w:val="auto"/>
                      <w:kern w:val="2"/>
                      <w:sz w:val="21"/>
                      <w:szCs w:val="21"/>
                      <w:lang w:val="en-US" w:eastAsia="zh-CN"/>
                    </w:rPr>
                    <w:t>-</w:t>
                  </w:r>
                  <w:r>
                    <w:rPr>
                      <w:rFonts w:hint="eastAsia"/>
                      <w:bCs/>
                      <w:color w:val="auto"/>
                      <w:kern w:val="2"/>
                      <w:sz w:val="21"/>
                      <w:szCs w:val="21"/>
                      <w:lang w:val="en-US" w:eastAsia="zh-CN"/>
                    </w:rPr>
                    <w:t>0.004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843" w:type="dxa"/>
                  <w:vMerge w:val="continue"/>
                  <w:vAlign w:val="center"/>
                </w:tcPr>
                <w:p>
                  <w:pPr>
                    <w:jc w:val="center"/>
                    <w:rPr>
                      <w:rFonts w:hint="eastAsia"/>
                      <w:color w:val="auto"/>
                      <w:sz w:val="21"/>
                      <w:szCs w:val="21"/>
                    </w:rPr>
                  </w:pPr>
                </w:p>
              </w:tc>
              <w:tc>
                <w:tcPr>
                  <w:tcW w:w="896" w:type="dxa"/>
                  <w:vAlign w:val="center"/>
                </w:tcPr>
                <w:p>
                  <w:pPr>
                    <w:pStyle w:val="103"/>
                    <w:spacing w:line="240" w:lineRule="auto"/>
                    <w:ind w:left="-120" w:leftChars="0" w:right="-120" w:rightChars="0" w:firstLine="0" w:firstLineChars="0"/>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颗粒物</w:t>
                  </w:r>
                </w:p>
              </w:tc>
              <w:tc>
                <w:tcPr>
                  <w:tcW w:w="118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bCs/>
                      <w:color w:val="auto"/>
                      <w:kern w:val="2"/>
                      <w:sz w:val="21"/>
                      <w:szCs w:val="21"/>
                      <w:lang w:val="en-US" w:eastAsia="zh-CN" w:bidi="ar-SA"/>
                    </w:rPr>
                  </w:pPr>
                  <w:r>
                    <w:rPr>
                      <w:rFonts w:hint="eastAsia"/>
                      <w:bCs/>
                      <w:color w:val="auto"/>
                      <w:kern w:val="2"/>
                      <w:sz w:val="21"/>
                      <w:szCs w:val="21"/>
                      <w:lang w:val="en-US" w:eastAsia="zh-CN"/>
                    </w:rPr>
                    <w:t>0.847</w:t>
                  </w:r>
                </w:p>
              </w:tc>
              <w:tc>
                <w:tcPr>
                  <w:tcW w:w="1183" w:type="dxa"/>
                  <w:vAlign w:val="center"/>
                </w:tcPr>
                <w:p>
                  <w:pPr>
                    <w:pStyle w:val="8"/>
                    <w:ind w:firstLine="0" w:firstLineChars="0"/>
                    <w:jc w:val="center"/>
                    <w:rPr>
                      <w:rFonts w:hint="default" w:eastAsia="宋体"/>
                      <w:color w:val="auto"/>
                      <w:kern w:val="2"/>
                      <w:sz w:val="21"/>
                      <w:szCs w:val="21"/>
                      <w:lang w:val="en-US" w:eastAsia="zh-CN"/>
                    </w:rPr>
                  </w:pPr>
                  <w:r>
                    <w:rPr>
                      <w:rFonts w:hint="eastAsia"/>
                      <w:color w:val="auto"/>
                      <w:sz w:val="21"/>
                      <w:szCs w:val="21"/>
                      <w:lang w:val="en-US" w:eastAsia="zh-CN"/>
                    </w:rPr>
                    <w:t>10.747</w:t>
                  </w:r>
                </w:p>
              </w:tc>
              <w:tc>
                <w:tcPr>
                  <w:tcW w:w="1183"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0.676</w:t>
                  </w:r>
                </w:p>
              </w:tc>
              <w:tc>
                <w:tcPr>
                  <w:tcW w:w="1183" w:type="dxa"/>
                  <w:vAlign w:val="center"/>
                </w:tcPr>
                <w:p>
                  <w:pPr>
                    <w:pStyle w:val="8"/>
                    <w:ind w:firstLine="0"/>
                    <w:jc w:val="center"/>
                    <w:rPr>
                      <w:rFonts w:hint="default"/>
                      <w:color w:val="auto"/>
                      <w:kern w:val="2"/>
                      <w:sz w:val="21"/>
                      <w:szCs w:val="21"/>
                      <w:lang w:val="en-US" w:eastAsia="zh-CN"/>
                    </w:rPr>
                  </w:pPr>
                  <w:r>
                    <w:rPr>
                      <w:rFonts w:hint="eastAsia"/>
                      <w:color w:val="auto"/>
                      <w:kern w:val="2"/>
                      <w:sz w:val="21"/>
                      <w:szCs w:val="21"/>
                      <w:lang w:val="en-US" w:eastAsia="zh-CN"/>
                    </w:rPr>
                    <w:t>10.918</w:t>
                  </w:r>
                </w:p>
              </w:tc>
              <w:tc>
                <w:tcPr>
                  <w:tcW w:w="1184" w:type="dxa"/>
                  <w:vAlign w:val="center"/>
                </w:tcPr>
                <w:p>
                  <w:pPr>
                    <w:pStyle w:val="8"/>
                    <w:ind w:firstLine="0" w:firstLineChars="0"/>
                    <w:jc w:val="center"/>
                    <w:rPr>
                      <w:rFonts w:hint="default" w:eastAsia="宋体"/>
                      <w:color w:val="auto"/>
                      <w:kern w:val="2"/>
                      <w:sz w:val="21"/>
                      <w:szCs w:val="21"/>
                      <w:lang w:val="en-US" w:eastAsia="zh-CN"/>
                    </w:rPr>
                  </w:pPr>
                  <w:r>
                    <w:rPr>
                      <w:rFonts w:hint="eastAsia"/>
                      <w:color w:val="auto"/>
                      <w:kern w:val="2"/>
                      <w:sz w:val="21"/>
                      <w:szCs w:val="21"/>
                      <w:lang w:val="en-US" w:eastAsia="zh-CN"/>
                    </w:rPr>
                    <w:t>+</w:t>
                  </w:r>
                  <w:r>
                    <w:rPr>
                      <w:rFonts w:hint="eastAsia"/>
                      <w:color w:val="auto"/>
                      <w:sz w:val="21"/>
                      <w:szCs w:val="21"/>
                      <w:lang w:val="en-US" w:eastAsia="zh-CN"/>
                    </w:rPr>
                    <w:t>10.071</w:t>
                  </w:r>
                </w:p>
              </w:tc>
            </w:tr>
          </w:tbl>
          <w:p>
            <w:pPr>
              <w:keepNext w:val="0"/>
              <w:keepLines w:val="0"/>
              <w:pageBreakBefore w:val="0"/>
              <w:widowControl w:val="0"/>
              <w:tabs>
                <w:tab w:val="left" w:pos="4288"/>
              </w:tabs>
              <w:kinsoku/>
              <w:wordWrap/>
              <w:overflowPunct/>
              <w:topLinePunct w:val="0"/>
              <w:autoSpaceDE/>
              <w:autoSpaceDN/>
              <w:bidi w:val="0"/>
              <w:adjustRightInd/>
              <w:snapToGrid/>
              <w:spacing w:line="160" w:lineRule="exact"/>
              <w:ind w:firstLine="480" w:firstLineChars="200"/>
              <w:textAlignment w:val="auto"/>
              <w:outlineLvl w:val="2"/>
              <w:rPr>
                <w:rFonts w:hint="default" w:ascii="Times New Roman" w:hAnsi="Times New Roman" w:cs="Times New Roman"/>
                <w:color w:val="auto"/>
                <w:szCs w:val="24"/>
              </w:rPr>
            </w:pP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结合工程分析，企业总量平衡替代方案见下表。</w:t>
            </w:r>
            <w:bookmarkStart w:id="19" w:name="_Toc7399"/>
          </w:p>
          <w:bookmarkEnd w:id="19"/>
          <w:p>
            <w:pPr>
              <w:spacing w:line="360" w:lineRule="auto"/>
              <w:jc w:val="center"/>
              <w:rPr>
                <w:rFonts w:hint="default" w:ascii="Times New Roman" w:hAnsi="Times New Roman" w:eastAsia="宋体" w:cs="Times New Roman"/>
                <w:b/>
                <w:bCs/>
                <w:color w:val="auto"/>
                <w:szCs w:val="24"/>
              </w:rPr>
            </w:pPr>
            <w:r>
              <w:rPr>
                <w:rFonts w:hint="default" w:ascii="Times New Roman" w:hAnsi="Times New Roman" w:eastAsia="宋体" w:cs="Times New Roman"/>
                <w:b/>
                <w:bCs/>
                <w:color w:val="auto"/>
                <w:szCs w:val="24"/>
              </w:rPr>
              <w:t>表3-</w:t>
            </w:r>
            <w:r>
              <w:rPr>
                <w:rFonts w:hint="eastAsia" w:cs="Times New Roman"/>
                <w:b/>
                <w:bCs/>
                <w:color w:val="auto"/>
                <w:szCs w:val="24"/>
                <w:lang w:val="en-US" w:eastAsia="zh-CN"/>
              </w:rPr>
              <w:t>16</w:t>
            </w:r>
            <w:r>
              <w:rPr>
                <w:rFonts w:hint="default" w:ascii="Times New Roman" w:hAnsi="Times New Roman" w:eastAsia="宋体" w:cs="Times New Roman"/>
                <w:b/>
                <w:bCs/>
                <w:color w:val="auto"/>
                <w:szCs w:val="24"/>
              </w:rPr>
              <w:t xml:space="preserve">  项目总量调剂情况（单位：t/a）</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0"/>
              <w:gridCol w:w="1490"/>
              <w:gridCol w:w="1735"/>
              <w:gridCol w:w="1061"/>
              <w:gridCol w:w="2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200" w:type="dxa"/>
                  <w:vAlign w:val="center"/>
                </w:tcPr>
                <w:p>
                  <w:pPr>
                    <w:widowControl/>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类别</w:t>
                  </w:r>
                </w:p>
              </w:tc>
              <w:tc>
                <w:tcPr>
                  <w:tcW w:w="1490" w:type="dxa"/>
                  <w:vAlign w:val="center"/>
                </w:tcPr>
                <w:p>
                  <w:pPr>
                    <w:widowControl/>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污染物名称</w:t>
                  </w:r>
                </w:p>
              </w:tc>
              <w:tc>
                <w:tcPr>
                  <w:tcW w:w="1735" w:type="dxa"/>
                  <w:vAlign w:val="center"/>
                </w:tcPr>
                <w:p>
                  <w:pPr>
                    <w:widowControl/>
                    <w:jc w:val="center"/>
                    <w:rPr>
                      <w:rFonts w:hint="default" w:ascii="Times New Roman" w:hAnsi="Times New Roman" w:cs="Times New Roman"/>
                      <w:b/>
                      <w:color w:val="auto"/>
                      <w:sz w:val="21"/>
                      <w:szCs w:val="21"/>
                      <w:vertAlign w:val="superscript"/>
                    </w:rPr>
                  </w:pPr>
                  <w:r>
                    <w:rPr>
                      <w:rFonts w:hint="default" w:ascii="Times New Roman" w:hAnsi="Times New Roman" w:cs="Times New Roman"/>
                      <w:b/>
                      <w:color w:val="auto"/>
                      <w:sz w:val="21"/>
                      <w:szCs w:val="21"/>
                    </w:rPr>
                    <w:t>项目总量建议值</w:t>
                  </w:r>
                </w:p>
              </w:tc>
              <w:tc>
                <w:tcPr>
                  <w:tcW w:w="1061" w:type="dxa"/>
                  <w:vAlign w:val="center"/>
                </w:tcPr>
                <w:p>
                  <w:pPr>
                    <w:widowControl/>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削减比例</w:t>
                  </w:r>
                </w:p>
              </w:tc>
              <w:tc>
                <w:tcPr>
                  <w:tcW w:w="2167" w:type="dxa"/>
                  <w:vAlign w:val="center"/>
                </w:tcPr>
                <w:p>
                  <w:pPr>
                    <w:widowControl/>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区域平衡替代削减量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200" w:type="dxa"/>
                  <w:vAlign w:val="center"/>
                </w:tcPr>
                <w:p>
                  <w:pPr>
                    <w:adjustRightInd w:val="0"/>
                    <w:snapToGrid w:val="0"/>
                    <w:jc w:val="center"/>
                    <w:textAlignment w:val="baseline"/>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废气</w:t>
                  </w:r>
                </w:p>
              </w:tc>
              <w:tc>
                <w:tcPr>
                  <w:tcW w:w="1490"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颗粒物</w:t>
                  </w:r>
                </w:p>
              </w:tc>
              <w:tc>
                <w:tcPr>
                  <w:tcW w:w="1735" w:type="dxa"/>
                  <w:vAlign w:val="center"/>
                </w:tcPr>
                <w:p>
                  <w:pPr>
                    <w:pStyle w:val="8"/>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color w:val="auto"/>
                      <w:sz w:val="21"/>
                      <w:szCs w:val="21"/>
                      <w:lang w:val="en-US" w:eastAsia="zh-CN"/>
                    </w:rPr>
                    <w:t>10.071</w:t>
                  </w:r>
                </w:p>
              </w:tc>
              <w:tc>
                <w:tcPr>
                  <w:tcW w:w="1061" w:type="dxa"/>
                  <w:vAlign w:val="center"/>
                </w:tcPr>
                <w:p>
                  <w:pPr>
                    <w:widowControl/>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1:</w:t>
                  </w:r>
                  <w:r>
                    <w:rPr>
                      <w:rFonts w:hint="eastAsia"/>
                      <w:color w:val="auto"/>
                      <w:sz w:val="21"/>
                      <w:szCs w:val="21"/>
                      <w:lang w:val="en-US" w:eastAsia="zh-CN"/>
                    </w:rPr>
                    <w:t>1</w:t>
                  </w:r>
                </w:p>
              </w:tc>
              <w:tc>
                <w:tcPr>
                  <w:tcW w:w="2167" w:type="dxa"/>
                  <w:vAlign w:val="center"/>
                </w:tcPr>
                <w:p>
                  <w:pPr>
                    <w:widowControl/>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10.071</w:t>
                  </w:r>
                </w:p>
              </w:tc>
            </w:tr>
          </w:tbl>
          <w:p>
            <w:pPr>
              <w:tabs>
                <w:tab w:val="left" w:pos="4288"/>
              </w:tabs>
              <w:spacing w:line="240" w:lineRule="auto"/>
              <w:ind w:firstLine="480" w:firstLineChars="200"/>
              <w:outlineLvl w:val="2"/>
              <w:rPr>
                <w:rFonts w:hint="default" w:ascii="Times New Roman" w:hAnsi="Times New Roman" w:cs="Times New Roman"/>
                <w:bCs/>
                <w:color w:val="auto"/>
              </w:rPr>
            </w:pPr>
          </w:p>
          <w:p>
            <w:pPr>
              <w:tabs>
                <w:tab w:val="left" w:pos="4288"/>
              </w:tabs>
              <w:spacing w:line="360" w:lineRule="auto"/>
              <w:ind w:firstLine="480" w:firstLineChars="200"/>
              <w:outlineLvl w:val="2"/>
              <w:rPr>
                <w:rFonts w:hint="default" w:ascii="Times New Roman" w:hAnsi="Times New Roman" w:cs="Times New Roman"/>
                <w:bCs/>
                <w:color w:val="auto"/>
              </w:rPr>
            </w:pPr>
            <w:r>
              <w:rPr>
                <w:rFonts w:hint="eastAsia" w:cs="Times New Roman"/>
                <w:color w:val="auto"/>
                <w:kern w:val="0"/>
                <w:sz w:val="24"/>
                <w:szCs w:val="24"/>
                <w:lang w:val="en-US" w:eastAsia="zh-CN" w:bidi="ar"/>
              </w:rPr>
              <w:t>本项目排放的污染物中</w:t>
            </w:r>
            <w:r>
              <w:rPr>
                <w:rFonts w:hint="default" w:ascii="Times New Roman" w:hAnsi="Times New Roman" w:cs="Times New Roman"/>
                <w:bCs/>
                <w:color w:val="auto"/>
              </w:rPr>
              <w:t>COD</w:t>
            </w:r>
            <w:r>
              <w:rPr>
                <w:rFonts w:hint="default" w:ascii="Times New Roman" w:hAnsi="Times New Roman" w:cs="Times New Roman"/>
                <w:bCs/>
                <w:color w:val="auto"/>
                <w:vertAlign w:val="subscript"/>
              </w:rPr>
              <w:t>Cr</w:t>
            </w:r>
            <w:r>
              <w:rPr>
                <w:rFonts w:hint="eastAsia" w:cs="Times New Roman"/>
                <w:color w:val="auto"/>
                <w:kern w:val="0"/>
                <w:sz w:val="24"/>
                <w:szCs w:val="24"/>
                <w:lang w:val="en-US" w:eastAsia="zh-CN" w:bidi="ar"/>
              </w:rPr>
              <w:t>、</w:t>
            </w:r>
            <w:r>
              <w:rPr>
                <w:rFonts w:hint="default" w:ascii="Times New Roman" w:hAnsi="Times New Roman" w:cs="Times New Roman"/>
                <w:bCs/>
                <w:color w:val="auto"/>
              </w:rPr>
              <w:t>NH</w:t>
            </w:r>
            <w:r>
              <w:rPr>
                <w:rFonts w:hint="default" w:ascii="Times New Roman" w:hAnsi="Times New Roman" w:cs="Times New Roman"/>
                <w:bCs/>
                <w:color w:val="auto"/>
                <w:vertAlign w:val="subscript"/>
              </w:rPr>
              <w:t>3</w:t>
            </w:r>
            <w:r>
              <w:rPr>
                <w:rFonts w:hint="default" w:ascii="Times New Roman" w:hAnsi="Times New Roman" w:cs="Times New Roman"/>
                <w:bCs/>
                <w:color w:val="auto"/>
              </w:rPr>
              <w:t>-N</w:t>
            </w:r>
            <w:r>
              <w:rPr>
                <w:rFonts w:hint="eastAsia" w:cs="Times New Roman"/>
                <w:color w:val="auto"/>
                <w:kern w:val="0"/>
                <w:sz w:val="24"/>
                <w:szCs w:val="24"/>
                <w:lang w:val="en-US" w:eastAsia="zh-CN" w:bidi="ar"/>
              </w:rPr>
              <w:t>、</w:t>
            </w:r>
            <w:r>
              <w:rPr>
                <w:rFonts w:hint="default" w:ascii="Times New Roman" w:hAnsi="Times New Roman" w:eastAsia="宋体" w:cs="Times New Roman"/>
                <w:color w:val="auto"/>
                <w:kern w:val="0"/>
                <w:sz w:val="24"/>
                <w:szCs w:val="24"/>
                <w:lang w:val="en-US" w:eastAsia="zh-CN" w:bidi="ar"/>
              </w:rPr>
              <w:t>VOCs</w:t>
            </w:r>
            <w:r>
              <w:rPr>
                <w:rFonts w:hint="default" w:ascii="Times New Roman" w:hAnsi="Times New Roman" w:cs="Times New Roman"/>
                <w:color w:val="auto"/>
                <w:kern w:val="0"/>
                <w:sz w:val="24"/>
                <w:szCs w:val="24"/>
                <w:lang w:val="en-US" w:eastAsia="zh-CN" w:bidi="ar"/>
              </w:rPr>
              <w:t>从原有项目中进行替代</w:t>
            </w:r>
            <w:r>
              <w:rPr>
                <w:rFonts w:hint="eastAsia" w:ascii="Times New Roman" w:hAnsi="Times New Roman" w:cs="Times New Roman"/>
                <w:color w:val="auto"/>
                <w:kern w:val="0"/>
                <w:sz w:val="24"/>
                <w:szCs w:val="24"/>
                <w:lang w:val="en-US" w:eastAsia="zh-CN" w:bidi="ar"/>
              </w:rPr>
              <w:t>，</w:t>
            </w:r>
            <w:r>
              <w:rPr>
                <w:rFonts w:hint="eastAsia" w:ascii="Times New Roman" w:hAnsi="Times New Roman" w:eastAsia="宋体" w:cs="Times New Roman"/>
                <w:color w:val="auto"/>
                <w:kern w:val="0"/>
                <w:sz w:val="24"/>
                <w:szCs w:val="24"/>
                <w:vertAlign w:val="baseline"/>
                <w:lang w:val="en-US" w:eastAsia="zh-CN" w:bidi="ar"/>
              </w:rPr>
              <w:t>未突破</w:t>
            </w:r>
            <w:r>
              <w:rPr>
                <w:rFonts w:hint="eastAsia" w:cs="Times New Roman"/>
                <w:color w:val="auto"/>
                <w:kern w:val="0"/>
                <w:sz w:val="24"/>
                <w:szCs w:val="24"/>
                <w:lang w:val="en-US" w:eastAsia="zh-CN" w:bidi="ar"/>
              </w:rPr>
              <w:t>原有项目的总量控制指标</w:t>
            </w:r>
            <w:r>
              <w:rPr>
                <w:rFonts w:hint="default" w:ascii="Times New Roman" w:hAnsi="Times New Roman" w:cs="Times New Roman"/>
                <w:bCs/>
                <w:color w:val="auto"/>
              </w:rPr>
              <w:t>。</w:t>
            </w:r>
          </w:p>
          <w:p>
            <w:pPr>
              <w:tabs>
                <w:tab w:val="left" w:pos="4288"/>
              </w:tabs>
              <w:spacing w:line="360" w:lineRule="auto"/>
              <w:ind w:firstLine="480" w:firstLineChars="200"/>
              <w:outlineLvl w:val="2"/>
              <w:rPr>
                <w:bCs/>
                <w:color w:val="auto"/>
              </w:rPr>
            </w:pPr>
            <w:r>
              <w:rPr>
                <w:rFonts w:hint="eastAsia"/>
                <w:color w:val="auto"/>
              </w:rPr>
              <w:t>根据《建设项目主要污染物排放总量指标审核及管理暂行办法》（环发〔2014〕197号）、《关于印发湖州市涉气项目总量调剂实施办法的通知》（湖治气办〔2021〕11号）等有关规定，本项目颗粒物按照1:</w:t>
            </w:r>
            <w:r>
              <w:rPr>
                <w:rFonts w:hint="eastAsia"/>
                <w:color w:val="auto"/>
                <w:lang w:val="en-US" w:eastAsia="zh-CN"/>
              </w:rPr>
              <w:t>1</w:t>
            </w:r>
            <w:r>
              <w:rPr>
                <w:rFonts w:hint="eastAsia"/>
                <w:color w:val="auto"/>
              </w:rPr>
              <w:t>进行区域削减替代</w:t>
            </w:r>
            <w:r>
              <w:rPr>
                <w:rFonts w:hint="eastAsia"/>
                <w:color w:val="auto"/>
                <w:szCs w:val="24"/>
                <w:lang w:eastAsia="zh-CN"/>
              </w:rPr>
              <w:t>，</w:t>
            </w:r>
            <w:r>
              <w:rPr>
                <w:rFonts w:hint="eastAsia"/>
                <w:color w:val="auto"/>
              </w:rPr>
              <w:t>颗粒物削减替代量</w:t>
            </w:r>
            <w:r>
              <w:rPr>
                <w:rFonts w:hint="eastAsia"/>
                <w:color w:val="auto"/>
                <w:lang w:val="en-US" w:eastAsia="zh-CN"/>
              </w:rPr>
              <w:t>为10.071</w:t>
            </w:r>
            <w:r>
              <w:rPr>
                <w:rFonts w:hint="eastAsia"/>
                <w:color w:val="auto"/>
              </w:rPr>
              <w:t>t/a。</w:t>
            </w:r>
          </w:p>
          <w:p>
            <w:pPr>
              <w:tabs>
                <w:tab w:val="left" w:pos="4288"/>
              </w:tabs>
              <w:spacing w:line="360" w:lineRule="auto"/>
              <w:ind w:firstLine="480" w:firstLineChars="200"/>
              <w:outlineLvl w:val="2"/>
              <w:rPr>
                <w:rFonts w:hint="eastAsia"/>
                <w:bCs/>
                <w:color w:val="auto"/>
              </w:rPr>
            </w:pPr>
            <w:r>
              <w:rPr>
                <w:rFonts w:hint="eastAsia"/>
                <w:bCs/>
                <w:color w:val="auto"/>
              </w:rPr>
              <w:t>本项目新增污染物总量由当地政府在区域内进行调剂，满足总量控制要求。</w:t>
            </w:r>
          </w:p>
          <w:p>
            <w:pPr>
              <w:pStyle w:val="40"/>
              <w:rPr>
                <w:rFonts w:hint="default"/>
                <w:color w:val="auto"/>
              </w:rPr>
            </w:pPr>
          </w:p>
        </w:tc>
      </w:tr>
    </w:tbl>
    <w:p>
      <w:pPr>
        <w:rPr>
          <w:rFonts w:hint="default" w:ascii="Times New Roman" w:hAnsi="Times New Roman" w:eastAsia="宋体" w:cs="Times New Roman"/>
          <w:b/>
          <w:color w:val="FF0000"/>
        </w:rPr>
      </w:pPr>
      <w:bookmarkStart w:id="20" w:name="_Toc99693255"/>
      <w:r>
        <w:rPr>
          <w:rFonts w:hint="default" w:ascii="Times New Roman" w:hAnsi="Times New Roman" w:eastAsia="宋体" w:cs="Times New Roman"/>
          <w:b/>
          <w:color w:val="FF0000"/>
        </w:rPr>
        <w:br w:type="page"/>
      </w:r>
    </w:p>
    <w:p>
      <w:pPr>
        <w:pStyle w:val="4"/>
        <w:rPr>
          <w:rFonts w:hint="default" w:ascii="Times New Roman" w:hAnsi="Times New Roman" w:eastAsia="宋体" w:cs="Times New Roman"/>
          <w:b/>
          <w:color w:val="auto"/>
        </w:rPr>
      </w:pPr>
      <w:r>
        <w:rPr>
          <w:rFonts w:hint="default" w:ascii="Times New Roman" w:hAnsi="Times New Roman" w:eastAsia="宋体" w:cs="Times New Roman"/>
          <w:b/>
          <w:color w:val="auto"/>
        </w:rPr>
        <w:t>四、主要环境影响和保护措施</w:t>
      </w:r>
      <w:bookmarkEnd w:id="20"/>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7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4" w:hRule="atLeast"/>
        </w:trPr>
        <w:tc>
          <w:tcPr>
            <w:tcW w:w="710" w:type="dxa"/>
            <w:vAlign w:val="center"/>
          </w:tcPr>
          <w:p>
            <w:pPr>
              <w:jc w:val="center"/>
              <w:rPr>
                <w:rFonts w:hint="default" w:ascii="Times New Roman" w:hAnsi="Times New Roman" w:cs="Times New Roman"/>
                <w:b/>
                <w:color w:val="auto"/>
                <w:szCs w:val="24"/>
              </w:rPr>
            </w:pPr>
            <w:r>
              <w:rPr>
                <w:rFonts w:hint="default" w:ascii="Times New Roman" w:hAnsi="Times New Roman" w:cs="Times New Roman"/>
                <w:b/>
                <w:color w:val="auto"/>
                <w:szCs w:val="24"/>
              </w:rPr>
              <w:t>施工期环境影响和保护措施</w:t>
            </w:r>
          </w:p>
        </w:tc>
        <w:tc>
          <w:tcPr>
            <w:tcW w:w="7812" w:type="dxa"/>
          </w:tcPr>
          <w:p>
            <w:pPr>
              <w:keepNext w:val="0"/>
              <w:keepLines w:val="0"/>
              <w:pageBreakBefore w:val="0"/>
              <w:widowControl w:val="0"/>
              <w:tabs>
                <w:tab w:val="left" w:pos="4288"/>
              </w:tabs>
              <w:kinsoku/>
              <w:wordWrap/>
              <w:overflowPunct/>
              <w:topLinePunct w:val="0"/>
              <w:autoSpaceDE/>
              <w:autoSpaceDN/>
              <w:bidi w:val="0"/>
              <w:adjustRightInd/>
              <w:snapToGrid/>
              <w:spacing w:line="160" w:lineRule="exact"/>
              <w:ind w:firstLine="480" w:firstLineChars="200"/>
              <w:textAlignment w:val="auto"/>
              <w:outlineLvl w:val="2"/>
              <w:rPr>
                <w:rFonts w:hint="default" w:ascii="Times New Roman" w:hAnsi="Times New Roman" w:cs="Times New Roman"/>
                <w:color w:val="auto"/>
              </w:rPr>
            </w:pPr>
          </w:p>
          <w:p>
            <w:pPr>
              <w:tabs>
                <w:tab w:val="left" w:pos="4288"/>
              </w:tabs>
              <w:spacing w:line="360" w:lineRule="auto"/>
              <w:ind w:firstLine="480" w:firstLineChars="200"/>
              <w:outlineLvl w:val="2"/>
              <w:rPr>
                <w:rFonts w:hint="default" w:ascii="Times New Roman" w:hAnsi="Times New Roman" w:cs="Times New Roman"/>
                <w:color w:val="auto"/>
                <w:szCs w:val="24"/>
                <w:lang w:val="en-US" w:eastAsia="zh-CN"/>
              </w:rPr>
            </w:pPr>
            <w:r>
              <w:rPr>
                <w:rFonts w:hint="eastAsia"/>
                <w:color w:val="auto"/>
                <w:szCs w:val="24"/>
              </w:rPr>
              <w:t>本项目位于</w:t>
            </w:r>
            <w:r>
              <w:rPr>
                <w:rFonts w:hint="eastAsia" w:cs="Times New Roman"/>
                <w:color w:val="auto"/>
                <w:szCs w:val="24"/>
                <w:lang w:eastAsia="zh-CN"/>
              </w:rPr>
              <w:t>德清县钟管镇横塘桥路2号</w:t>
            </w:r>
            <w:r>
              <w:rPr>
                <w:rFonts w:hint="eastAsia"/>
                <w:color w:val="auto"/>
                <w:szCs w:val="24"/>
              </w:rPr>
              <w:t>，利用自有的闲置厂房进行生产。本项目仅进行设备安装即可生产，设备安装时间很短，且全部在车间内进行，产生的噪声、扬尘等污染物对外环境的影响较小。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9" w:hRule="atLeast"/>
        </w:trPr>
        <w:tc>
          <w:tcPr>
            <w:tcW w:w="710" w:type="dxa"/>
            <w:tcBorders>
              <w:top w:val="single" w:color="auto" w:sz="4" w:space="0"/>
              <w:left w:val="single" w:color="auto" w:sz="4" w:space="0"/>
              <w:bottom w:val="single" w:color="auto" w:sz="4" w:space="0"/>
              <w:right w:val="single" w:color="auto" w:sz="4" w:space="0"/>
            </w:tcBorders>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营运期环境影响和保护措施</w:t>
            </w:r>
          </w:p>
        </w:tc>
        <w:tc>
          <w:tcPr>
            <w:tcW w:w="7812" w:type="dxa"/>
            <w:tcBorders>
              <w:top w:val="single" w:color="auto" w:sz="4" w:space="0"/>
              <w:left w:val="single" w:color="auto" w:sz="4" w:space="0"/>
              <w:bottom w:val="single" w:color="auto" w:sz="4" w:space="0"/>
              <w:right w:val="single" w:color="auto" w:sz="4" w:space="0"/>
            </w:tcBorders>
          </w:tcPr>
          <w:p>
            <w:pPr>
              <w:spacing w:line="360" w:lineRule="auto"/>
              <w:rPr>
                <w:rFonts w:hint="default"/>
                <w:b/>
                <w:bCs/>
                <w:color w:val="auto"/>
              </w:rPr>
            </w:pPr>
            <w:r>
              <w:rPr>
                <w:rFonts w:hint="default"/>
                <w:b/>
                <w:bCs/>
                <w:color w:val="auto"/>
              </w:rPr>
              <w:t>4.1营运期环境影响及保护措施</w:t>
            </w:r>
          </w:p>
          <w:p>
            <w:pPr>
              <w:spacing w:line="360" w:lineRule="auto"/>
              <w:rPr>
                <w:rFonts w:hint="default"/>
                <w:b/>
                <w:bCs/>
                <w:color w:val="auto"/>
              </w:rPr>
            </w:pPr>
            <w:r>
              <w:rPr>
                <w:rFonts w:hint="default"/>
                <w:b/>
                <w:bCs/>
                <w:color w:val="auto"/>
              </w:rPr>
              <w:t>4.1.1营运期废气</w:t>
            </w:r>
          </w:p>
          <w:p>
            <w:pPr>
              <w:tabs>
                <w:tab w:val="left" w:pos="4288"/>
              </w:tabs>
              <w:spacing w:line="360" w:lineRule="auto"/>
              <w:ind w:firstLine="480" w:firstLineChars="200"/>
              <w:outlineLvl w:val="2"/>
              <w:rPr>
                <w:color w:val="auto"/>
                <w:szCs w:val="24"/>
              </w:rPr>
            </w:pPr>
            <w:r>
              <w:rPr>
                <w:rFonts w:hint="eastAsia"/>
                <w:color w:val="auto"/>
                <w:szCs w:val="24"/>
              </w:rPr>
              <w:t>本</w:t>
            </w:r>
            <w:r>
              <w:rPr>
                <w:rFonts w:hint="eastAsia" w:ascii="Times New Roman" w:hAnsi="Times New Roman" w:eastAsia="宋体" w:cs="Times New Roman"/>
                <w:color w:val="auto"/>
                <w:szCs w:val="24"/>
              </w:rPr>
              <w:t>项目产生的废气包括</w:t>
            </w:r>
            <w:r>
              <w:rPr>
                <w:rFonts w:hint="eastAsia" w:cs="Times New Roman"/>
                <w:color w:val="auto"/>
                <w:szCs w:val="24"/>
                <w:lang w:val="en-US" w:eastAsia="zh-CN"/>
              </w:rPr>
              <w:t>抛丸粉尘、油漆废气和喷塑废气</w:t>
            </w:r>
            <w:r>
              <w:rPr>
                <w:rFonts w:hint="eastAsia" w:ascii="Times New Roman" w:hAnsi="Times New Roman" w:eastAsia="宋体" w:cs="Times New Roman"/>
                <w:color w:val="auto"/>
                <w:szCs w:val="24"/>
              </w:rPr>
              <w:t>。</w:t>
            </w:r>
          </w:p>
          <w:p>
            <w:pPr>
              <w:tabs>
                <w:tab w:val="left" w:pos="4288"/>
              </w:tabs>
              <w:spacing w:line="360" w:lineRule="auto"/>
              <w:ind w:firstLine="480" w:firstLineChars="200"/>
              <w:outlineLvl w:val="2"/>
              <w:rPr>
                <w:color w:val="auto"/>
                <w:szCs w:val="24"/>
              </w:rPr>
            </w:pPr>
            <w:r>
              <w:rPr>
                <w:color w:val="auto"/>
                <w:szCs w:val="24"/>
              </w:rPr>
              <w:t>（1）</w:t>
            </w:r>
            <w:r>
              <w:rPr>
                <w:rFonts w:hint="eastAsia"/>
                <w:color w:val="auto"/>
                <w:szCs w:val="24"/>
              </w:rPr>
              <w:t>废气污染物源强分析</w:t>
            </w:r>
          </w:p>
          <w:p>
            <w:pPr>
              <w:tabs>
                <w:tab w:val="left" w:pos="4288"/>
              </w:tabs>
              <w:spacing w:line="360" w:lineRule="auto"/>
              <w:ind w:firstLine="480" w:firstLineChars="200"/>
              <w:outlineLvl w:val="2"/>
              <w:rPr>
                <w:rFonts w:hint="default"/>
                <w:color w:val="auto"/>
                <w:szCs w:val="24"/>
                <w:lang w:val="en-US" w:eastAsia="zh-CN"/>
              </w:rPr>
            </w:pPr>
            <w:r>
              <w:rPr>
                <w:rFonts w:hint="eastAsia"/>
                <w:color w:val="auto"/>
                <w:szCs w:val="24"/>
              </w:rPr>
              <w:t>a）</w:t>
            </w:r>
            <w:r>
              <w:rPr>
                <w:rFonts w:hint="eastAsia"/>
                <w:color w:val="auto"/>
                <w:szCs w:val="24"/>
                <w:lang w:val="en-US" w:eastAsia="zh-CN"/>
              </w:rPr>
              <w:t>抛丸粉尘</w:t>
            </w:r>
          </w:p>
          <w:p>
            <w:pPr>
              <w:tabs>
                <w:tab w:val="left" w:pos="4288"/>
              </w:tabs>
              <w:spacing w:line="360" w:lineRule="auto"/>
              <w:ind w:firstLine="480" w:firstLineChars="200"/>
              <w:outlineLvl w:val="2"/>
              <w:rPr>
                <w:rFonts w:hint="default"/>
                <w:color w:val="auto"/>
                <w:lang w:val="en-US" w:eastAsia="zh-CN"/>
              </w:rPr>
            </w:pPr>
            <w:r>
              <w:rPr>
                <w:rFonts w:hint="eastAsia"/>
                <w:color w:val="auto"/>
                <w:lang w:val="en-US" w:eastAsia="zh-CN"/>
              </w:rPr>
              <w:t>钢管在喷塑或喷漆前需进行抛丸预处理</w:t>
            </w:r>
            <w:r>
              <w:rPr>
                <w:rFonts w:hint="eastAsia"/>
                <w:color w:val="auto"/>
              </w:rPr>
              <w:t>，</w:t>
            </w:r>
            <w:r>
              <w:rPr>
                <w:rFonts w:hint="eastAsia"/>
                <w:color w:val="auto"/>
                <w:lang w:val="en-US" w:eastAsia="zh-CN"/>
              </w:rPr>
              <w:t>通过抛丸机完成该工序，共设有4台抛丸机分别对大管内壁、大管外壁、小管内壁、小管外壁进行抛丸处理。</w:t>
            </w:r>
          </w:p>
          <w:p>
            <w:pPr>
              <w:tabs>
                <w:tab w:val="left" w:pos="4288"/>
              </w:tabs>
              <w:spacing w:line="360" w:lineRule="auto"/>
              <w:ind w:firstLine="480" w:firstLineChars="200"/>
              <w:outlineLvl w:val="2"/>
              <w:rPr>
                <w:color w:val="auto"/>
              </w:rPr>
            </w:pPr>
            <w:r>
              <w:rPr>
                <w:rFonts w:hint="eastAsia"/>
                <w:color w:val="auto"/>
              </w:rPr>
              <w:t>本项目抛丸产污系数引用《排放源统计调查产排污核算方法和系数手册》（</w:t>
            </w:r>
            <w:r>
              <w:rPr>
                <w:rFonts w:hint="eastAsia"/>
                <w:color w:val="auto"/>
                <w:szCs w:val="24"/>
              </w:rPr>
              <w:t>部公告2021年第24号</w:t>
            </w:r>
            <w:r>
              <w:rPr>
                <w:rFonts w:hint="eastAsia"/>
                <w:color w:val="auto"/>
              </w:rPr>
              <w:t>）中“机械行业系数手册-预处理工段产污系数，2.19kg/t·原料”，本项目需抛丸的工件约</w:t>
            </w:r>
            <w:r>
              <w:rPr>
                <w:rFonts w:hint="eastAsia"/>
                <w:color w:val="auto"/>
                <w:lang w:val="en-US" w:eastAsia="zh-CN"/>
              </w:rPr>
              <w:t>4.5万</w:t>
            </w:r>
            <w:r>
              <w:rPr>
                <w:rFonts w:hint="eastAsia"/>
                <w:color w:val="auto"/>
              </w:rPr>
              <w:t>t，估算出抛丸粉尘产生量为</w:t>
            </w:r>
            <w:r>
              <w:rPr>
                <w:rFonts w:hint="eastAsia"/>
                <w:color w:val="auto"/>
                <w:lang w:val="en-US" w:eastAsia="zh-CN"/>
              </w:rPr>
              <w:t>98.55</w:t>
            </w:r>
            <w:r>
              <w:rPr>
                <w:rFonts w:hint="eastAsia"/>
                <w:color w:val="auto"/>
              </w:rPr>
              <w:t>t/a</w:t>
            </w:r>
            <w:r>
              <w:rPr>
                <w:rFonts w:hint="eastAsia"/>
                <w:color w:val="auto"/>
                <w:lang w:eastAsia="zh-CN"/>
              </w:rPr>
              <w:t>，</w:t>
            </w:r>
            <w:r>
              <w:rPr>
                <w:rFonts w:hint="eastAsia"/>
                <w:color w:val="auto"/>
                <w:lang w:val="en-US" w:eastAsia="zh-CN"/>
              </w:rPr>
              <w:t>根据企业统计，小管占比约为20%，即小管抛丸粉尘产生量为19.71</w:t>
            </w:r>
            <w:r>
              <w:rPr>
                <w:rFonts w:hint="eastAsia"/>
                <w:color w:val="auto"/>
              </w:rPr>
              <w:t>t/a</w:t>
            </w:r>
            <w:r>
              <w:rPr>
                <w:rFonts w:hint="eastAsia"/>
                <w:color w:val="auto"/>
                <w:lang w:eastAsia="zh-CN"/>
              </w:rPr>
              <w:t>、</w:t>
            </w:r>
            <w:r>
              <w:rPr>
                <w:rFonts w:hint="eastAsia"/>
                <w:color w:val="auto"/>
                <w:lang w:val="en-US" w:eastAsia="zh-CN"/>
              </w:rPr>
              <w:t>大管抛丸粉尘产生量为78.84</w:t>
            </w:r>
            <w:r>
              <w:rPr>
                <w:rFonts w:hint="eastAsia"/>
                <w:color w:val="auto"/>
              </w:rPr>
              <w:t>t/a。</w:t>
            </w:r>
            <w:r>
              <w:rPr>
                <w:rFonts w:hint="eastAsia"/>
                <w:color w:val="auto"/>
                <w:lang w:val="en-US" w:eastAsia="zh-CN"/>
              </w:rPr>
              <w:t>本项目配备的抛丸机属于箱体通过式，进出口两端设有软帘，保证抛丸粉尘的有效收集，各抛丸机均自带有脉冲布袋除尘装置，</w:t>
            </w:r>
            <w:r>
              <w:rPr>
                <w:rFonts w:hint="eastAsia"/>
                <w:color w:val="auto"/>
                <w:szCs w:val="24"/>
                <w:lang w:val="en-US" w:eastAsia="zh-CN"/>
              </w:rPr>
              <w:t>总收集效率按95%计。</w:t>
            </w:r>
            <w:r>
              <w:rPr>
                <w:rFonts w:hint="eastAsia"/>
                <w:color w:val="auto"/>
              </w:rPr>
              <w:t>除尘器风量</w:t>
            </w:r>
            <w:r>
              <w:rPr>
                <w:rFonts w:hint="eastAsia"/>
                <w:color w:val="auto"/>
                <w:lang w:val="en-US" w:eastAsia="zh-CN"/>
              </w:rPr>
              <w:t>分别</w:t>
            </w:r>
            <w:r>
              <w:rPr>
                <w:rFonts w:hint="eastAsia"/>
                <w:color w:val="auto"/>
              </w:rPr>
              <w:t>为</w:t>
            </w:r>
            <w:r>
              <w:rPr>
                <w:rFonts w:hint="eastAsia"/>
                <w:color w:val="auto"/>
                <w:lang w:val="en-US" w:eastAsia="zh-CN"/>
              </w:rPr>
              <w:t>20</w:t>
            </w:r>
            <w:r>
              <w:rPr>
                <w:rFonts w:hint="eastAsia"/>
                <w:color w:val="auto"/>
              </w:rPr>
              <w:t>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lang w:val="en-US" w:eastAsia="zh-CN"/>
              </w:rPr>
              <w:t>20</w:t>
            </w:r>
            <w:r>
              <w:rPr>
                <w:rFonts w:hint="eastAsia"/>
                <w:color w:val="auto"/>
              </w:rPr>
              <w:t>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lang w:val="en-US" w:eastAsia="zh-CN"/>
              </w:rPr>
              <w:t>40</w:t>
            </w:r>
            <w:r>
              <w:rPr>
                <w:rFonts w:hint="eastAsia"/>
                <w:color w:val="auto"/>
              </w:rPr>
              <w:t>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lang w:val="en-US" w:eastAsia="zh-CN"/>
              </w:rPr>
              <w:t>40</w:t>
            </w:r>
            <w:r>
              <w:rPr>
                <w:rFonts w:hint="eastAsia"/>
                <w:color w:val="auto"/>
              </w:rPr>
              <w:t>000m</w:t>
            </w:r>
            <w:r>
              <w:rPr>
                <w:rFonts w:hint="eastAsia"/>
                <w:color w:val="auto"/>
                <w:vertAlign w:val="superscript"/>
              </w:rPr>
              <w:t>3</w:t>
            </w:r>
            <w:r>
              <w:rPr>
                <w:rFonts w:hint="eastAsia"/>
                <w:color w:val="auto"/>
              </w:rPr>
              <w:t>/h，</w:t>
            </w:r>
            <w:r>
              <w:rPr>
                <w:color w:val="auto"/>
                <w:szCs w:val="24"/>
              </w:rPr>
              <w:t>净化效率以9</w:t>
            </w:r>
            <w:r>
              <w:rPr>
                <w:rFonts w:hint="eastAsia"/>
                <w:color w:val="auto"/>
                <w:szCs w:val="24"/>
                <w:lang w:val="en-US" w:eastAsia="zh-CN"/>
              </w:rPr>
              <w:t>8</w:t>
            </w:r>
            <w:r>
              <w:rPr>
                <w:color w:val="auto"/>
                <w:szCs w:val="24"/>
              </w:rPr>
              <w:t>%计，</w:t>
            </w:r>
            <w:r>
              <w:rPr>
                <w:rFonts w:hint="eastAsia"/>
                <w:color w:val="auto"/>
                <w:szCs w:val="24"/>
              </w:rPr>
              <w:t>废气经处理后通过</w:t>
            </w:r>
            <w:r>
              <w:rPr>
                <w:rFonts w:hint="eastAsia"/>
                <w:color w:val="auto"/>
                <w:szCs w:val="24"/>
                <w:lang w:val="en-US" w:eastAsia="zh-CN"/>
              </w:rPr>
              <w:t>四</w:t>
            </w:r>
            <w:r>
              <w:rPr>
                <w:rFonts w:hint="eastAsia"/>
                <w:color w:val="auto"/>
                <w:szCs w:val="24"/>
              </w:rPr>
              <w:t>根</w:t>
            </w:r>
            <w:r>
              <w:rPr>
                <w:rFonts w:hint="eastAsia"/>
                <w:color w:val="auto"/>
                <w:szCs w:val="24"/>
                <w:lang w:val="en-US" w:eastAsia="zh-CN"/>
              </w:rPr>
              <w:t>15</w:t>
            </w:r>
            <w:r>
              <w:rPr>
                <w:rFonts w:hint="eastAsia"/>
                <w:color w:val="auto"/>
                <w:szCs w:val="24"/>
              </w:rPr>
              <w:t>m高排气筒高空排放。排放源强见表4-</w:t>
            </w:r>
            <w:r>
              <w:rPr>
                <w:rFonts w:hint="eastAsia"/>
                <w:color w:val="auto"/>
                <w:szCs w:val="24"/>
                <w:lang w:val="en-US" w:eastAsia="zh-CN"/>
              </w:rPr>
              <w:t>1</w:t>
            </w:r>
            <w:r>
              <w:rPr>
                <w:rFonts w:hint="eastAsia"/>
                <w:color w:val="auto"/>
                <w:szCs w:val="24"/>
              </w:rPr>
              <w:t>。</w:t>
            </w:r>
          </w:p>
          <w:p>
            <w:pPr>
              <w:spacing w:line="360" w:lineRule="auto"/>
              <w:jc w:val="center"/>
              <w:rPr>
                <w:rFonts w:hint="eastAsia" w:ascii="Times New Roman" w:hAnsi="Times New Roman" w:eastAsia="宋体" w:cs="Times New Roman"/>
                <w:b/>
                <w:color w:val="auto"/>
              </w:rPr>
            </w:pPr>
            <w:r>
              <w:rPr>
                <w:rFonts w:hint="eastAsia" w:ascii="Times New Roman" w:hAnsi="Times New Roman" w:eastAsia="宋体" w:cs="Times New Roman"/>
                <w:b/>
                <w:color w:val="auto"/>
              </w:rPr>
              <w:t>表4-</w:t>
            </w:r>
            <w:r>
              <w:rPr>
                <w:rFonts w:hint="eastAsia" w:cs="Times New Roman"/>
                <w:b/>
                <w:color w:val="auto"/>
                <w:lang w:val="en-US" w:eastAsia="zh-CN"/>
              </w:rPr>
              <w:t>1</w:t>
            </w:r>
            <w:r>
              <w:rPr>
                <w:rFonts w:hint="eastAsia" w:ascii="Times New Roman" w:hAnsi="Times New Roman" w:eastAsia="宋体" w:cs="Times New Roman"/>
                <w:b/>
                <w:color w:val="auto"/>
              </w:rPr>
              <w:t xml:space="preserve">  抛丸粉尘产生以及排放源强一览表</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1063"/>
              <w:gridCol w:w="1100"/>
              <w:gridCol w:w="871"/>
              <w:gridCol w:w="1135"/>
              <w:gridCol w:w="851"/>
              <w:gridCol w:w="851"/>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restart"/>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污染源</w:t>
                  </w:r>
                </w:p>
              </w:tc>
              <w:tc>
                <w:tcPr>
                  <w:tcW w:w="1063" w:type="dxa"/>
                  <w:vMerge w:val="restart"/>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污染物</w:t>
                  </w:r>
                </w:p>
              </w:tc>
              <w:tc>
                <w:tcPr>
                  <w:tcW w:w="1100"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产生源强</w:t>
                  </w:r>
                </w:p>
              </w:tc>
              <w:tc>
                <w:tcPr>
                  <w:tcW w:w="871"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消减量</w:t>
                  </w:r>
                </w:p>
              </w:tc>
              <w:tc>
                <w:tcPr>
                  <w:tcW w:w="3688" w:type="dxa"/>
                  <w:gridSpan w:val="4"/>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排放源强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continue"/>
                  <w:vAlign w:val="center"/>
                </w:tcPr>
                <w:p>
                  <w:pPr>
                    <w:jc w:val="center"/>
                    <w:rPr>
                      <w:b/>
                      <w:color w:val="auto"/>
                      <w:sz w:val="21"/>
                      <w:szCs w:val="21"/>
                    </w:rPr>
                  </w:pPr>
                </w:p>
              </w:tc>
              <w:tc>
                <w:tcPr>
                  <w:tcW w:w="1063" w:type="dxa"/>
                  <w:vMerge w:val="continue"/>
                  <w:vAlign w:val="center"/>
                </w:tcPr>
                <w:p>
                  <w:pPr>
                    <w:jc w:val="center"/>
                    <w:rPr>
                      <w:b/>
                      <w:color w:val="auto"/>
                      <w:sz w:val="21"/>
                      <w:szCs w:val="21"/>
                    </w:rPr>
                  </w:pPr>
                </w:p>
              </w:tc>
              <w:tc>
                <w:tcPr>
                  <w:tcW w:w="1100" w:type="dxa"/>
                  <w:vAlign w:val="center"/>
                </w:tcPr>
                <w:p>
                  <w:pPr>
                    <w:jc w:val="center"/>
                    <w:rPr>
                      <w:b/>
                      <w:color w:val="auto"/>
                      <w:sz w:val="21"/>
                      <w:szCs w:val="21"/>
                    </w:rPr>
                  </w:pPr>
                  <w:r>
                    <w:rPr>
                      <w:b/>
                      <w:color w:val="auto"/>
                      <w:sz w:val="21"/>
                      <w:szCs w:val="21"/>
                    </w:rPr>
                    <w:t>t/a</w:t>
                  </w:r>
                </w:p>
              </w:tc>
              <w:tc>
                <w:tcPr>
                  <w:tcW w:w="871" w:type="dxa"/>
                  <w:vAlign w:val="center"/>
                </w:tcPr>
                <w:p>
                  <w:pPr>
                    <w:jc w:val="center"/>
                    <w:rPr>
                      <w:b/>
                      <w:color w:val="auto"/>
                      <w:sz w:val="21"/>
                      <w:szCs w:val="21"/>
                    </w:rPr>
                  </w:pPr>
                  <w:r>
                    <w:rPr>
                      <w:b/>
                      <w:color w:val="auto"/>
                      <w:sz w:val="21"/>
                      <w:szCs w:val="21"/>
                    </w:rPr>
                    <w:t>t/a</w:t>
                  </w:r>
                </w:p>
              </w:tc>
              <w:tc>
                <w:tcPr>
                  <w:tcW w:w="1135" w:type="dxa"/>
                  <w:vAlign w:val="center"/>
                </w:tcPr>
                <w:p>
                  <w:pPr>
                    <w:jc w:val="center"/>
                    <w:rPr>
                      <w:b/>
                      <w:color w:val="auto"/>
                      <w:sz w:val="21"/>
                      <w:szCs w:val="21"/>
                    </w:rPr>
                  </w:pPr>
                  <w:r>
                    <w:rPr>
                      <w:b/>
                      <w:color w:val="auto"/>
                      <w:sz w:val="21"/>
                      <w:szCs w:val="21"/>
                    </w:rPr>
                    <w:t>排放类型</w:t>
                  </w:r>
                </w:p>
              </w:tc>
              <w:tc>
                <w:tcPr>
                  <w:tcW w:w="851" w:type="dxa"/>
                  <w:vAlign w:val="center"/>
                </w:tcPr>
                <w:p>
                  <w:pPr>
                    <w:jc w:val="center"/>
                    <w:rPr>
                      <w:b/>
                      <w:color w:val="auto"/>
                      <w:sz w:val="21"/>
                      <w:szCs w:val="21"/>
                    </w:rPr>
                  </w:pPr>
                  <w:r>
                    <w:rPr>
                      <w:b/>
                      <w:bCs/>
                      <w:color w:val="auto"/>
                      <w:sz w:val="21"/>
                      <w:szCs w:val="21"/>
                    </w:rPr>
                    <w:t>mg/m</w:t>
                  </w:r>
                  <w:r>
                    <w:rPr>
                      <w:b/>
                      <w:bCs/>
                      <w:color w:val="auto"/>
                      <w:sz w:val="21"/>
                      <w:szCs w:val="21"/>
                      <w:vertAlign w:val="superscript"/>
                    </w:rPr>
                    <w:t>3</w:t>
                  </w:r>
                </w:p>
              </w:tc>
              <w:tc>
                <w:tcPr>
                  <w:tcW w:w="851" w:type="dxa"/>
                  <w:vAlign w:val="center"/>
                </w:tcPr>
                <w:p>
                  <w:pPr>
                    <w:jc w:val="center"/>
                    <w:rPr>
                      <w:b/>
                      <w:color w:val="auto"/>
                      <w:sz w:val="21"/>
                      <w:szCs w:val="21"/>
                    </w:rPr>
                  </w:pPr>
                  <w:r>
                    <w:rPr>
                      <w:b/>
                      <w:color w:val="auto"/>
                      <w:sz w:val="21"/>
                      <w:szCs w:val="21"/>
                    </w:rPr>
                    <w:t>kg/h</w:t>
                  </w:r>
                </w:p>
              </w:tc>
              <w:tc>
                <w:tcPr>
                  <w:tcW w:w="851" w:type="dxa"/>
                  <w:vAlign w:val="center"/>
                </w:tcPr>
                <w:p>
                  <w:pPr>
                    <w:jc w:val="center"/>
                    <w:rPr>
                      <w:b/>
                      <w:color w:val="auto"/>
                      <w:sz w:val="21"/>
                      <w:szCs w:val="21"/>
                    </w:rPr>
                  </w:pPr>
                  <w:r>
                    <w:rPr>
                      <w:b/>
                      <w:color w:val="auto"/>
                      <w:sz w:val="21"/>
                      <w:szCs w:val="21"/>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restart"/>
                  <w:vAlign w:val="center"/>
                </w:tcPr>
                <w:p>
                  <w:pPr>
                    <w:jc w:val="center"/>
                    <w:rPr>
                      <w:color w:val="auto"/>
                      <w:sz w:val="21"/>
                      <w:szCs w:val="21"/>
                    </w:rPr>
                  </w:pPr>
                  <w:r>
                    <w:rPr>
                      <w:rFonts w:hint="eastAsia"/>
                      <w:color w:val="auto"/>
                      <w:sz w:val="21"/>
                      <w:szCs w:val="21"/>
                      <w:lang w:val="en-US" w:eastAsia="zh-CN"/>
                    </w:rPr>
                    <w:t>小管内</w:t>
                  </w:r>
                  <w:r>
                    <w:rPr>
                      <w:rFonts w:hint="eastAsia"/>
                      <w:color w:val="auto"/>
                      <w:sz w:val="21"/>
                      <w:szCs w:val="21"/>
                    </w:rPr>
                    <w:t>抛粉尘</w:t>
                  </w:r>
                </w:p>
              </w:tc>
              <w:tc>
                <w:tcPr>
                  <w:tcW w:w="1063" w:type="dxa"/>
                  <w:vMerge w:val="restart"/>
                  <w:vAlign w:val="center"/>
                </w:tcPr>
                <w:p>
                  <w:pPr>
                    <w:jc w:val="center"/>
                    <w:rPr>
                      <w:color w:val="auto"/>
                      <w:sz w:val="21"/>
                      <w:szCs w:val="21"/>
                    </w:rPr>
                  </w:pPr>
                  <w:r>
                    <w:rPr>
                      <w:rFonts w:hint="eastAsia"/>
                      <w:color w:val="auto"/>
                      <w:sz w:val="21"/>
                      <w:szCs w:val="21"/>
                    </w:rPr>
                    <w:t>颗粒物</w:t>
                  </w:r>
                </w:p>
              </w:tc>
              <w:tc>
                <w:tcPr>
                  <w:tcW w:w="1100"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9.855</w:t>
                  </w:r>
                </w:p>
              </w:tc>
              <w:tc>
                <w:tcPr>
                  <w:tcW w:w="871"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9.175</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color w:val="auto"/>
                      <w:sz w:val="21"/>
                      <w:szCs w:val="21"/>
                    </w:rPr>
                  </w:pPr>
                  <w:r>
                    <w:rPr>
                      <w:rFonts w:hint="eastAsia"/>
                      <w:color w:val="auto"/>
                      <w:sz w:val="21"/>
                      <w:szCs w:val="21"/>
                    </w:rPr>
                    <w:t>有</w:t>
                  </w:r>
                  <w:r>
                    <w:rPr>
                      <w:color w:val="auto"/>
                      <w:sz w:val="21"/>
                      <w:szCs w:val="21"/>
                    </w:rPr>
                    <w:t>组织</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eastAsia="宋体"/>
                      <w:color w:val="auto"/>
                      <w:sz w:val="21"/>
                      <w:szCs w:val="21"/>
                      <w:lang w:val="en-US" w:eastAsia="zh-CN"/>
                    </w:rPr>
                  </w:pPr>
                  <w:r>
                    <w:rPr>
                      <w:rFonts w:hint="eastAsia"/>
                      <w:color w:val="auto"/>
                      <w:sz w:val="21"/>
                      <w:szCs w:val="21"/>
                    </w:rPr>
                    <w:t>DA0</w:t>
                  </w:r>
                  <w:r>
                    <w:rPr>
                      <w:rFonts w:hint="eastAsia"/>
                      <w:color w:val="auto"/>
                      <w:sz w:val="21"/>
                      <w:szCs w:val="21"/>
                      <w:lang w:val="en-US" w:eastAsia="zh-CN"/>
                    </w:rPr>
                    <w:t>04</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1.95</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0.078</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continue"/>
                  <w:vAlign w:val="center"/>
                </w:tcPr>
                <w:p>
                  <w:pPr>
                    <w:jc w:val="center"/>
                    <w:rPr>
                      <w:rFonts w:hint="eastAsia"/>
                      <w:color w:val="auto"/>
                      <w:sz w:val="21"/>
                      <w:szCs w:val="21"/>
                    </w:rPr>
                  </w:pPr>
                </w:p>
              </w:tc>
              <w:tc>
                <w:tcPr>
                  <w:tcW w:w="1063" w:type="dxa"/>
                  <w:vMerge w:val="continue"/>
                  <w:vAlign w:val="center"/>
                </w:tcPr>
                <w:p>
                  <w:pPr>
                    <w:jc w:val="center"/>
                    <w:rPr>
                      <w:rFonts w:hint="eastAsia"/>
                      <w:color w:val="auto"/>
                      <w:sz w:val="21"/>
                      <w:szCs w:val="21"/>
                    </w:rPr>
                  </w:pPr>
                </w:p>
              </w:tc>
              <w:tc>
                <w:tcPr>
                  <w:tcW w:w="1100" w:type="dxa"/>
                  <w:vMerge w:val="continue"/>
                  <w:vAlign w:val="center"/>
                </w:tcPr>
                <w:p>
                  <w:pPr>
                    <w:jc w:val="center"/>
                    <w:rPr>
                      <w:rFonts w:hint="eastAsia"/>
                      <w:color w:val="auto"/>
                      <w:sz w:val="21"/>
                      <w:szCs w:val="21"/>
                    </w:rPr>
                  </w:pPr>
                </w:p>
              </w:tc>
              <w:tc>
                <w:tcPr>
                  <w:tcW w:w="871" w:type="dxa"/>
                  <w:vMerge w:val="continue"/>
                  <w:vAlign w:val="center"/>
                </w:tcPr>
                <w:p>
                  <w:pPr>
                    <w:jc w:val="center"/>
                    <w:rPr>
                      <w:rFonts w:hint="eastAsia"/>
                      <w:color w:val="auto"/>
                      <w:sz w:val="21"/>
                      <w:szCs w:val="21"/>
                    </w:rPr>
                  </w:pPr>
                </w:p>
              </w:tc>
              <w:tc>
                <w:tcPr>
                  <w:tcW w:w="1135"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无组织</w:t>
                  </w:r>
                </w:p>
              </w:tc>
              <w:tc>
                <w:tcPr>
                  <w:tcW w:w="851"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0.205</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olor w:val="auto"/>
                      <w:sz w:val="21"/>
                      <w:szCs w:val="21"/>
                      <w:lang w:val="en-US" w:eastAsia="zh-CN"/>
                    </w:rPr>
                    <w:t>0.493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restart"/>
                  <w:vAlign w:val="center"/>
                </w:tcPr>
                <w:p>
                  <w:pPr>
                    <w:jc w:val="center"/>
                    <w:rPr>
                      <w:rFonts w:hint="eastAsia"/>
                      <w:color w:val="auto"/>
                      <w:sz w:val="21"/>
                      <w:szCs w:val="21"/>
                    </w:rPr>
                  </w:pPr>
                  <w:r>
                    <w:rPr>
                      <w:rFonts w:hint="eastAsia"/>
                      <w:color w:val="auto"/>
                      <w:sz w:val="21"/>
                      <w:szCs w:val="21"/>
                      <w:lang w:val="en-US" w:eastAsia="zh-CN"/>
                    </w:rPr>
                    <w:t>小管外</w:t>
                  </w:r>
                  <w:r>
                    <w:rPr>
                      <w:rFonts w:hint="eastAsia"/>
                      <w:color w:val="auto"/>
                      <w:sz w:val="21"/>
                      <w:szCs w:val="21"/>
                    </w:rPr>
                    <w:t>抛粉尘</w:t>
                  </w:r>
                </w:p>
              </w:tc>
              <w:tc>
                <w:tcPr>
                  <w:tcW w:w="1063" w:type="dxa"/>
                  <w:vMerge w:val="restart"/>
                  <w:vAlign w:val="center"/>
                </w:tcPr>
                <w:p>
                  <w:pPr>
                    <w:jc w:val="center"/>
                    <w:rPr>
                      <w:rFonts w:hint="eastAsia"/>
                      <w:color w:val="auto"/>
                      <w:sz w:val="21"/>
                      <w:szCs w:val="21"/>
                    </w:rPr>
                  </w:pPr>
                  <w:r>
                    <w:rPr>
                      <w:rFonts w:hint="eastAsia"/>
                      <w:color w:val="auto"/>
                      <w:sz w:val="21"/>
                      <w:szCs w:val="21"/>
                    </w:rPr>
                    <w:t>颗粒物</w:t>
                  </w:r>
                </w:p>
              </w:tc>
              <w:tc>
                <w:tcPr>
                  <w:tcW w:w="1100" w:type="dxa"/>
                  <w:vMerge w:val="restart"/>
                  <w:vAlign w:val="center"/>
                </w:tcPr>
                <w:p>
                  <w:pPr>
                    <w:jc w:val="center"/>
                    <w:rPr>
                      <w:rFonts w:hint="eastAsia"/>
                      <w:color w:val="auto"/>
                      <w:sz w:val="21"/>
                      <w:szCs w:val="21"/>
                    </w:rPr>
                  </w:pPr>
                  <w:r>
                    <w:rPr>
                      <w:rFonts w:hint="eastAsia"/>
                      <w:color w:val="auto"/>
                      <w:sz w:val="21"/>
                      <w:szCs w:val="21"/>
                      <w:lang w:val="en-US" w:eastAsia="zh-CN"/>
                    </w:rPr>
                    <w:t>9.855</w:t>
                  </w:r>
                </w:p>
              </w:tc>
              <w:tc>
                <w:tcPr>
                  <w:tcW w:w="871" w:type="dxa"/>
                  <w:vMerge w:val="restart"/>
                  <w:vAlign w:val="center"/>
                </w:tcPr>
                <w:p>
                  <w:pPr>
                    <w:jc w:val="center"/>
                    <w:rPr>
                      <w:rFonts w:hint="eastAsia"/>
                      <w:color w:val="auto"/>
                      <w:sz w:val="21"/>
                      <w:szCs w:val="21"/>
                    </w:rPr>
                  </w:pPr>
                  <w:r>
                    <w:rPr>
                      <w:rFonts w:hint="eastAsia"/>
                      <w:color w:val="auto"/>
                      <w:sz w:val="21"/>
                      <w:szCs w:val="21"/>
                      <w:lang w:val="en-US" w:eastAsia="zh-CN"/>
                    </w:rPr>
                    <w:t>9.175</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color w:val="auto"/>
                      <w:sz w:val="21"/>
                      <w:szCs w:val="21"/>
                    </w:rPr>
                  </w:pPr>
                  <w:r>
                    <w:rPr>
                      <w:rFonts w:hint="eastAsia"/>
                      <w:color w:val="auto"/>
                      <w:sz w:val="21"/>
                      <w:szCs w:val="21"/>
                    </w:rPr>
                    <w:t>有</w:t>
                  </w:r>
                  <w:r>
                    <w:rPr>
                      <w:color w:val="auto"/>
                      <w:sz w:val="21"/>
                      <w:szCs w:val="21"/>
                    </w:rPr>
                    <w:t>组织</w:t>
                  </w:r>
                </w:p>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DA0</w:t>
                  </w:r>
                  <w:r>
                    <w:rPr>
                      <w:rFonts w:hint="eastAsia"/>
                      <w:color w:val="auto"/>
                      <w:sz w:val="21"/>
                      <w:szCs w:val="21"/>
                      <w:lang w:val="en-US" w:eastAsia="zh-CN"/>
                    </w:rPr>
                    <w:t>02</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3.901</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0.078</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continue"/>
                  <w:vAlign w:val="center"/>
                </w:tcPr>
                <w:p>
                  <w:pPr>
                    <w:jc w:val="center"/>
                    <w:rPr>
                      <w:rFonts w:hint="eastAsia"/>
                      <w:color w:val="auto"/>
                      <w:sz w:val="21"/>
                      <w:szCs w:val="21"/>
                    </w:rPr>
                  </w:pPr>
                </w:p>
              </w:tc>
              <w:tc>
                <w:tcPr>
                  <w:tcW w:w="1063" w:type="dxa"/>
                  <w:vMerge w:val="continue"/>
                  <w:vAlign w:val="center"/>
                </w:tcPr>
                <w:p>
                  <w:pPr>
                    <w:jc w:val="center"/>
                    <w:rPr>
                      <w:rFonts w:hint="eastAsia"/>
                      <w:color w:val="auto"/>
                      <w:sz w:val="21"/>
                      <w:szCs w:val="21"/>
                    </w:rPr>
                  </w:pPr>
                </w:p>
              </w:tc>
              <w:tc>
                <w:tcPr>
                  <w:tcW w:w="1100" w:type="dxa"/>
                  <w:vMerge w:val="continue"/>
                  <w:vAlign w:val="center"/>
                </w:tcPr>
                <w:p>
                  <w:pPr>
                    <w:jc w:val="center"/>
                    <w:rPr>
                      <w:rFonts w:hint="eastAsia"/>
                      <w:color w:val="auto"/>
                      <w:sz w:val="21"/>
                      <w:szCs w:val="21"/>
                    </w:rPr>
                  </w:pPr>
                </w:p>
              </w:tc>
              <w:tc>
                <w:tcPr>
                  <w:tcW w:w="871" w:type="dxa"/>
                  <w:vMerge w:val="continue"/>
                  <w:vAlign w:val="center"/>
                </w:tcPr>
                <w:p>
                  <w:pPr>
                    <w:jc w:val="center"/>
                    <w:rPr>
                      <w:rFonts w:hint="eastAsia"/>
                      <w:color w:val="auto"/>
                      <w:sz w:val="21"/>
                      <w:szCs w:val="21"/>
                    </w:rPr>
                  </w:pP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无组织</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0.205</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s="Times New Roman"/>
                      <w:color w:val="auto"/>
                      <w:kern w:val="2"/>
                      <w:sz w:val="21"/>
                      <w:szCs w:val="21"/>
                      <w:lang w:val="en-US" w:eastAsia="zh-CN" w:bidi="ar-SA"/>
                    </w:rPr>
                    <w:t>0.493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restart"/>
                  <w:vAlign w:val="center"/>
                </w:tcPr>
                <w:p>
                  <w:pPr>
                    <w:jc w:val="center"/>
                    <w:rPr>
                      <w:rFonts w:hint="eastAsia"/>
                      <w:color w:val="auto"/>
                      <w:sz w:val="21"/>
                      <w:szCs w:val="21"/>
                    </w:rPr>
                  </w:pPr>
                  <w:r>
                    <w:rPr>
                      <w:rFonts w:hint="eastAsia"/>
                      <w:color w:val="auto"/>
                      <w:sz w:val="21"/>
                      <w:szCs w:val="21"/>
                      <w:lang w:val="en-US" w:eastAsia="zh-CN"/>
                    </w:rPr>
                    <w:t>大管内</w:t>
                  </w:r>
                  <w:r>
                    <w:rPr>
                      <w:rFonts w:hint="eastAsia"/>
                      <w:color w:val="auto"/>
                      <w:sz w:val="21"/>
                      <w:szCs w:val="21"/>
                    </w:rPr>
                    <w:t>抛粉尘</w:t>
                  </w:r>
                </w:p>
              </w:tc>
              <w:tc>
                <w:tcPr>
                  <w:tcW w:w="1063" w:type="dxa"/>
                  <w:vMerge w:val="restart"/>
                  <w:vAlign w:val="center"/>
                </w:tcPr>
                <w:p>
                  <w:pPr>
                    <w:jc w:val="center"/>
                    <w:rPr>
                      <w:rFonts w:hint="eastAsia"/>
                      <w:color w:val="auto"/>
                      <w:sz w:val="21"/>
                      <w:szCs w:val="21"/>
                    </w:rPr>
                  </w:pPr>
                  <w:r>
                    <w:rPr>
                      <w:rFonts w:hint="eastAsia"/>
                      <w:color w:val="auto"/>
                      <w:sz w:val="21"/>
                      <w:szCs w:val="21"/>
                    </w:rPr>
                    <w:t>颗粒物</w:t>
                  </w:r>
                </w:p>
              </w:tc>
              <w:tc>
                <w:tcPr>
                  <w:tcW w:w="1100"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39.42</w:t>
                  </w:r>
                </w:p>
              </w:tc>
              <w:tc>
                <w:tcPr>
                  <w:tcW w:w="871"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36.7</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color w:val="auto"/>
                      <w:sz w:val="21"/>
                      <w:szCs w:val="21"/>
                    </w:rPr>
                  </w:pPr>
                  <w:r>
                    <w:rPr>
                      <w:rFonts w:hint="eastAsia"/>
                      <w:color w:val="auto"/>
                      <w:sz w:val="21"/>
                      <w:szCs w:val="21"/>
                    </w:rPr>
                    <w:t>有</w:t>
                  </w:r>
                  <w:r>
                    <w:rPr>
                      <w:color w:val="auto"/>
                      <w:sz w:val="21"/>
                      <w:szCs w:val="21"/>
                    </w:rPr>
                    <w:t>组织</w:t>
                  </w:r>
                </w:p>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DA0</w:t>
                  </w:r>
                  <w:r>
                    <w:rPr>
                      <w:rFonts w:hint="eastAsia"/>
                      <w:color w:val="auto"/>
                      <w:sz w:val="21"/>
                      <w:szCs w:val="21"/>
                      <w:lang w:val="en-US" w:eastAsia="zh-CN"/>
                    </w:rPr>
                    <w:t>07</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7.802</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0.312</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olor w:val="auto"/>
                      <w:sz w:val="21"/>
                      <w:szCs w:val="21"/>
                      <w:lang w:val="en-US" w:eastAsia="zh-CN"/>
                    </w:rPr>
                    <w:t>0.749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continue"/>
                  <w:vAlign w:val="center"/>
                </w:tcPr>
                <w:p>
                  <w:pPr>
                    <w:jc w:val="center"/>
                    <w:rPr>
                      <w:rFonts w:hint="eastAsia"/>
                      <w:color w:val="auto"/>
                      <w:sz w:val="21"/>
                      <w:szCs w:val="21"/>
                    </w:rPr>
                  </w:pPr>
                </w:p>
              </w:tc>
              <w:tc>
                <w:tcPr>
                  <w:tcW w:w="1063" w:type="dxa"/>
                  <w:vMerge w:val="continue"/>
                  <w:vAlign w:val="center"/>
                </w:tcPr>
                <w:p>
                  <w:pPr>
                    <w:jc w:val="center"/>
                    <w:rPr>
                      <w:rFonts w:hint="eastAsia"/>
                      <w:color w:val="auto"/>
                      <w:sz w:val="21"/>
                      <w:szCs w:val="21"/>
                    </w:rPr>
                  </w:pPr>
                </w:p>
              </w:tc>
              <w:tc>
                <w:tcPr>
                  <w:tcW w:w="1100" w:type="dxa"/>
                  <w:vMerge w:val="continue"/>
                  <w:vAlign w:val="center"/>
                </w:tcPr>
                <w:p>
                  <w:pPr>
                    <w:jc w:val="center"/>
                    <w:rPr>
                      <w:rFonts w:hint="eastAsia"/>
                      <w:color w:val="auto"/>
                      <w:sz w:val="21"/>
                      <w:szCs w:val="21"/>
                    </w:rPr>
                  </w:pPr>
                </w:p>
              </w:tc>
              <w:tc>
                <w:tcPr>
                  <w:tcW w:w="871" w:type="dxa"/>
                  <w:vMerge w:val="continue"/>
                  <w:vAlign w:val="center"/>
                </w:tcPr>
                <w:p>
                  <w:pPr>
                    <w:jc w:val="center"/>
                    <w:rPr>
                      <w:rFonts w:hint="eastAsia"/>
                      <w:color w:val="auto"/>
                      <w:sz w:val="21"/>
                      <w:szCs w:val="21"/>
                    </w:rPr>
                  </w:pP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无组织</w:t>
                  </w:r>
                </w:p>
              </w:tc>
              <w:tc>
                <w:tcPr>
                  <w:tcW w:w="851"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0.821</w:t>
                  </w:r>
                </w:p>
              </w:tc>
              <w:tc>
                <w:tcPr>
                  <w:tcW w:w="851"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eastAsia="宋体"/>
                      <w:color w:val="auto"/>
                      <w:sz w:val="21"/>
                      <w:szCs w:val="21"/>
                      <w:lang w:val="en-US" w:eastAsia="zh-CN"/>
                    </w:rPr>
                    <w:t>1.971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restart"/>
                  <w:vAlign w:val="center"/>
                </w:tcPr>
                <w:p>
                  <w:pPr>
                    <w:jc w:val="center"/>
                    <w:rPr>
                      <w:rFonts w:hint="eastAsia"/>
                      <w:color w:val="auto"/>
                      <w:sz w:val="21"/>
                      <w:szCs w:val="21"/>
                    </w:rPr>
                  </w:pPr>
                  <w:r>
                    <w:rPr>
                      <w:rFonts w:hint="eastAsia"/>
                      <w:color w:val="auto"/>
                      <w:sz w:val="21"/>
                      <w:szCs w:val="21"/>
                      <w:lang w:val="en-US" w:eastAsia="zh-CN"/>
                    </w:rPr>
                    <w:t>大管外</w:t>
                  </w:r>
                  <w:r>
                    <w:rPr>
                      <w:rFonts w:hint="eastAsia"/>
                      <w:color w:val="auto"/>
                      <w:sz w:val="21"/>
                      <w:szCs w:val="21"/>
                    </w:rPr>
                    <w:t>抛粉尘</w:t>
                  </w:r>
                </w:p>
              </w:tc>
              <w:tc>
                <w:tcPr>
                  <w:tcW w:w="1063" w:type="dxa"/>
                  <w:vMerge w:val="restart"/>
                  <w:vAlign w:val="center"/>
                </w:tcPr>
                <w:p>
                  <w:pPr>
                    <w:jc w:val="center"/>
                    <w:rPr>
                      <w:rFonts w:hint="eastAsia"/>
                      <w:color w:val="auto"/>
                      <w:sz w:val="21"/>
                      <w:szCs w:val="21"/>
                    </w:rPr>
                  </w:pPr>
                  <w:r>
                    <w:rPr>
                      <w:rFonts w:hint="eastAsia"/>
                      <w:color w:val="auto"/>
                      <w:sz w:val="21"/>
                      <w:szCs w:val="21"/>
                    </w:rPr>
                    <w:t>颗粒物</w:t>
                  </w:r>
                </w:p>
              </w:tc>
              <w:tc>
                <w:tcPr>
                  <w:tcW w:w="1100" w:type="dxa"/>
                  <w:vMerge w:val="restart"/>
                  <w:vAlign w:val="center"/>
                </w:tcPr>
                <w:p>
                  <w:pPr>
                    <w:jc w:val="center"/>
                    <w:rPr>
                      <w:rFonts w:hint="eastAsia"/>
                      <w:color w:val="auto"/>
                      <w:sz w:val="21"/>
                      <w:szCs w:val="21"/>
                    </w:rPr>
                  </w:pPr>
                  <w:r>
                    <w:rPr>
                      <w:rFonts w:hint="eastAsia"/>
                      <w:color w:val="auto"/>
                      <w:sz w:val="21"/>
                      <w:szCs w:val="21"/>
                      <w:lang w:val="en-US" w:eastAsia="zh-CN"/>
                    </w:rPr>
                    <w:t>39.42</w:t>
                  </w:r>
                </w:p>
              </w:tc>
              <w:tc>
                <w:tcPr>
                  <w:tcW w:w="871" w:type="dxa"/>
                  <w:vMerge w:val="restart"/>
                  <w:vAlign w:val="center"/>
                </w:tcPr>
                <w:p>
                  <w:pPr>
                    <w:jc w:val="center"/>
                    <w:rPr>
                      <w:rFonts w:hint="eastAsia"/>
                      <w:color w:val="auto"/>
                      <w:sz w:val="21"/>
                      <w:szCs w:val="21"/>
                    </w:rPr>
                  </w:pPr>
                  <w:r>
                    <w:rPr>
                      <w:rFonts w:hint="eastAsia"/>
                      <w:color w:val="auto"/>
                      <w:sz w:val="21"/>
                      <w:szCs w:val="21"/>
                      <w:lang w:val="en-US" w:eastAsia="zh-CN"/>
                    </w:rPr>
                    <w:t>36.7</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color w:val="auto"/>
                      <w:sz w:val="21"/>
                      <w:szCs w:val="21"/>
                    </w:rPr>
                  </w:pPr>
                  <w:r>
                    <w:rPr>
                      <w:rFonts w:hint="eastAsia"/>
                      <w:color w:val="auto"/>
                      <w:sz w:val="21"/>
                      <w:szCs w:val="21"/>
                    </w:rPr>
                    <w:t>有</w:t>
                  </w:r>
                  <w:r>
                    <w:rPr>
                      <w:color w:val="auto"/>
                      <w:sz w:val="21"/>
                      <w:szCs w:val="21"/>
                    </w:rPr>
                    <w:t>组织</w:t>
                  </w:r>
                </w:p>
                <w:p>
                  <w:pPr>
                    <w:jc w:val="center"/>
                    <w:rPr>
                      <w:rFonts w:hint="default"/>
                      <w:color w:val="auto"/>
                      <w:sz w:val="21"/>
                      <w:szCs w:val="21"/>
                      <w:lang w:val="en-US" w:eastAsia="zh-CN"/>
                    </w:rPr>
                  </w:pPr>
                  <w:r>
                    <w:rPr>
                      <w:rFonts w:hint="eastAsia"/>
                      <w:color w:val="auto"/>
                      <w:sz w:val="21"/>
                      <w:szCs w:val="21"/>
                    </w:rPr>
                    <w:t>DA0</w:t>
                  </w:r>
                  <w:r>
                    <w:rPr>
                      <w:rFonts w:hint="eastAsia"/>
                      <w:color w:val="auto"/>
                      <w:sz w:val="21"/>
                      <w:szCs w:val="21"/>
                      <w:lang w:val="en-US" w:eastAsia="zh-CN"/>
                    </w:rPr>
                    <w:t>06</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15.604</w:t>
                  </w:r>
                </w:p>
              </w:tc>
              <w:tc>
                <w:tcPr>
                  <w:tcW w:w="851" w:type="dxa"/>
                  <w:vAlign w:val="center"/>
                </w:tcPr>
                <w:p>
                  <w:pPr>
                    <w:jc w:val="center"/>
                    <w:rPr>
                      <w:rFonts w:hint="eastAsia"/>
                      <w:color w:val="auto"/>
                      <w:sz w:val="21"/>
                      <w:szCs w:val="21"/>
                      <w:lang w:val="en-US" w:eastAsia="zh-CN"/>
                    </w:rPr>
                  </w:pPr>
                  <w:r>
                    <w:rPr>
                      <w:rFonts w:hint="eastAsia"/>
                      <w:color w:val="auto"/>
                      <w:sz w:val="21"/>
                      <w:szCs w:val="21"/>
                      <w:lang w:val="en-US" w:eastAsia="zh-CN"/>
                    </w:rPr>
                    <w:t>0.312</w:t>
                  </w:r>
                </w:p>
              </w:tc>
              <w:tc>
                <w:tcPr>
                  <w:tcW w:w="851" w:type="dxa"/>
                  <w:vAlign w:val="center"/>
                </w:tcPr>
                <w:p>
                  <w:pPr>
                    <w:jc w:val="center"/>
                    <w:rPr>
                      <w:rFonts w:hint="eastAsia"/>
                      <w:color w:val="auto"/>
                      <w:sz w:val="21"/>
                      <w:szCs w:val="21"/>
                    </w:rPr>
                  </w:pPr>
                  <w:r>
                    <w:rPr>
                      <w:rFonts w:hint="eastAsia" w:eastAsia="宋体"/>
                      <w:color w:val="auto"/>
                      <w:sz w:val="21"/>
                      <w:szCs w:val="21"/>
                      <w:lang w:val="en-US" w:eastAsia="zh-CN"/>
                    </w:rPr>
                    <w:t>0.749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33" w:type="dxa"/>
                  <w:vMerge w:val="continue"/>
                  <w:vAlign w:val="center"/>
                </w:tcPr>
                <w:p>
                  <w:pPr>
                    <w:jc w:val="center"/>
                    <w:rPr>
                      <w:rFonts w:hint="eastAsia"/>
                      <w:color w:val="auto"/>
                      <w:sz w:val="21"/>
                      <w:szCs w:val="21"/>
                    </w:rPr>
                  </w:pPr>
                </w:p>
              </w:tc>
              <w:tc>
                <w:tcPr>
                  <w:tcW w:w="1063" w:type="dxa"/>
                  <w:vMerge w:val="continue"/>
                  <w:vAlign w:val="center"/>
                </w:tcPr>
                <w:p>
                  <w:pPr>
                    <w:jc w:val="center"/>
                    <w:rPr>
                      <w:rFonts w:hint="eastAsia"/>
                      <w:color w:val="auto"/>
                      <w:sz w:val="21"/>
                      <w:szCs w:val="21"/>
                    </w:rPr>
                  </w:pPr>
                </w:p>
              </w:tc>
              <w:tc>
                <w:tcPr>
                  <w:tcW w:w="1100" w:type="dxa"/>
                  <w:vMerge w:val="continue"/>
                  <w:vAlign w:val="center"/>
                </w:tcPr>
                <w:p>
                  <w:pPr>
                    <w:jc w:val="center"/>
                    <w:rPr>
                      <w:rFonts w:hint="eastAsia"/>
                      <w:color w:val="auto"/>
                      <w:sz w:val="21"/>
                      <w:szCs w:val="21"/>
                    </w:rPr>
                  </w:pPr>
                </w:p>
              </w:tc>
              <w:tc>
                <w:tcPr>
                  <w:tcW w:w="871" w:type="dxa"/>
                  <w:vMerge w:val="continue"/>
                  <w:vAlign w:val="center"/>
                </w:tcPr>
                <w:p>
                  <w:pPr>
                    <w:jc w:val="center"/>
                    <w:rPr>
                      <w:rFonts w:hint="eastAsia"/>
                      <w:color w:val="auto"/>
                      <w:sz w:val="21"/>
                      <w:szCs w:val="21"/>
                    </w:rPr>
                  </w:pPr>
                </w:p>
              </w:tc>
              <w:tc>
                <w:tcPr>
                  <w:tcW w:w="1135" w:type="dxa"/>
                  <w:vAlign w:val="center"/>
                </w:tcPr>
                <w:p>
                  <w:pPr>
                    <w:jc w:val="center"/>
                    <w:rPr>
                      <w:rFonts w:hint="eastAsia"/>
                      <w:color w:val="auto"/>
                      <w:sz w:val="21"/>
                      <w:szCs w:val="21"/>
                      <w:lang w:val="en-US" w:eastAsia="zh-CN"/>
                    </w:rPr>
                  </w:pPr>
                  <w:r>
                    <w:rPr>
                      <w:rFonts w:hint="eastAsia"/>
                      <w:color w:val="auto"/>
                      <w:sz w:val="21"/>
                      <w:szCs w:val="21"/>
                      <w:lang w:val="en-US" w:eastAsia="zh-CN"/>
                    </w:rPr>
                    <w:t>无组织</w:t>
                  </w:r>
                </w:p>
              </w:tc>
              <w:tc>
                <w:tcPr>
                  <w:tcW w:w="851" w:type="dxa"/>
                  <w:vAlign w:val="center"/>
                </w:tcPr>
                <w:p>
                  <w:pPr>
                    <w:jc w:val="center"/>
                    <w:rPr>
                      <w:rFonts w:hint="eastAsia"/>
                      <w:color w:val="auto"/>
                      <w:sz w:val="21"/>
                      <w:szCs w:val="21"/>
                      <w:lang w:val="en-US" w:eastAsia="zh-CN"/>
                    </w:rPr>
                  </w:pPr>
                  <w:r>
                    <w:rPr>
                      <w:rFonts w:hint="eastAsia"/>
                      <w:color w:val="auto"/>
                      <w:sz w:val="21"/>
                      <w:szCs w:val="21"/>
                      <w:lang w:val="en-US" w:eastAsia="zh-CN"/>
                    </w:rPr>
                    <w:t>/</w:t>
                  </w:r>
                </w:p>
              </w:tc>
              <w:tc>
                <w:tcPr>
                  <w:tcW w:w="851" w:type="dxa"/>
                  <w:vAlign w:val="center"/>
                </w:tcPr>
                <w:p>
                  <w:pPr>
                    <w:jc w:val="center"/>
                    <w:rPr>
                      <w:rFonts w:hint="eastAsia"/>
                      <w:color w:val="auto"/>
                      <w:sz w:val="21"/>
                      <w:szCs w:val="21"/>
                      <w:lang w:val="en-US" w:eastAsia="zh-CN"/>
                    </w:rPr>
                  </w:pPr>
                  <w:r>
                    <w:rPr>
                      <w:rFonts w:hint="eastAsia"/>
                      <w:color w:val="auto"/>
                      <w:sz w:val="21"/>
                      <w:szCs w:val="21"/>
                      <w:lang w:val="en-US" w:eastAsia="zh-CN"/>
                    </w:rPr>
                    <w:t>0.821</w:t>
                  </w:r>
                </w:p>
              </w:tc>
              <w:tc>
                <w:tcPr>
                  <w:tcW w:w="851" w:type="dxa"/>
                  <w:vAlign w:val="center"/>
                </w:tcPr>
                <w:p>
                  <w:pPr>
                    <w:jc w:val="center"/>
                    <w:rPr>
                      <w:rFonts w:hint="eastAsia"/>
                      <w:color w:val="auto"/>
                      <w:sz w:val="21"/>
                      <w:szCs w:val="21"/>
                    </w:rPr>
                  </w:pPr>
                  <w:r>
                    <w:rPr>
                      <w:rFonts w:hint="eastAsia" w:eastAsia="宋体"/>
                      <w:color w:val="auto"/>
                      <w:sz w:val="21"/>
                      <w:szCs w:val="21"/>
                      <w:lang w:val="en-US" w:eastAsia="zh-CN"/>
                    </w:rPr>
                    <w:t>1.971</w:t>
                  </w:r>
                </w:p>
              </w:tc>
            </w:tr>
          </w:tbl>
          <w:p>
            <w:pPr>
              <w:tabs>
                <w:tab w:val="left" w:pos="4288"/>
              </w:tabs>
              <w:spacing w:line="240" w:lineRule="auto"/>
              <w:ind w:firstLine="420" w:firstLineChars="200"/>
              <w:outlineLvl w:val="2"/>
              <w:rPr>
                <w:rFonts w:hint="eastAsia" w:ascii="Times New Roman" w:hAnsi="Times New Roman" w:eastAsia="宋体" w:cs="Times New Roman"/>
                <w:color w:val="auto"/>
                <w:sz w:val="24"/>
                <w:szCs w:val="22"/>
                <w:lang w:val="en-US" w:eastAsia="zh-CN"/>
              </w:rPr>
            </w:pPr>
            <w:r>
              <w:rPr>
                <w:rFonts w:hint="eastAsia"/>
                <w:color w:val="auto"/>
                <w:sz w:val="21"/>
                <w:szCs w:val="21"/>
              </w:rPr>
              <w:t>注：抛丸工段年</w:t>
            </w:r>
            <w:r>
              <w:rPr>
                <w:rFonts w:hint="eastAsia" w:ascii="Times New Roman" w:hAnsi="Times New Roman"/>
                <w:color w:val="auto"/>
                <w:sz w:val="21"/>
                <w:szCs w:val="21"/>
              </w:rPr>
              <w:t>工作时间按</w:t>
            </w:r>
            <w:r>
              <w:rPr>
                <w:rFonts w:hint="eastAsia"/>
                <w:color w:val="auto"/>
                <w:sz w:val="21"/>
                <w:szCs w:val="21"/>
                <w:lang w:val="en-US" w:eastAsia="zh-CN"/>
              </w:rPr>
              <w:t>24</w:t>
            </w:r>
            <w:r>
              <w:rPr>
                <w:rFonts w:hint="eastAsia" w:ascii="Times New Roman" w:hAnsi="Times New Roman"/>
                <w:color w:val="auto"/>
                <w:sz w:val="21"/>
                <w:szCs w:val="21"/>
                <w:lang w:val="en-US" w:eastAsia="zh-CN"/>
              </w:rPr>
              <w:t>0</w:t>
            </w:r>
            <w:r>
              <w:rPr>
                <w:rFonts w:hint="eastAsia" w:ascii="Times New Roman" w:hAnsi="Times New Roman"/>
                <w:color w:val="auto"/>
                <w:sz w:val="21"/>
                <w:szCs w:val="21"/>
              </w:rPr>
              <w:t>0h计。</w:t>
            </w:r>
          </w:p>
          <w:p>
            <w:pPr>
              <w:tabs>
                <w:tab w:val="left" w:pos="4288"/>
              </w:tabs>
              <w:spacing w:line="240" w:lineRule="auto"/>
              <w:ind w:firstLine="480" w:firstLineChars="200"/>
              <w:outlineLvl w:val="2"/>
              <w:rPr>
                <w:rFonts w:hint="eastAsia" w:ascii="Times New Roman" w:hAnsi="Times New Roman" w:eastAsia="宋体" w:cs="Times New Roman"/>
                <w:color w:val="auto"/>
              </w:rPr>
            </w:pPr>
          </w:p>
          <w:p>
            <w:pPr>
              <w:tabs>
                <w:tab w:val="left" w:pos="4288"/>
              </w:tabs>
              <w:spacing w:line="360" w:lineRule="auto"/>
              <w:ind w:firstLine="480" w:firstLineChars="200"/>
              <w:outlineLvl w:val="2"/>
              <w:rPr>
                <w:rFonts w:hint="eastAsia" w:ascii="Times New Roman" w:hAnsi="Times New Roman" w:eastAsia="宋体" w:cs="Times New Roman"/>
                <w:color w:val="auto"/>
              </w:rPr>
            </w:pPr>
            <w:r>
              <w:rPr>
                <w:rFonts w:hint="eastAsia" w:ascii="Times New Roman" w:hAnsi="Times New Roman" w:eastAsia="宋体" w:cs="Times New Roman"/>
                <w:color w:val="auto"/>
              </w:rPr>
              <w:t>根据表4-</w:t>
            </w:r>
            <w:r>
              <w:rPr>
                <w:rFonts w:hint="eastAsia" w:cs="Times New Roman"/>
                <w:color w:val="auto"/>
                <w:lang w:val="en-US" w:eastAsia="zh-CN"/>
              </w:rPr>
              <w:t>1</w:t>
            </w:r>
            <w:r>
              <w:rPr>
                <w:rFonts w:hint="eastAsia" w:ascii="Times New Roman" w:hAnsi="Times New Roman" w:eastAsia="宋体" w:cs="Times New Roman"/>
                <w:color w:val="auto"/>
              </w:rPr>
              <w:t>可知，</w:t>
            </w:r>
            <w:r>
              <w:rPr>
                <w:rFonts w:hint="eastAsia" w:ascii="Times New Roman" w:hAnsi="Times New Roman" w:eastAsia="宋体" w:cs="Times New Roman"/>
                <w:color w:val="auto"/>
                <w:lang w:val="en-US" w:eastAsia="zh-CN"/>
              </w:rPr>
              <w:t>抛丸</w:t>
            </w:r>
            <w:r>
              <w:rPr>
                <w:rFonts w:hint="eastAsia" w:ascii="Times New Roman" w:hAnsi="Times New Roman" w:eastAsia="宋体" w:cs="Times New Roman"/>
                <w:color w:val="auto"/>
              </w:rPr>
              <w:t>过程产生的颗粒物的最大排放浓度均能够达到DB33/2146-2018《工业涂装工序大气污染物排放标准》中表1排放限值要求。</w:t>
            </w:r>
          </w:p>
          <w:p>
            <w:pPr>
              <w:tabs>
                <w:tab w:val="left" w:pos="4288"/>
              </w:tabs>
              <w:outlineLvl w:val="2"/>
              <w:rPr>
                <w:color w:val="FF0000"/>
                <w:sz w:val="21"/>
                <w:szCs w:val="21"/>
              </w:rPr>
            </w:pPr>
          </w:p>
          <w:p>
            <w:pPr>
              <w:tabs>
                <w:tab w:val="left" w:pos="4288"/>
              </w:tabs>
              <w:spacing w:line="360" w:lineRule="auto"/>
              <w:ind w:firstLine="480" w:firstLineChars="200"/>
              <w:outlineLvl w:val="2"/>
              <w:rPr>
                <w:rFonts w:hint="default" w:eastAsia="宋体"/>
                <w:color w:val="auto"/>
                <w:szCs w:val="24"/>
                <w:lang w:val="en-US" w:eastAsia="zh-CN"/>
              </w:rPr>
            </w:pPr>
            <w:r>
              <w:rPr>
                <w:rFonts w:hint="eastAsia"/>
                <w:color w:val="auto"/>
                <w:szCs w:val="24"/>
              </w:rPr>
              <w:t>b）</w:t>
            </w:r>
            <w:r>
              <w:rPr>
                <w:rFonts w:hint="eastAsia"/>
                <w:color w:val="auto"/>
                <w:szCs w:val="24"/>
                <w:lang w:val="en-US" w:eastAsia="zh-CN"/>
              </w:rPr>
              <w:t>油漆废气</w:t>
            </w:r>
          </w:p>
          <w:p>
            <w:pPr>
              <w:tabs>
                <w:tab w:val="left" w:pos="4288"/>
              </w:tabs>
              <w:spacing w:line="360" w:lineRule="auto"/>
              <w:ind w:firstLine="480" w:firstLineChars="200"/>
              <w:outlineLvl w:val="2"/>
              <w:rPr>
                <w:color w:val="FF0000"/>
              </w:rPr>
            </w:pPr>
            <w:r>
              <w:rPr>
                <w:rFonts w:hint="eastAsia"/>
                <w:color w:val="auto"/>
                <w:lang w:val="en-US" w:eastAsia="zh-CN"/>
              </w:rPr>
              <w:t>企业共设有两座油漆房，其中一座为原有的刷漆房，一座为新增的喷漆房。现拟将原有的刷漆房改成小管刷漆房，新增的喷漆房作为大管喷漆房使用。项目不设调漆工序</w:t>
            </w:r>
            <w:r>
              <w:rPr>
                <w:rFonts w:hint="eastAsia"/>
                <w:color w:val="auto"/>
                <w:lang w:eastAsia="zh-CN"/>
              </w:rPr>
              <w:t>，</w:t>
            </w:r>
            <w:r>
              <w:rPr>
                <w:color w:val="auto"/>
              </w:rPr>
              <w:t>在本项目</w:t>
            </w:r>
            <w:r>
              <w:rPr>
                <w:rFonts w:hint="eastAsia"/>
                <w:color w:val="auto"/>
                <w:lang w:val="en-US" w:eastAsia="zh-CN"/>
              </w:rPr>
              <w:t>油</w:t>
            </w:r>
            <w:r>
              <w:rPr>
                <w:color w:val="auto"/>
              </w:rPr>
              <w:t>漆及晾干过程中，会产生一定量的有机废气。</w:t>
            </w:r>
          </w:p>
          <w:p>
            <w:pPr>
              <w:tabs>
                <w:tab w:val="left" w:pos="4288"/>
              </w:tabs>
              <w:spacing w:line="360" w:lineRule="auto"/>
              <w:ind w:firstLine="480" w:firstLineChars="200"/>
              <w:outlineLvl w:val="2"/>
              <w:rPr>
                <w:color w:val="FF0000"/>
              </w:rPr>
            </w:pPr>
            <w:r>
              <w:rPr>
                <w:color w:val="auto"/>
              </w:rPr>
              <w:t>项目</w:t>
            </w:r>
            <w:r>
              <w:rPr>
                <w:rFonts w:hint="eastAsia"/>
                <w:color w:val="auto"/>
                <w:lang w:val="en-US" w:eastAsia="zh-CN"/>
              </w:rPr>
              <w:t>油</w:t>
            </w:r>
            <w:r>
              <w:rPr>
                <w:color w:val="auto"/>
              </w:rPr>
              <w:t>漆用量</w:t>
            </w:r>
            <w:r>
              <w:rPr>
                <w:rFonts w:hint="eastAsia"/>
                <w:color w:val="auto"/>
                <w:lang w:val="en-US" w:eastAsia="zh-CN"/>
              </w:rPr>
              <w:t>合计为50</w:t>
            </w:r>
            <w:r>
              <w:rPr>
                <w:color w:val="auto"/>
              </w:rPr>
              <w:t>吨</w:t>
            </w:r>
            <w:r>
              <w:rPr>
                <w:rFonts w:hint="eastAsia"/>
                <w:color w:val="auto"/>
                <w:lang w:eastAsia="zh-CN"/>
              </w:rPr>
              <w:t>，</w:t>
            </w:r>
            <w:r>
              <w:rPr>
                <w:rFonts w:hint="eastAsia"/>
                <w:color w:val="auto"/>
                <w:lang w:val="en-US" w:eastAsia="zh-CN"/>
              </w:rPr>
              <w:t>其中小管占比20%，即小管油漆用量10t/a，大管油漆用量40t/a。</w:t>
            </w:r>
            <w:r>
              <w:rPr>
                <w:color w:val="auto"/>
              </w:rPr>
              <w:t>其中有机废气在</w:t>
            </w:r>
            <w:r>
              <w:rPr>
                <w:rFonts w:hint="eastAsia"/>
                <w:color w:val="auto"/>
                <w:lang w:val="en-US" w:eastAsia="zh-CN"/>
              </w:rPr>
              <w:t>油</w:t>
            </w:r>
            <w:r>
              <w:rPr>
                <w:color w:val="auto"/>
              </w:rPr>
              <w:t>漆及后续晾干过程中考虑全部挥发，具体本项目油漆废气产生部位</w:t>
            </w:r>
            <w:r>
              <w:rPr>
                <w:rFonts w:hint="eastAsia"/>
                <w:color w:val="auto"/>
                <w:lang w:val="en-US" w:eastAsia="zh-CN"/>
              </w:rPr>
              <w:t>喷漆</w:t>
            </w:r>
            <w:r>
              <w:rPr>
                <w:color w:val="auto"/>
              </w:rPr>
              <w:t>和</w:t>
            </w:r>
            <w:r>
              <w:rPr>
                <w:rFonts w:hint="eastAsia"/>
                <w:color w:val="auto"/>
                <w:lang w:val="en-US" w:eastAsia="zh-CN"/>
              </w:rPr>
              <w:t>刷</w:t>
            </w:r>
            <w:r>
              <w:rPr>
                <w:color w:val="auto"/>
              </w:rPr>
              <w:t>漆合计按30%、晾干按70%计。</w:t>
            </w:r>
            <w:r>
              <w:rPr>
                <w:rFonts w:hint="eastAsia"/>
                <w:color w:val="auto"/>
              </w:rPr>
              <w:t>另外</w:t>
            </w:r>
            <w:r>
              <w:rPr>
                <w:color w:val="auto"/>
              </w:rPr>
              <w:t>在喷漆过程会有</w:t>
            </w:r>
            <w:r>
              <w:rPr>
                <w:rFonts w:hint="eastAsia"/>
                <w:color w:val="auto"/>
              </w:rPr>
              <w:t>一定</w:t>
            </w:r>
            <w:r>
              <w:rPr>
                <w:color w:val="auto"/>
              </w:rPr>
              <w:t>量的漆雾产生，根据喷漆工艺的特点和技术人员的介绍，根据产品油漆附着率和干物质含量估算漆雾的产生量，漆雾产生量为其固含量的</w:t>
            </w:r>
            <w:r>
              <w:rPr>
                <w:rFonts w:hint="eastAsia"/>
                <w:color w:val="auto"/>
                <w:lang w:val="en-US" w:eastAsia="zh-CN"/>
              </w:rPr>
              <w:t>15</w:t>
            </w:r>
            <w:r>
              <w:rPr>
                <w:color w:val="auto"/>
              </w:rPr>
              <w:t>%。</w:t>
            </w:r>
            <w:r>
              <w:rPr>
                <w:rFonts w:hint="eastAsia"/>
                <w:color w:val="auto"/>
              </w:rPr>
              <w:t>有机废气发生量根据</w:t>
            </w:r>
            <w:r>
              <w:rPr>
                <w:color w:val="auto"/>
              </w:rPr>
              <w:t>企业供应商提供的</w:t>
            </w:r>
            <w:r>
              <w:rPr>
                <w:rFonts w:hint="eastAsia"/>
                <w:color w:val="auto"/>
              </w:rPr>
              <w:t>油漆</w:t>
            </w:r>
            <w:r>
              <w:rPr>
                <w:rFonts w:hint="eastAsia"/>
                <w:color w:val="auto"/>
                <w:lang w:val="en-US" w:eastAsia="zh-CN"/>
              </w:rPr>
              <w:t>MSDS成分报告</w:t>
            </w:r>
            <w:r>
              <w:rPr>
                <w:rFonts w:hint="eastAsia"/>
                <w:color w:val="auto"/>
              </w:rPr>
              <w:t>进行计算，</w:t>
            </w:r>
            <w:r>
              <w:rPr>
                <w:color w:val="auto"/>
              </w:rPr>
              <w:t>本项目油漆废气中各项污染物产生情况见表</w:t>
            </w:r>
            <w:r>
              <w:rPr>
                <w:rFonts w:hint="eastAsia"/>
                <w:color w:val="auto"/>
              </w:rPr>
              <w:t>4</w:t>
            </w:r>
            <w:r>
              <w:rPr>
                <w:color w:val="auto"/>
              </w:rPr>
              <w:t>-</w:t>
            </w:r>
            <w:r>
              <w:rPr>
                <w:rFonts w:hint="eastAsia"/>
                <w:color w:val="auto"/>
                <w:lang w:val="en-US" w:eastAsia="zh-CN"/>
              </w:rPr>
              <w:t>2</w:t>
            </w:r>
            <w:r>
              <w:rPr>
                <w:color w:val="auto"/>
              </w:rPr>
              <w:t>。</w:t>
            </w:r>
          </w:p>
          <w:p>
            <w:pPr>
              <w:autoSpaceDE w:val="0"/>
              <w:autoSpaceDN w:val="0"/>
              <w:spacing w:line="360" w:lineRule="auto"/>
              <w:jc w:val="center"/>
              <w:rPr>
                <w:b/>
                <w:color w:val="FF0000"/>
                <w:kern w:val="0"/>
              </w:rPr>
            </w:pPr>
            <w:r>
              <w:rPr>
                <w:b/>
                <w:color w:val="auto"/>
                <w:kern w:val="0"/>
              </w:rPr>
              <w:t>表</w:t>
            </w:r>
            <w:r>
              <w:rPr>
                <w:rFonts w:hint="eastAsia"/>
                <w:b/>
                <w:color w:val="auto"/>
                <w:kern w:val="0"/>
              </w:rPr>
              <w:t>4</w:t>
            </w:r>
            <w:r>
              <w:rPr>
                <w:b/>
                <w:color w:val="auto"/>
                <w:kern w:val="0"/>
              </w:rPr>
              <w:t>-</w:t>
            </w:r>
            <w:r>
              <w:rPr>
                <w:rFonts w:hint="eastAsia"/>
                <w:b/>
                <w:color w:val="auto"/>
                <w:kern w:val="0"/>
                <w:lang w:val="en-US" w:eastAsia="zh-CN"/>
              </w:rPr>
              <w:t>2</w:t>
            </w:r>
            <w:r>
              <w:rPr>
                <w:rFonts w:hint="eastAsia"/>
                <w:b/>
                <w:color w:val="auto"/>
                <w:kern w:val="0"/>
              </w:rPr>
              <w:t xml:space="preserve">  </w:t>
            </w:r>
            <w:r>
              <w:rPr>
                <w:b/>
                <w:color w:val="auto"/>
                <w:kern w:val="0"/>
              </w:rPr>
              <w:t>本项目油漆中有机废气污染物产生情况</w:t>
            </w:r>
          </w:p>
          <w:tbl>
            <w:tblPr>
              <w:tblStyle w:val="29"/>
              <w:tblW w:w="765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53"/>
              <w:gridCol w:w="1600"/>
              <w:gridCol w:w="1600"/>
              <w:gridCol w:w="1600"/>
              <w:gridCol w:w="16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1253" w:type="dxa"/>
                  <w:vAlign w:val="center"/>
                </w:tcPr>
                <w:p>
                  <w:pPr>
                    <w:jc w:val="center"/>
                    <w:rPr>
                      <w:b/>
                      <w:bCs/>
                      <w:color w:val="auto"/>
                      <w:sz w:val="21"/>
                      <w:szCs w:val="21"/>
                    </w:rPr>
                  </w:pPr>
                  <w:r>
                    <w:rPr>
                      <w:b/>
                      <w:bCs/>
                      <w:color w:val="auto"/>
                      <w:sz w:val="21"/>
                      <w:szCs w:val="21"/>
                    </w:rPr>
                    <w:t>油漆种类</w:t>
                  </w:r>
                </w:p>
              </w:tc>
              <w:tc>
                <w:tcPr>
                  <w:tcW w:w="1600" w:type="dxa"/>
                  <w:tcBorders>
                    <w:right w:val="single" w:color="auto" w:sz="4" w:space="0"/>
                  </w:tcBorders>
                  <w:vAlign w:val="center"/>
                </w:tcPr>
                <w:p>
                  <w:pPr>
                    <w:jc w:val="center"/>
                    <w:rPr>
                      <w:b/>
                      <w:bCs/>
                      <w:color w:val="auto"/>
                      <w:sz w:val="21"/>
                      <w:szCs w:val="21"/>
                    </w:rPr>
                  </w:pPr>
                  <w:r>
                    <w:rPr>
                      <w:b/>
                      <w:bCs/>
                      <w:color w:val="auto"/>
                      <w:sz w:val="21"/>
                      <w:szCs w:val="21"/>
                    </w:rPr>
                    <w:t>污染物种类</w:t>
                  </w:r>
                </w:p>
              </w:tc>
              <w:tc>
                <w:tcPr>
                  <w:tcW w:w="1600" w:type="dxa"/>
                  <w:tcBorders>
                    <w:left w:val="single" w:color="auto" w:sz="4" w:space="0"/>
                    <w:right w:val="single" w:color="auto" w:sz="4" w:space="0"/>
                  </w:tcBorders>
                  <w:vAlign w:val="center"/>
                </w:tcPr>
                <w:p>
                  <w:pPr>
                    <w:jc w:val="center"/>
                    <w:rPr>
                      <w:b/>
                      <w:bCs/>
                      <w:color w:val="auto"/>
                      <w:sz w:val="21"/>
                      <w:szCs w:val="21"/>
                    </w:rPr>
                  </w:pPr>
                  <w:r>
                    <w:rPr>
                      <w:b/>
                      <w:bCs/>
                      <w:color w:val="auto"/>
                      <w:sz w:val="21"/>
                      <w:szCs w:val="21"/>
                    </w:rPr>
                    <w:t>喷漆工序t/a</w:t>
                  </w:r>
                </w:p>
              </w:tc>
              <w:tc>
                <w:tcPr>
                  <w:tcW w:w="1600" w:type="dxa"/>
                  <w:tcBorders>
                    <w:left w:val="single" w:color="auto" w:sz="4" w:space="0"/>
                  </w:tcBorders>
                  <w:vAlign w:val="center"/>
                </w:tcPr>
                <w:p>
                  <w:pPr>
                    <w:jc w:val="center"/>
                    <w:rPr>
                      <w:b/>
                      <w:bCs/>
                      <w:color w:val="auto"/>
                      <w:sz w:val="21"/>
                      <w:szCs w:val="21"/>
                    </w:rPr>
                  </w:pPr>
                  <w:r>
                    <w:rPr>
                      <w:b/>
                      <w:bCs/>
                      <w:color w:val="auto"/>
                      <w:sz w:val="21"/>
                      <w:szCs w:val="21"/>
                    </w:rPr>
                    <w:t>晾干工序t/a</w:t>
                  </w:r>
                </w:p>
              </w:tc>
              <w:tc>
                <w:tcPr>
                  <w:tcW w:w="1600" w:type="dxa"/>
                  <w:vAlign w:val="center"/>
                </w:tcPr>
                <w:p>
                  <w:pPr>
                    <w:jc w:val="center"/>
                    <w:rPr>
                      <w:b/>
                      <w:bCs/>
                      <w:color w:val="auto"/>
                      <w:sz w:val="21"/>
                      <w:szCs w:val="21"/>
                    </w:rPr>
                  </w:pPr>
                  <w:r>
                    <w:rPr>
                      <w:b/>
                      <w:bCs/>
                      <w:color w:val="auto"/>
                      <w:sz w:val="21"/>
                      <w:szCs w:val="21"/>
                    </w:rPr>
                    <w:t>产生量合计t/a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1253" w:type="dxa"/>
                  <w:vMerge w:val="restart"/>
                  <w:vAlign w:val="center"/>
                </w:tcPr>
                <w:p>
                  <w:pPr>
                    <w:jc w:val="center"/>
                    <w:rPr>
                      <w:rFonts w:hint="default"/>
                      <w:color w:val="auto"/>
                      <w:sz w:val="21"/>
                      <w:szCs w:val="21"/>
                      <w:lang w:val="en-US"/>
                    </w:rPr>
                  </w:pPr>
                  <w:r>
                    <w:rPr>
                      <w:rFonts w:hint="eastAsia"/>
                      <w:color w:val="auto"/>
                      <w:sz w:val="21"/>
                      <w:szCs w:val="21"/>
                      <w:lang w:val="en-US" w:eastAsia="zh-CN"/>
                    </w:rPr>
                    <w:t>外防腐无溶剂环氧防腐涂料</w:t>
                  </w:r>
                </w:p>
              </w:tc>
              <w:tc>
                <w:tcPr>
                  <w:tcW w:w="1600" w:type="dxa"/>
                  <w:tcBorders>
                    <w:right w:val="single" w:color="auto" w:sz="4" w:space="0"/>
                  </w:tcBorders>
                  <w:vAlign w:val="center"/>
                </w:tcPr>
                <w:p>
                  <w:pPr>
                    <w:jc w:val="center"/>
                    <w:rPr>
                      <w:rFonts w:hint="eastAsia" w:eastAsia="宋体"/>
                      <w:color w:val="auto"/>
                      <w:sz w:val="21"/>
                      <w:szCs w:val="21"/>
                      <w:lang w:eastAsia="zh-CN"/>
                    </w:rPr>
                  </w:pPr>
                  <w:r>
                    <w:rPr>
                      <w:rFonts w:hint="eastAsia"/>
                      <w:color w:val="auto"/>
                      <w:sz w:val="21"/>
                      <w:szCs w:val="21"/>
                      <w:lang w:val="en-US" w:eastAsia="zh-CN"/>
                    </w:rPr>
                    <w:t>二甲苯</w:t>
                  </w:r>
                </w:p>
              </w:tc>
              <w:tc>
                <w:tcPr>
                  <w:tcW w:w="1600"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0.225</w:t>
                  </w:r>
                </w:p>
              </w:tc>
              <w:tc>
                <w:tcPr>
                  <w:tcW w:w="1600" w:type="dxa"/>
                  <w:tcBorders>
                    <w:left w:val="single" w:color="auto" w:sz="4" w:space="0"/>
                  </w:tcBorders>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0.525</w:t>
                  </w:r>
                </w:p>
              </w:tc>
              <w:tc>
                <w:tcPr>
                  <w:tcW w:w="1600" w:type="dxa"/>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1253" w:type="dxa"/>
                  <w:vMerge w:val="continue"/>
                  <w:vAlign w:val="center"/>
                </w:tcPr>
                <w:p>
                  <w:pPr>
                    <w:jc w:val="center"/>
                    <w:rPr>
                      <w:color w:val="auto"/>
                      <w:sz w:val="21"/>
                      <w:szCs w:val="21"/>
                    </w:rPr>
                  </w:pPr>
                </w:p>
              </w:tc>
              <w:tc>
                <w:tcPr>
                  <w:tcW w:w="1600" w:type="dxa"/>
                  <w:tcBorders>
                    <w:right w:val="single" w:color="auto" w:sz="4" w:space="0"/>
                  </w:tcBorders>
                  <w:vAlign w:val="center"/>
                </w:tcPr>
                <w:p>
                  <w:pPr>
                    <w:jc w:val="center"/>
                    <w:rPr>
                      <w:color w:val="auto"/>
                      <w:sz w:val="21"/>
                      <w:szCs w:val="21"/>
                    </w:rPr>
                  </w:pPr>
                  <w:r>
                    <w:rPr>
                      <w:color w:val="auto"/>
                      <w:sz w:val="21"/>
                      <w:szCs w:val="21"/>
                    </w:rPr>
                    <w:t>颗粒物</w:t>
                  </w:r>
                </w:p>
              </w:tc>
              <w:tc>
                <w:tcPr>
                  <w:tcW w:w="1600" w:type="dxa"/>
                  <w:tcBorders>
                    <w:left w:val="single" w:color="auto" w:sz="4" w:space="0"/>
                    <w:right w:val="single" w:color="auto" w:sz="4" w:space="0"/>
                  </w:tcBorders>
                  <w:vAlign w:val="center"/>
                </w:tcPr>
                <w:p>
                  <w:pPr>
                    <w:jc w:val="center"/>
                    <w:rPr>
                      <w:rFonts w:hint="default" w:eastAsia="宋体"/>
                      <w:color w:val="auto"/>
                      <w:sz w:val="21"/>
                      <w:szCs w:val="21"/>
                      <w:lang w:val="en-US" w:eastAsia="zh-CN"/>
                    </w:rPr>
                  </w:pPr>
                  <w:r>
                    <w:rPr>
                      <w:rFonts w:hint="eastAsia"/>
                      <w:color w:val="auto"/>
                      <w:sz w:val="21"/>
                      <w:szCs w:val="21"/>
                      <w:lang w:val="en-US" w:eastAsia="zh-CN"/>
                    </w:rPr>
                    <w:t>2.91</w:t>
                  </w:r>
                </w:p>
              </w:tc>
              <w:tc>
                <w:tcPr>
                  <w:tcW w:w="1600" w:type="dxa"/>
                  <w:tcBorders>
                    <w:left w:val="single" w:color="auto" w:sz="4" w:space="0"/>
                  </w:tcBorders>
                  <w:vAlign w:val="center"/>
                </w:tcPr>
                <w:p>
                  <w:pPr>
                    <w:jc w:val="center"/>
                    <w:rPr>
                      <w:color w:val="auto"/>
                      <w:sz w:val="21"/>
                      <w:szCs w:val="21"/>
                    </w:rPr>
                  </w:pPr>
                  <w:r>
                    <w:rPr>
                      <w:color w:val="auto"/>
                      <w:sz w:val="21"/>
                      <w:szCs w:val="21"/>
                    </w:rPr>
                    <w:t>/</w:t>
                  </w:r>
                </w:p>
              </w:tc>
              <w:tc>
                <w:tcPr>
                  <w:tcW w:w="1600" w:type="dxa"/>
                  <w:vAlign w:val="center"/>
                </w:tcPr>
                <w:p>
                  <w:pPr>
                    <w:jc w:val="center"/>
                    <w:rPr>
                      <w:rFonts w:hint="default"/>
                      <w:color w:val="auto"/>
                      <w:sz w:val="21"/>
                      <w:szCs w:val="21"/>
                      <w:lang w:val="en-US"/>
                    </w:rPr>
                  </w:pPr>
                  <w:r>
                    <w:rPr>
                      <w:rFonts w:hint="eastAsia"/>
                      <w:color w:val="auto"/>
                      <w:sz w:val="21"/>
                      <w:szCs w:val="21"/>
                      <w:lang w:val="en-US" w:eastAsia="zh-CN"/>
                    </w:rPr>
                    <w:t>2.91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1253" w:type="dxa"/>
                  <w:vMerge w:val="restart"/>
                  <w:vAlign w:val="center"/>
                </w:tcPr>
                <w:p>
                  <w:pPr>
                    <w:jc w:val="center"/>
                    <w:rPr>
                      <w:rFonts w:hint="default"/>
                      <w:color w:val="auto"/>
                      <w:sz w:val="21"/>
                      <w:szCs w:val="21"/>
                      <w:lang w:val="en-US"/>
                    </w:rPr>
                  </w:pPr>
                  <w:r>
                    <w:rPr>
                      <w:rFonts w:hint="eastAsia"/>
                      <w:color w:val="auto"/>
                      <w:sz w:val="21"/>
                      <w:szCs w:val="21"/>
                      <w:lang w:val="en-US" w:eastAsia="zh-CN"/>
                    </w:rPr>
                    <w:t>内防腐无溶剂环氧树脂涂料</w:t>
                  </w:r>
                </w:p>
              </w:tc>
              <w:tc>
                <w:tcPr>
                  <w:tcW w:w="1600" w:type="dxa"/>
                  <w:tcBorders>
                    <w:right w:val="single" w:color="auto" w:sz="4" w:space="0"/>
                  </w:tcBorders>
                  <w:vAlign w:val="center"/>
                </w:tcPr>
                <w:p>
                  <w:pPr>
                    <w:jc w:val="center"/>
                    <w:rPr>
                      <w:rFonts w:hint="eastAsia" w:eastAsia="宋体"/>
                      <w:color w:val="auto"/>
                      <w:sz w:val="21"/>
                      <w:szCs w:val="21"/>
                      <w:lang w:eastAsia="zh-CN"/>
                    </w:rPr>
                  </w:pPr>
                  <w:r>
                    <w:rPr>
                      <w:rFonts w:hint="eastAsia"/>
                      <w:color w:val="auto"/>
                      <w:sz w:val="21"/>
                      <w:szCs w:val="21"/>
                      <w:lang w:val="en-US" w:eastAsia="zh-CN"/>
                    </w:rPr>
                    <w:t>二甲苯</w:t>
                  </w:r>
                </w:p>
              </w:tc>
              <w:tc>
                <w:tcPr>
                  <w:tcW w:w="1600" w:type="dxa"/>
                  <w:tcBorders>
                    <w:left w:val="single" w:color="auto" w:sz="4" w:space="0"/>
                    <w:right w:val="single" w:color="auto" w:sz="4" w:space="0"/>
                  </w:tcBorders>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0.375</w:t>
                  </w:r>
                </w:p>
              </w:tc>
              <w:tc>
                <w:tcPr>
                  <w:tcW w:w="1600" w:type="dxa"/>
                  <w:tcBorders>
                    <w:left w:val="single" w:color="auto" w:sz="4" w:space="0"/>
                  </w:tcBorders>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0.875</w:t>
                  </w:r>
                </w:p>
              </w:tc>
              <w:tc>
                <w:tcPr>
                  <w:tcW w:w="1600" w:type="dxa"/>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3.5625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1253" w:type="dxa"/>
                  <w:vMerge w:val="continue"/>
                  <w:vAlign w:val="center"/>
                </w:tcPr>
                <w:p>
                  <w:pPr>
                    <w:jc w:val="center"/>
                    <w:rPr>
                      <w:color w:val="FF0000"/>
                      <w:sz w:val="21"/>
                      <w:szCs w:val="21"/>
                    </w:rPr>
                  </w:pPr>
                </w:p>
              </w:tc>
              <w:tc>
                <w:tcPr>
                  <w:tcW w:w="1600" w:type="dxa"/>
                  <w:tcBorders>
                    <w:right w:val="single" w:color="auto" w:sz="4" w:space="0"/>
                  </w:tcBorders>
                  <w:vAlign w:val="center"/>
                </w:tcPr>
                <w:p>
                  <w:pPr>
                    <w:jc w:val="center"/>
                    <w:rPr>
                      <w:color w:val="auto"/>
                      <w:sz w:val="21"/>
                      <w:szCs w:val="21"/>
                    </w:rPr>
                  </w:pPr>
                  <w:r>
                    <w:rPr>
                      <w:color w:val="auto"/>
                      <w:sz w:val="21"/>
                      <w:szCs w:val="21"/>
                    </w:rPr>
                    <w:t>颗粒物</w:t>
                  </w:r>
                </w:p>
              </w:tc>
              <w:tc>
                <w:tcPr>
                  <w:tcW w:w="1600" w:type="dxa"/>
                  <w:tcBorders>
                    <w:left w:val="single" w:color="auto" w:sz="4" w:space="0"/>
                    <w:right w:val="single" w:color="auto" w:sz="4" w:space="0"/>
                  </w:tcBorders>
                  <w:vAlign w:val="center"/>
                </w:tcPr>
                <w:p>
                  <w:pPr>
                    <w:jc w:val="center"/>
                    <w:rPr>
                      <w:rFonts w:hint="default" w:eastAsia="宋体"/>
                      <w:color w:val="auto"/>
                      <w:sz w:val="21"/>
                      <w:szCs w:val="21"/>
                      <w:lang w:val="en-US" w:eastAsia="zh-CN"/>
                    </w:rPr>
                  </w:pPr>
                  <w:r>
                    <w:rPr>
                      <w:rFonts w:hint="eastAsia"/>
                      <w:color w:val="auto"/>
                      <w:sz w:val="21"/>
                      <w:szCs w:val="21"/>
                      <w:lang w:val="en-US" w:eastAsia="zh-CN"/>
                    </w:rPr>
                    <w:t>2.85</w:t>
                  </w:r>
                </w:p>
              </w:tc>
              <w:tc>
                <w:tcPr>
                  <w:tcW w:w="1600" w:type="dxa"/>
                  <w:tcBorders>
                    <w:left w:val="single" w:color="auto" w:sz="4" w:space="0"/>
                  </w:tcBorders>
                  <w:vAlign w:val="center"/>
                </w:tcPr>
                <w:p>
                  <w:pPr>
                    <w:jc w:val="center"/>
                    <w:rPr>
                      <w:color w:val="auto"/>
                      <w:sz w:val="21"/>
                      <w:szCs w:val="21"/>
                    </w:rPr>
                  </w:pPr>
                  <w:r>
                    <w:rPr>
                      <w:rFonts w:hint="eastAsia"/>
                      <w:color w:val="auto"/>
                      <w:sz w:val="21"/>
                      <w:szCs w:val="21"/>
                    </w:rPr>
                    <w:t>/</w:t>
                  </w:r>
                </w:p>
              </w:tc>
              <w:tc>
                <w:tcPr>
                  <w:tcW w:w="1600" w:type="dxa"/>
                  <w:vAlign w:val="center"/>
                </w:tcPr>
                <w:p>
                  <w:pPr>
                    <w:jc w:val="center"/>
                    <w:rPr>
                      <w:rFonts w:hint="default"/>
                      <w:color w:val="auto"/>
                      <w:sz w:val="21"/>
                      <w:szCs w:val="21"/>
                      <w:lang w:val="en-US"/>
                    </w:rPr>
                  </w:pPr>
                  <w:r>
                    <w:rPr>
                      <w:rFonts w:hint="eastAsia"/>
                      <w:color w:val="auto"/>
                      <w:sz w:val="21"/>
                      <w:szCs w:val="21"/>
                      <w:lang w:val="en-US" w:eastAsia="zh-CN"/>
                    </w:rPr>
                    <w:t>2.85</w:t>
                  </w:r>
                </w:p>
              </w:tc>
            </w:tr>
          </w:tbl>
          <w:p>
            <w:pPr>
              <w:spacing w:line="480" w:lineRule="exact"/>
              <w:ind w:firstLine="475" w:firstLineChars="198"/>
              <w:rPr>
                <w:color w:val="auto"/>
                <w:szCs w:val="25"/>
              </w:rPr>
            </w:pPr>
            <w:r>
              <w:rPr>
                <w:color w:val="auto"/>
                <w:szCs w:val="24"/>
              </w:rPr>
              <w:t>为保证车间内环境，项目设置了</w:t>
            </w:r>
            <w:r>
              <w:rPr>
                <w:rFonts w:hint="eastAsia"/>
                <w:color w:val="auto"/>
                <w:szCs w:val="24"/>
                <w:lang w:val="en-US" w:eastAsia="zh-CN"/>
              </w:rPr>
              <w:t>两套</w:t>
            </w:r>
            <w:r>
              <w:rPr>
                <w:color w:val="auto"/>
                <w:szCs w:val="24"/>
              </w:rPr>
              <w:t>密闭的喷漆房及晾干房，</w:t>
            </w:r>
            <w:r>
              <w:rPr>
                <w:rFonts w:hint="eastAsia"/>
                <w:color w:val="auto"/>
                <w:szCs w:val="24"/>
              </w:rPr>
              <w:t>另外设置两套废气处理装置分别处理</w:t>
            </w:r>
            <w:r>
              <w:rPr>
                <w:rFonts w:hint="eastAsia"/>
                <w:color w:val="auto"/>
                <w:szCs w:val="24"/>
                <w:lang w:val="en-US" w:eastAsia="zh-CN"/>
              </w:rPr>
              <w:t>小管和大管的油漆</w:t>
            </w:r>
            <w:r>
              <w:rPr>
                <w:rFonts w:hint="eastAsia"/>
                <w:color w:val="auto"/>
                <w:szCs w:val="24"/>
              </w:rPr>
              <w:t>废气。</w:t>
            </w:r>
            <w:r>
              <w:rPr>
                <w:rFonts w:hint="eastAsia"/>
                <w:bCs/>
                <w:color w:val="auto"/>
                <w:lang w:val="en-US" w:eastAsia="zh-CN"/>
              </w:rPr>
              <w:t>其中小管刷漆房</w:t>
            </w:r>
            <w:r>
              <w:rPr>
                <w:bCs/>
                <w:color w:val="auto"/>
              </w:rPr>
              <w:t>废气处理风量为</w:t>
            </w:r>
            <w:r>
              <w:rPr>
                <w:rFonts w:hint="eastAsia"/>
                <w:bCs/>
                <w:color w:val="auto"/>
                <w:lang w:val="en-US" w:eastAsia="zh-CN"/>
              </w:rPr>
              <w:t>1500</w:t>
            </w:r>
            <w:r>
              <w:rPr>
                <w:rFonts w:hint="eastAsia"/>
                <w:bCs/>
                <w:color w:val="auto"/>
              </w:rPr>
              <w:t>0</w:t>
            </w:r>
            <w:r>
              <w:rPr>
                <w:bCs/>
                <w:color w:val="auto"/>
              </w:rPr>
              <w:t>m</w:t>
            </w:r>
            <w:r>
              <w:rPr>
                <w:bCs/>
                <w:color w:val="auto"/>
                <w:vertAlign w:val="superscript"/>
              </w:rPr>
              <w:t>3</w:t>
            </w:r>
            <w:r>
              <w:rPr>
                <w:bCs/>
                <w:color w:val="auto"/>
              </w:rPr>
              <w:t>/h</w:t>
            </w:r>
            <w:r>
              <w:rPr>
                <w:rFonts w:hint="eastAsia"/>
                <w:bCs/>
                <w:color w:val="auto"/>
                <w:lang w:eastAsia="zh-CN"/>
              </w:rPr>
              <w:t>，</w:t>
            </w:r>
            <w:r>
              <w:rPr>
                <w:rFonts w:hint="eastAsia"/>
                <w:bCs/>
                <w:color w:val="auto"/>
                <w:lang w:val="en-US" w:eastAsia="zh-CN"/>
              </w:rPr>
              <w:t>大管喷漆房</w:t>
            </w:r>
            <w:r>
              <w:rPr>
                <w:bCs/>
                <w:color w:val="auto"/>
              </w:rPr>
              <w:t>废气处理风量为</w:t>
            </w:r>
            <w:r>
              <w:rPr>
                <w:rFonts w:hint="eastAsia"/>
                <w:bCs/>
                <w:color w:val="auto"/>
                <w:lang w:val="en-US" w:eastAsia="zh-CN"/>
              </w:rPr>
              <w:t>15000</w:t>
            </w:r>
            <w:r>
              <w:rPr>
                <w:bCs/>
                <w:color w:val="auto"/>
              </w:rPr>
              <w:t>m</w:t>
            </w:r>
            <w:r>
              <w:rPr>
                <w:bCs/>
                <w:color w:val="auto"/>
                <w:vertAlign w:val="superscript"/>
              </w:rPr>
              <w:t>3</w:t>
            </w:r>
            <w:r>
              <w:rPr>
                <w:bCs/>
                <w:color w:val="auto"/>
              </w:rPr>
              <w:t>/h。</w:t>
            </w:r>
            <w:r>
              <w:rPr>
                <w:color w:val="auto"/>
                <w:szCs w:val="25"/>
              </w:rPr>
              <w:t>具体集气风量相关计算参数见表</w:t>
            </w:r>
            <w:r>
              <w:rPr>
                <w:rFonts w:hint="eastAsia"/>
                <w:color w:val="auto"/>
                <w:szCs w:val="25"/>
              </w:rPr>
              <w:t>4-</w:t>
            </w:r>
            <w:r>
              <w:rPr>
                <w:rFonts w:hint="eastAsia"/>
                <w:color w:val="auto"/>
                <w:szCs w:val="25"/>
                <w:lang w:val="en-US" w:eastAsia="zh-CN"/>
              </w:rPr>
              <w:t>3</w:t>
            </w:r>
            <w:r>
              <w:rPr>
                <w:color w:val="auto"/>
                <w:szCs w:val="25"/>
              </w:rPr>
              <w:t>。</w:t>
            </w:r>
          </w:p>
          <w:p>
            <w:pPr>
              <w:autoSpaceDE w:val="0"/>
              <w:autoSpaceDN w:val="0"/>
              <w:spacing w:line="360" w:lineRule="auto"/>
              <w:jc w:val="center"/>
              <w:rPr>
                <w:rFonts w:ascii="Times New Roman" w:hAnsi="Times New Roman" w:eastAsia="宋体" w:cs="Times New Roman"/>
                <w:b/>
                <w:color w:val="auto"/>
                <w:kern w:val="0"/>
              </w:rPr>
            </w:pPr>
            <w:r>
              <w:rPr>
                <w:rFonts w:ascii="Times New Roman" w:hAnsi="Times New Roman" w:eastAsia="宋体" w:cs="Times New Roman"/>
                <w:b/>
                <w:color w:val="auto"/>
                <w:kern w:val="0"/>
              </w:rPr>
              <w:t>表</w:t>
            </w:r>
            <w:r>
              <w:rPr>
                <w:rFonts w:hint="eastAsia" w:ascii="Times New Roman" w:hAnsi="Times New Roman" w:eastAsia="宋体" w:cs="Times New Roman"/>
                <w:b/>
                <w:color w:val="auto"/>
                <w:kern w:val="0"/>
              </w:rPr>
              <w:t>4</w:t>
            </w:r>
            <w:r>
              <w:rPr>
                <w:rFonts w:ascii="Times New Roman" w:hAnsi="Times New Roman" w:eastAsia="宋体" w:cs="Times New Roman"/>
                <w:b/>
                <w:color w:val="auto"/>
                <w:kern w:val="0"/>
              </w:rPr>
              <w:t>-</w:t>
            </w:r>
            <w:r>
              <w:rPr>
                <w:rFonts w:hint="eastAsia" w:cs="Times New Roman"/>
                <w:b/>
                <w:color w:val="auto"/>
                <w:kern w:val="0"/>
                <w:lang w:val="en-US" w:eastAsia="zh-CN"/>
              </w:rPr>
              <w:t>3</w:t>
            </w:r>
            <w:r>
              <w:rPr>
                <w:rFonts w:hint="eastAsia" w:ascii="Times New Roman" w:hAnsi="Times New Roman" w:eastAsia="宋体" w:cs="Times New Roman"/>
                <w:b/>
                <w:color w:val="auto"/>
                <w:kern w:val="0"/>
                <w:lang w:val="en-US" w:eastAsia="zh-CN"/>
              </w:rPr>
              <w:t xml:space="preserve"> </w:t>
            </w:r>
            <w:r>
              <w:rPr>
                <w:rFonts w:hint="eastAsia" w:ascii="Times New Roman" w:hAnsi="Times New Roman" w:eastAsia="宋体" w:cs="Times New Roman"/>
                <w:b/>
                <w:color w:val="auto"/>
                <w:kern w:val="0"/>
              </w:rPr>
              <w:t xml:space="preserve"> </w:t>
            </w:r>
            <w:r>
              <w:rPr>
                <w:rFonts w:ascii="Times New Roman" w:hAnsi="Times New Roman" w:eastAsia="宋体" w:cs="Times New Roman"/>
                <w:b/>
                <w:color w:val="auto"/>
                <w:kern w:val="0"/>
              </w:rPr>
              <w:t>项目</w:t>
            </w:r>
            <w:r>
              <w:rPr>
                <w:rFonts w:hint="eastAsia" w:cs="Times New Roman"/>
                <w:b/>
                <w:color w:val="auto"/>
                <w:kern w:val="0"/>
                <w:lang w:val="en-US" w:eastAsia="zh-CN"/>
              </w:rPr>
              <w:t>油漆</w:t>
            </w:r>
            <w:r>
              <w:rPr>
                <w:rFonts w:ascii="Times New Roman" w:hAnsi="Times New Roman" w:eastAsia="宋体" w:cs="Times New Roman"/>
                <w:b/>
                <w:color w:val="auto"/>
                <w:kern w:val="0"/>
              </w:rPr>
              <w:t>及晾干废气集风量相关计算参数及其结果</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6"/>
              <w:gridCol w:w="1137"/>
              <w:gridCol w:w="1825"/>
              <w:gridCol w:w="875"/>
              <w:gridCol w:w="809"/>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926" w:type="dxa"/>
                  <w:vMerge w:val="restart"/>
                  <w:noWrap/>
                  <w:vAlign w:val="center"/>
                </w:tcPr>
                <w:p>
                  <w:pPr>
                    <w:jc w:val="center"/>
                    <w:rPr>
                      <w:b/>
                      <w:bCs/>
                      <w:color w:val="auto"/>
                      <w:sz w:val="21"/>
                      <w:szCs w:val="21"/>
                    </w:rPr>
                  </w:pPr>
                  <w:r>
                    <w:rPr>
                      <w:b/>
                      <w:bCs/>
                      <w:color w:val="auto"/>
                      <w:sz w:val="21"/>
                      <w:szCs w:val="21"/>
                    </w:rPr>
                    <w:t>处理区域</w:t>
                  </w:r>
                </w:p>
              </w:tc>
              <w:tc>
                <w:tcPr>
                  <w:tcW w:w="1137" w:type="dxa"/>
                  <w:vMerge w:val="restart"/>
                  <w:noWrap/>
                  <w:vAlign w:val="center"/>
                </w:tcPr>
                <w:p>
                  <w:pPr>
                    <w:jc w:val="center"/>
                    <w:rPr>
                      <w:b/>
                      <w:bCs/>
                      <w:color w:val="auto"/>
                      <w:sz w:val="21"/>
                      <w:szCs w:val="21"/>
                    </w:rPr>
                  </w:pPr>
                  <w:r>
                    <w:rPr>
                      <w:b/>
                      <w:bCs/>
                      <w:color w:val="auto"/>
                      <w:sz w:val="21"/>
                      <w:szCs w:val="21"/>
                    </w:rPr>
                    <w:t>污染物</w:t>
                  </w:r>
                </w:p>
                <w:p>
                  <w:pPr>
                    <w:jc w:val="center"/>
                    <w:rPr>
                      <w:b/>
                      <w:bCs/>
                      <w:color w:val="auto"/>
                      <w:sz w:val="21"/>
                      <w:szCs w:val="21"/>
                    </w:rPr>
                  </w:pPr>
                  <w:r>
                    <w:rPr>
                      <w:b/>
                      <w:bCs/>
                      <w:color w:val="auto"/>
                      <w:sz w:val="21"/>
                      <w:szCs w:val="21"/>
                    </w:rPr>
                    <w:t>名称</w:t>
                  </w:r>
                </w:p>
              </w:tc>
              <w:tc>
                <w:tcPr>
                  <w:tcW w:w="3509" w:type="dxa"/>
                  <w:gridSpan w:val="3"/>
                  <w:noWrap/>
                  <w:vAlign w:val="center"/>
                </w:tcPr>
                <w:p>
                  <w:pPr>
                    <w:jc w:val="center"/>
                    <w:rPr>
                      <w:b/>
                      <w:bCs/>
                      <w:color w:val="auto"/>
                      <w:sz w:val="21"/>
                      <w:szCs w:val="21"/>
                    </w:rPr>
                  </w:pPr>
                  <w:r>
                    <w:rPr>
                      <w:b/>
                      <w:bCs/>
                      <w:color w:val="auto"/>
                      <w:sz w:val="21"/>
                      <w:szCs w:val="21"/>
                    </w:rPr>
                    <w:t>参数选取</w:t>
                  </w:r>
                </w:p>
              </w:tc>
              <w:tc>
                <w:tcPr>
                  <w:tcW w:w="1081" w:type="dxa"/>
                  <w:noWrap/>
                  <w:vAlign w:val="center"/>
                </w:tcPr>
                <w:p>
                  <w:pPr>
                    <w:jc w:val="center"/>
                    <w:rPr>
                      <w:b/>
                      <w:bCs/>
                      <w:color w:val="auto"/>
                      <w:sz w:val="21"/>
                      <w:szCs w:val="21"/>
                    </w:rPr>
                  </w:pPr>
                  <w:r>
                    <w:rPr>
                      <w:b/>
                      <w:bCs/>
                      <w:color w:val="auto"/>
                      <w:sz w:val="21"/>
                      <w:szCs w:val="21"/>
                    </w:rPr>
                    <w:t>计算结果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926" w:type="dxa"/>
                  <w:vMerge w:val="continue"/>
                  <w:noWrap/>
                  <w:vAlign w:val="center"/>
                </w:tcPr>
                <w:p>
                  <w:pPr>
                    <w:jc w:val="center"/>
                    <w:rPr>
                      <w:b/>
                      <w:bCs/>
                      <w:color w:val="auto"/>
                      <w:sz w:val="21"/>
                      <w:szCs w:val="21"/>
                    </w:rPr>
                  </w:pPr>
                </w:p>
              </w:tc>
              <w:tc>
                <w:tcPr>
                  <w:tcW w:w="1137" w:type="dxa"/>
                  <w:vMerge w:val="continue"/>
                  <w:noWrap/>
                  <w:vAlign w:val="center"/>
                </w:tcPr>
                <w:p>
                  <w:pPr>
                    <w:jc w:val="center"/>
                    <w:rPr>
                      <w:b/>
                      <w:bCs/>
                      <w:color w:val="auto"/>
                      <w:sz w:val="21"/>
                      <w:szCs w:val="21"/>
                    </w:rPr>
                  </w:pPr>
                </w:p>
              </w:tc>
              <w:tc>
                <w:tcPr>
                  <w:tcW w:w="1825" w:type="dxa"/>
                  <w:noWrap/>
                  <w:vAlign w:val="center"/>
                </w:tcPr>
                <w:p>
                  <w:pPr>
                    <w:jc w:val="center"/>
                    <w:rPr>
                      <w:b/>
                      <w:bCs/>
                      <w:color w:val="auto"/>
                      <w:sz w:val="21"/>
                      <w:szCs w:val="21"/>
                    </w:rPr>
                  </w:pPr>
                  <w:r>
                    <w:rPr>
                      <w:rFonts w:hint="eastAsia"/>
                      <w:b/>
                      <w:bCs/>
                      <w:color w:val="auto"/>
                      <w:sz w:val="21"/>
                      <w:szCs w:val="21"/>
                      <w:lang w:val="en-US" w:eastAsia="zh-CN"/>
                    </w:rPr>
                    <w:t>规格</w:t>
                  </w:r>
                </w:p>
              </w:tc>
              <w:tc>
                <w:tcPr>
                  <w:tcW w:w="875" w:type="dxa"/>
                  <w:noWrap/>
                  <w:vAlign w:val="center"/>
                </w:tcPr>
                <w:p>
                  <w:pPr>
                    <w:jc w:val="center"/>
                    <w:rPr>
                      <w:b/>
                      <w:bCs/>
                      <w:color w:val="auto"/>
                      <w:sz w:val="21"/>
                      <w:szCs w:val="21"/>
                    </w:rPr>
                  </w:pPr>
                  <w:r>
                    <w:rPr>
                      <w:b/>
                      <w:bCs/>
                      <w:color w:val="auto"/>
                      <w:sz w:val="21"/>
                      <w:szCs w:val="21"/>
                    </w:rPr>
                    <w:t>区域体积m</w:t>
                  </w:r>
                  <w:r>
                    <w:rPr>
                      <w:b/>
                      <w:bCs/>
                      <w:color w:val="auto"/>
                      <w:sz w:val="21"/>
                      <w:szCs w:val="21"/>
                      <w:vertAlign w:val="superscript"/>
                    </w:rPr>
                    <w:t>3</w:t>
                  </w:r>
                </w:p>
              </w:tc>
              <w:tc>
                <w:tcPr>
                  <w:tcW w:w="809" w:type="dxa"/>
                  <w:noWrap/>
                  <w:vAlign w:val="center"/>
                </w:tcPr>
                <w:p>
                  <w:pPr>
                    <w:jc w:val="center"/>
                    <w:rPr>
                      <w:b/>
                      <w:bCs/>
                      <w:color w:val="auto"/>
                      <w:sz w:val="21"/>
                      <w:szCs w:val="21"/>
                    </w:rPr>
                  </w:pPr>
                  <w:r>
                    <w:rPr>
                      <w:b/>
                      <w:bCs/>
                      <w:color w:val="auto"/>
                      <w:sz w:val="21"/>
                      <w:szCs w:val="21"/>
                    </w:rPr>
                    <w:t>换气次数</w:t>
                  </w:r>
                </w:p>
              </w:tc>
              <w:tc>
                <w:tcPr>
                  <w:tcW w:w="1081" w:type="dxa"/>
                  <w:noWrap/>
                  <w:vAlign w:val="center"/>
                </w:tcPr>
                <w:p>
                  <w:pPr>
                    <w:jc w:val="center"/>
                    <w:rPr>
                      <w:b/>
                      <w:bCs/>
                      <w:color w:val="auto"/>
                      <w:sz w:val="21"/>
                      <w:szCs w:val="21"/>
                    </w:rPr>
                  </w:pPr>
                  <w:r>
                    <w:rPr>
                      <w:b/>
                      <w:bCs/>
                      <w:color w:val="auto"/>
                      <w:sz w:val="21"/>
                      <w:szCs w:val="21"/>
                    </w:rPr>
                    <w:t>风量</w:t>
                  </w:r>
                </w:p>
                <w:p>
                  <w:pPr>
                    <w:jc w:val="center"/>
                    <w:rPr>
                      <w:b/>
                      <w:bCs/>
                      <w:color w:val="auto"/>
                      <w:sz w:val="21"/>
                      <w:szCs w:val="21"/>
                    </w:rPr>
                  </w:pPr>
                  <w:r>
                    <w:rPr>
                      <w:b/>
                      <w:bCs/>
                      <w:color w:val="auto"/>
                      <w:sz w:val="21"/>
                      <w:szCs w:val="21"/>
                    </w:rPr>
                    <w:t>m</w:t>
                  </w:r>
                  <w:r>
                    <w:rPr>
                      <w:b/>
                      <w:bCs/>
                      <w:color w:val="auto"/>
                      <w:sz w:val="21"/>
                      <w:szCs w:val="21"/>
                      <w:vertAlign w:val="superscript"/>
                    </w:rPr>
                    <w:t>3</w:t>
                  </w:r>
                  <w:r>
                    <w:rPr>
                      <w:b/>
                      <w:bCs/>
                      <w:color w:val="auto"/>
                      <w:sz w:val="21"/>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26" w:type="dxa"/>
                  <w:noWrap/>
                  <w:vAlign w:val="center"/>
                </w:tcPr>
                <w:p>
                  <w:pPr>
                    <w:jc w:val="center"/>
                    <w:rPr>
                      <w:rFonts w:hint="default"/>
                      <w:color w:val="auto"/>
                      <w:sz w:val="21"/>
                      <w:szCs w:val="21"/>
                      <w:lang w:val="en-US"/>
                    </w:rPr>
                  </w:pPr>
                  <w:r>
                    <w:rPr>
                      <w:rFonts w:hint="eastAsia"/>
                      <w:color w:val="auto"/>
                      <w:sz w:val="21"/>
                      <w:szCs w:val="21"/>
                      <w:lang w:val="en-US" w:eastAsia="zh-CN"/>
                    </w:rPr>
                    <w:t>小管刷漆房</w:t>
                  </w:r>
                </w:p>
              </w:tc>
              <w:tc>
                <w:tcPr>
                  <w:tcW w:w="1137" w:type="dxa"/>
                  <w:noWrap/>
                  <w:vAlign w:val="center"/>
                </w:tcPr>
                <w:p>
                  <w:pPr>
                    <w:jc w:val="center"/>
                    <w:rPr>
                      <w:color w:val="auto"/>
                      <w:sz w:val="21"/>
                      <w:szCs w:val="21"/>
                    </w:rPr>
                  </w:pPr>
                  <w:r>
                    <w:rPr>
                      <w:rFonts w:hint="eastAsia"/>
                      <w:color w:val="auto"/>
                      <w:sz w:val="21"/>
                      <w:szCs w:val="21"/>
                      <w:lang w:val="en-US" w:eastAsia="zh-CN"/>
                    </w:rPr>
                    <w:t>二甲苯</w:t>
                  </w:r>
                </w:p>
              </w:tc>
              <w:tc>
                <w:tcPr>
                  <w:tcW w:w="1825" w:type="dxa"/>
                  <w:noWrap/>
                  <w:vAlign w:val="center"/>
                </w:tcPr>
                <w:p>
                  <w:pPr>
                    <w:jc w:val="center"/>
                    <w:rPr>
                      <w:rFonts w:hint="default" w:ascii="Times New Roman" w:hAnsi="Times New Roman" w:eastAsia="宋体" w:cs="Times New Roman"/>
                      <w:color w:val="auto"/>
                      <w:sz w:val="21"/>
                      <w:szCs w:val="21"/>
                      <w:lang w:val="en-US" w:eastAsia="zh-CN"/>
                    </w:rPr>
                  </w:pPr>
                  <w:r>
                    <w:rPr>
                      <w:rFonts w:hint="eastAsia"/>
                      <w:color w:val="auto"/>
                      <w:sz w:val="21"/>
                      <w:szCs w:val="21"/>
                      <w:lang w:val="en-US" w:eastAsia="zh-CN"/>
                    </w:rPr>
                    <w:t>18</w:t>
                  </w:r>
                  <w:r>
                    <w:rPr>
                      <w:rFonts w:hint="eastAsia" w:eastAsia="宋体"/>
                      <w:color w:val="auto"/>
                      <w:sz w:val="21"/>
                      <w:szCs w:val="21"/>
                      <w:lang w:val="en-US" w:eastAsia="zh-CN"/>
                    </w:rPr>
                    <w:t>m</w:t>
                  </w:r>
                  <w:r>
                    <w:rPr>
                      <w:rFonts w:hint="default" w:eastAsia="宋体"/>
                      <w:color w:val="auto"/>
                      <w:sz w:val="21"/>
                      <w:szCs w:val="21"/>
                      <w:lang w:val="en-US" w:eastAsia="zh-CN"/>
                    </w:rPr>
                    <w:t>×</w:t>
                  </w:r>
                  <w:r>
                    <w:rPr>
                      <w:rFonts w:hint="eastAsia" w:eastAsia="宋体"/>
                      <w:color w:val="auto"/>
                      <w:sz w:val="21"/>
                      <w:szCs w:val="21"/>
                      <w:lang w:val="en-US" w:eastAsia="zh-CN"/>
                    </w:rPr>
                    <w:t>13.5m</w:t>
                  </w:r>
                  <w:r>
                    <w:rPr>
                      <w:rFonts w:hint="default" w:eastAsia="宋体"/>
                      <w:color w:val="auto"/>
                      <w:sz w:val="21"/>
                      <w:szCs w:val="21"/>
                      <w:lang w:val="en-US" w:eastAsia="zh-CN"/>
                    </w:rPr>
                    <w:t>×</w:t>
                  </w:r>
                  <w:r>
                    <w:rPr>
                      <w:rFonts w:hint="eastAsia" w:eastAsia="宋体"/>
                      <w:color w:val="auto"/>
                      <w:sz w:val="21"/>
                      <w:szCs w:val="21"/>
                      <w:lang w:val="en-US" w:eastAsia="zh-CN"/>
                    </w:rPr>
                    <w:t>2.5m</w:t>
                  </w:r>
                </w:p>
              </w:tc>
              <w:tc>
                <w:tcPr>
                  <w:tcW w:w="875" w:type="dxa"/>
                  <w:noWrap/>
                  <w:vAlign w:val="center"/>
                </w:tcPr>
                <w:p>
                  <w:pPr>
                    <w:jc w:val="center"/>
                    <w:rPr>
                      <w:color w:val="auto"/>
                      <w:sz w:val="21"/>
                      <w:szCs w:val="21"/>
                    </w:rPr>
                  </w:pPr>
                  <w:r>
                    <w:rPr>
                      <w:rFonts w:hint="eastAsia"/>
                      <w:color w:val="auto"/>
                      <w:sz w:val="21"/>
                      <w:szCs w:val="21"/>
                      <w:lang w:val="en-US" w:eastAsia="zh-CN"/>
                    </w:rPr>
                    <w:t>607.5</w:t>
                  </w:r>
                </w:p>
              </w:tc>
              <w:tc>
                <w:tcPr>
                  <w:tcW w:w="809" w:type="dxa"/>
                  <w:noWrap/>
                  <w:vAlign w:val="center"/>
                </w:tcPr>
                <w:p>
                  <w:pPr>
                    <w:jc w:val="center"/>
                    <w:rPr>
                      <w:rFonts w:hint="default"/>
                      <w:color w:val="auto"/>
                      <w:sz w:val="21"/>
                      <w:szCs w:val="21"/>
                      <w:lang w:val="en-US"/>
                    </w:rPr>
                  </w:pPr>
                  <w:r>
                    <w:rPr>
                      <w:rFonts w:hint="eastAsia"/>
                      <w:color w:val="auto"/>
                      <w:sz w:val="21"/>
                      <w:szCs w:val="21"/>
                      <w:lang w:val="en-US" w:eastAsia="zh-CN"/>
                    </w:rPr>
                    <w:t>20</w:t>
                  </w:r>
                </w:p>
              </w:tc>
              <w:tc>
                <w:tcPr>
                  <w:tcW w:w="1081" w:type="dxa"/>
                  <w:noWrap/>
                  <w:vAlign w:val="center"/>
                </w:tcPr>
                <w:p>
                  <w:pPr>
                    <w:jc w:val="center"/>
                    <w:rPr>
                      <w:rFonts w:hint="default" w:eastAsia="宋体"/>
                      <w:color w:val="auto"/>
                      <w:sz w:val="21"/>
                      <w:szCs w:val="21"/>
                      <w:lang w:val="en-US" w:eastAsia="zh-CN"/>
                    </w:rPr>
                  </w:pPr>
                  <w:r>
                    <w:rPr>
                      <w:rFonts w:hint="eastAsia"/>
                      <w:color w:val="auto"/>
                      <w:sz w:val="21"/>
                      <w:szCs w:val="21"/>
                      <w:lang w:val="en-US" w:eastAsia="zh-CN"/>
                    </w:rPr>
                    <w:t>12150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72" w:type="dxa"/>
                  <w:gridSpan w:val="5"/>
                  <w:noWrap/>
                  <w:vAlign w:val="center"/>
                </w:tcPr>
                <w:p>
                  <w:pPr>
                    <w:jc w:val="center"/>
                    <w:rPr>
                      <w:color w:val="auto"/>
                      <w:sz w:val="21"/>
                      <w:szCs w:val="21"/>
                    </w:rPr>
                  </w:pPr>
                  <w:r>
                    <w:rPr>
                      <w:rFonts w:hint="eastAsia"/>
                      <w:color w:val="auto"/>
                      <w:sz w:val="21"/>
                      <w:szCs w:val="21"/>
                      <w:lang w:val="en-US" w:eastAsia="zh-CN"/>
                    </w:rPr>
                    <w:t>小管刷漆房废气处理设施设计</w:t>
                  </w:r>
                  <w:r>
                    <w:rPr>
                      <w:color w:val="auto"/>
                      <w:sz w:val="21"/>
                      <w:szCs w:val="21"/>
                    </w:rPr>
                    <w:t>风量</w:t>
                  </w:r>
                </w:p>
              </w:tc>
              <w:tc>
                <w:tcPr>
                  <w:tcW w:w="1081" w:type="dxa"/>
                  <w:noWrap/>
                  <w:vAlign w:val="center"/>
                </w:tcPr>
                <w:p>
                  <w:pPr>
                    <w:jc w:val="center"/>
                    <w:rPr>
                      <w:rFonts w:hint="default" w:eastAsia="宋体"/>
                      <w:color w:val="auto"/>
                      <w:sz w:val="21"/>
                      <w:szCs w:val="21"/>
                      <w:lang w:val="en-US" w:eastAsia="zh-CN"/>
                    </w:rPr>
                  </w:pPr>
                  <w:r>
                    <w:rPr>
                      <w:rFonts w:hint="eastAsia"/>
                      <w:color w:val="auto"/>
                      <w:sz w:val="21"/>
                      <w:szCs w:val="21"/>
                      <w:lang w:val="en-US" w:eastAsia="zh-CN"/>
                    </w:rPr>
                    <w:t>15000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26" w:type="dxa"/>
                  <w:noWrap/>
                  <w:vAlign w:val="center"/>
                </w:tcPr>
                <w:p>
                  <w:pPr>
                    <w:jc w:val="center"/>
                    <w:rPr>
                      <w:rFonts w:hint="default"/>
                      <w:color w:val="auto"/>
                      <w:sz w:val="21"/>
                      <w:szCs w:val="21"/>
                      <w:lang w:val="en-US"/>
                    </w:rPr>
                  </w:pPr>
                  <w:r>
                    <w:rPr>
                      <w:rFonts w:hint="eastAsia"/>
                      <w:color w:val="auto"/>
                      <w:sz w:val="21"/>
                      <w:szCs w:val="21"/>
                      <w:lang w:val="en-US" w:eastAsia="zh-CN"/>
                    </w:rPr>
                    <w:t>大管喷漆房</w:t>
                  </w:r>
                </w:p>
              </w:tc>
              <w:tc>
                <w:tcPr>
                  <w:tcW w:w="1137" w:type="dxa"/>
                  <w:noWrap/>
                  <w:vAlign w:val="center"/>
                </w:tcPr>
                <w:p>
                  <w:pPr>
                    <w:jc w:val="center"/>
                    <w:rPr>
                      <w:color w:val="auto"/>
                      <w:sz w:val="21"/>
                      <w:szCs w:val="21"/>
                    </w:rPr>
                  </w:pPr>
                  <w:r>
                    <w:rPr>
                      <w:rFonts w:hint="eastAsia"/>
                      <w:color w:val="auto"/>
                      <w:sz w:val="21"/>
                      <w:szCs w:val="21"/>
                      <w:lang w:val="en-US" w:eastAsia="zh-CN"/>
                    </w:rPr>
                    <w:t>二甲苯</w:t>
                  </w:r>
                  <w:r>
                    <w:rPr>
                      <w:rFonts w:hint="eastAsia"/>
                      <w:color w:val="auto"/>
                      <w:sz w:val="21"/>
                      <w:szCs w:val="21"/>
                    </w:rPr>
                    <w:t>、</w:t>
                  </w:r>
                  <w:r>
                    <w:rPr>
                      <w:color w:val="auto"/>
                      <w:sz w:val="21"/>
                      <w:szCs w:val="21"/>
                    </w:rPr>
                    <w:t>颗粒物</w:t>
                  </w:r>
                </w:p>
              </w:tc>
              <w:tc>
                <w:tcPr>
                  <w:tcW w:w="1825" w:type="dxa"/>
                  <w:noWrap/>
                  <w:vAlign w:val="center"/>
                </w:tcPr>
                <w:p>
                  <w:pPr>
                    <w:jc w:val="center"/>
                    <w:rPr>
                      <w:color w:val="auto"/>
                      <w:sz w:val="21"/>
                      <w:szCs w:val="21"/>
                    </w:rPr>
                  </w:pPr>
                  <w:r>
                    <w:rPr>
                      <w:rFonts w:hint="eastAsia"/>
                      <w:color w:val="auto"/>
                      <w:sz w:val="21"/>
                      <w:szCs w:val="21"/>
                      <w:lang w:val="en-US" w:eastAsia="zh-CN"/>
                    </w:rPr>
                    <w:t>16</w:t>
                  </w:r>
                  <w:r>
                    <w:rPr>
                      <w:rFonts w:hint="eastAsia" w:eastAsia="宋体"/>
                      <w:color w:val="auto"/>
                      <w:sz w:val="21"/>
                      <w:szCs w:val="21"/>
                      <w:lang w:val="en-US" w:eastAsia="zh-CN"/>
                    </w:rPr>
                    <w:t>m</w:t>
                  </w:r>
                  <w:r>
                    <w:rPr>
                      <w:rFonts w:hint="default" w:eastAsia="宋体"/>
                      <w:color w:val="auto"/>
                      <w:sz w:val="21"/>
                      <w:szCs w:val="21"/>
                      <w:lang w:val="en-US" w:eastAsia="zh-CN"/>
                    </w:rPr>
                    <w:t>×</w:t>
                  </w:r>
                  <w:r>
                    <w:rPr>
                      <w:rFonts w:hint="eastAsia" w:eastAsia="宋体"/>
                      <w:color w:val="auto"/>
                      <w:sz w:val="21"/>
                      <w:szCs w:val="21"/>
                      <w:lang w:val="en-US" w:eastAsia="zh-CN"/>
                    </w:rPr>
                    <w:t>9m</w:t>
                  </w:r>
                  <w:r>
                    <w:rPr>
                      <w:rFonts w:hint="default" w:eastAsia="宋体"/>
                      <w:color w:val="auto"/>
                      <w:sz w:val="21"/>
                      <w:szCs w:val="21"/>
                      <w:lang w:val="en-US" w:eastAsia="zh-CN"/>
                    </w:rPr>
                    <w:t>×</w:t>
                  </w:r>
                  <w:r>
                    <w:rPr>
                      <w:rFonts w:hint="eastAsia" w:eastAsia="宋体"/>
                      <w:color w:val="auto"/>
                      <w:sz w:val="21"/>
                      <w:szCs w:val="21"/>
                      <w:lang w:val="en-US" w:eastAsia="zh-CN"/>
                    </w:rPr>
                    <w:t>4m</w:t>
                  </w:r>
                </w:p>
              </w:tc>
              <w:tc>
                <w:tcPr>
                  <w:tcW w:w="875" w:type="dxa"/>
                  <w:noWrap/>
                  <w:vAlign w:val="center"/>
                </w:tcPr>
                <w:p>
                  <w:pPr>
                    <w:jc w:val="center"/>
                    <w:rPr>
                      <w:rFonts w:hint="default" w:eastAsia="宋体"/>
                      <w:color w:val="auto"/>
                      <w:sz w:val="21"/>
                      <w:szCs w:val="21"/>
                      <w:lang w:val="en-US" w:eastAsia="zh-CN"/>
                    </w:rPr>
                  </w:pPr>
                  <w:r>
                    <w:rPr>
                      <w:rFonts w:hint="eastAsia"/>
                      <w:color w:val="auto"/>
                      <w:sz w:val="21"/>
                      <w:szCs w:val="21"/>
                      <w:lang w:val="en-US" w:eastAsia="zh-CN"/>
                    </w:rPr>
                    <w:t>576</w:t>
                  </w:r>
                </w:p>
              </w:tc>
              <w:tc>
                <w:tcPr>
                  <w:tcW w:w="809" w:type="dxa"/>
                  <w:noWrap/>
                  <w:vAlign w:val="center"/>
                </w:tcPr>
                <w:p>
                  <w:pPr>
                    <w:jc w:val="center"/>
                    <w:rPr>
                      <w:rFonts w:hint="default" w:eastAsia="宋体"/>
                      <w:color w:val="auto"/>
                      <w:sz w:val="21"/>
                      <w:szCs w:val="21"/>
                      <w:lang w:val="en-US" w:eastAsia="zh-CN"/>
                    </w:rPr>
                  </w:pPr>
                  <w:r>
                    <w:rPr>
                      <w:rFonts w:hint="eastAsia"/>
                      <w:color w:val="auto"/>
                      <w:sz w:val="21"/>
                      <w:szCs w:val="21"/>
                      <w:lang w:val="en-US" w:eastAsia="zh-CN"/>
                    </w:rPr>
                    <w:t>20</w:t>
                  </w:r>
                </w:p>
              </w:tc>
              <w:tc>
                <w:tcPr>
                  <w:tcW w:w="1081" w:type="dxa"/>
                  <w:noWrap/>
                  <w:vAlign w:val="center"/>
                </w:tcPr>
                <w:p>
                  <w:pPr>
                    <w:jc w:val="center"/>
                    <w:rPr>
                      <w:rFonts w:hint="default"/>
                      <w:color w:val="auto"/>
                      <w:sz w:val="21"/>
                      <w:szCs w:val="21"/>
                      <w:lang w:val="en-US"/>
                    </w:rPr>
                  </w:pPr>
                  <w:r>
                    <w:rPr>
                      <w:rFonts w:hint="eastAsia"/>
                      <w:color w:val="auto"/>
                      <w:sz w:val="21"/>
                      <w:szCs w:val="21"/>
                      <w:lang w:val="en-US" w:eastAsia="zh-CN"/>
                    </w:rPr>
                    <w:t>11520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72" w:type="dxa"/>
                  <w:gridSpan w:val="5"/>
                  <w:noWrap/>
                  <w:vAlign w:val="center"/>
                </w:tcPr>
                <w:p>
                  <w:pPr>
                    <w:jc w:val="center"/>
                    <w:rPr>
                      <w:color w:val="auto"/>
                      <w:sz w:val="21"/>
                      <w:szCs w:val="21"/>
                    </w:rPr>
                  </w:pPr>
                  <w:r>
                    <w:rPr>
                      <w:rFonts w:hint="eastAsia"/>
                      <w:color w:val="auto"/>
                      <w:sz w:val="21"/>
                      <w:szCs w:val="21"/>
                      <w:lang w:val="en-US" w:eastAsia="zh-CN"/>
                    </w:rPr>
                    <w:t>大管喷漆房废气处理设施设计</w:t>
                  </w:r>
                  <w:r>
                    <w:rPr>
                      <w:color w:val="auto"/>
                      <w:sz w:val="21"/>
                      <w:szCs w:val="21"/>
                    </w:rPr>
                    <w:t>风量</w:t>
                  </w:r>
                </w:p>
              </w:tc>
              <w:tc>
                <w:tcPr>
                  <w:tcW w:w="1081" w:type="dxa"/>
                  <w:noWrap/>
                  <w:vAlign w:val="center"/>
                </w:tcPr>
                <w:p>
                  <w:pPr>
                    <w:jc w:val="center"/>
                    <w:rPr>
                      <w:color w:val="auto"/>
                      <w:sz w:val="21"/>
                      <w:szCs w:val="21"/>
                    </w:rPr>
                  </w:pPr>
                  <w:r>
                    <w:rPr>
                      <w:rFonts w:hint="eastAsia"/>
                      <w:color w:val="auto"/>
                      <w:sz w:val="21"/>
                      <w:szCs w:val="21"/>
                      <w:lang w:val="en-US" w:eastAsia="zh-CN"/>
                    </w:rPr>
                    <w:t>15000</w:t>
                  </w:r>
                </w:p>
              </w:tc>
            </w:tr>
          </w:tbl>
          <w:p>
            <w:pPr>
              <w:pStyle w:val="8"/>
              <w:ind w:firstLineChars="200"/>
              <w:rPr>
                <w:color w:val="auto"/>
                <w:sz w:val="21"/>
                <w:szCs w:val="21"/>
              </w:rPr>
            </w:pPr>
            <w:r>
              <w:rPr>
                <w:color w:val="auto"/>
                <w:sz w:val="21"/>
                <w:szCs w:val="21"/>
              </w:rPr>
              <w:t>注：晾干房的吸风量G=nV，其中n为换气次数，V为房间体积。</w:t>
            </w:r>
          </w:p>
          <w:p>
            <w:pPr>
              <w:tabs>
                <w:tab w:val="left" w:pos="4288"/>
              </w:tabs>
              <w:spacing w:line="240" w:lineRule="auto"/>
              <w:ind w:firstLine="480" w:firstLineChars="200"/>
              <w:outlineLvl w:val="2"/>
              <w:rPr>
                <w:rFonts w:hint="eastAsia"/>
                <w:color w:val="FF0000"/>
                <w:lang w:val="en-US" w:eastAsia="zh-CN"/>
              </w:rPr>
            </w:pPr>
          </w:p>
          <w:p>
            <w:pPr>
              <w:tabs>
                <w:tab w:val="left" w:pos="4288"/>
              </w:tabs>
              <w:spacing w:line="360" w:lineRule="auto"/>
              <w:ind w:firstLine="480" w:firstLineChars="200"/>
              <w:outlineLvl w:val="2"/>
              <w:rPr>
                <w:color w:val="auto"/>
              </w:rPr>
            </w:pPr>
            <w:r>
              <w:rPr>
                <w:rFonts w:hint="eastAsia"/>
                <w:color w:val="auto"/>
                <w:lang w:val="en-US" w:eastAsia="zh-CN"/>
              </w:rPr>
              <w:t>小管刷漆房产生的废气经现有的两级活性炭吸附装置处理后</w:t>
            </w:r>
            <w:r>
              <w:rPr>
                <w:color w:val="auto"/>
              </w:rPr>
              <w:t>通过</w:t>
            </w:r>
            <w:r>
              <w:rPr>
                <w:rFonts w:hint="eastAsia"/>
                <w:color w:val="auto"/>
                <w:lang w:val="en-US" w:eastAsia="zh-CN"/>
              </w:rPr>
              <w:t>15</w:t>
            </w:r>
            <w:r>
              <w:rPr>
                <w:color w:val="auto"/>
              </w:rPr>
              <w:t>米高排气筒</w:t>
            </w:r>
            <w:r>
              <w:rPr>
                <w:rFonts w:hint="eastAsia"/>
                <w:color w:val="auto"/>
              </w:rPr>
              <w:t>（DA</w:t>
            </w:r>
            <w:r>
              <w:rPr>
                <w:rFonts w:hint="eastAsia"/>
                <w:color w:val="auto"/>
                <w:lang w:val="en-US" w:eastAsia="zh-CN"/>
              </w:rPr>
              <w:t>001</w:t>
            </w:r>
            <w:r>
              <w:rPr>
                <w:rFonts w:hint="eastAsia"/>
                <w:color w:val="auto"/>
              </w:rPr>
              <w:t>）</w:t>
            </w:r>
            <w:r>
              <w:rPr>
                <w:color w:val="auto"/>
              </w:rPr>
              <w:t>排放。</w:t>
            </w:r>
            <w:r>
              <w:rPr>
                <w:rFonts w:hint="eastAsia"/>
                <w:color w:val="auto"/>
                <w:lang w:val="en-US" w:eastAsia="zh-CN"/>
              </w:rPr>
              <w:t>大管喷漆房产生的废气经1套水喷淋+</w:t>
            </w:r>
            <w:r>
              <w:rPr>
                <w:color w:val="auto"/>
              </w:rPr>
              <w:t>干式过滤+</w:t>
            </w:r>
            <w:r>
              <w:rPr>
                <w:rFonts w:hint="eastAsia"/>
                <w:color w:val="auto"/>
                <w:lang w:val="en-US" w:eastAsia="zh-CN"/>
              </w:rPr>
              <w:t>活性炭吸脱附</w:t>
            </w:r>
            <w:r>
              <w:rPr>
                <w:color w:val="auto"/>
              </w:rPr>
              <w:t>装置处理后通过</w:t>
            </w:r>
            <w:r>
              <w:rPr>
                <w:rFonts w:hint="eastAsia"/>
                <w:color w:val="auto"/>
                <w:lang w:val="en-US" w:eastAsia="zh-CN"/>
              </w:rPr>
              <w:t>15</w:t>
            </w:r>
            <w:r>
              <w:rPr>
                <w:color w:val="auto"/>
              </w:rPr>
              <w:t>米高排气筒</w:t>
            </w:r>
            <w:r>
              <w:rPr>
                <w:rFonts w:hint="eastAsia"/>
                <w:color w:val="auto"/>
              </w:rPr>
              <w:t>（DA</w:t>
            </w:r>
            <w:r>
              <w:rPr>
                <w:rFonts w:hint="eastAsia"/>
                <w:color w:val="auto"/>
                <w:lang w:val="en-US" w:eastAsia="zh-CN"/>
              </w:rPr>
              <w:t>005</w:t>
            </w:r>
            <w:r>
              <w:rPr>
                <w:rFonts w:hint="eastAsia"/>
                <w:color w:val="auto"/>
              </w:rPr>
              <w:t>）</w:t>
            </w:r>
            <w:r>
              <w:rPr>
                <w:color w:val="auto"/>
              </w:rPr>
              <w:t>排放。</w:t>
            </w:r>
          </w:p>
          <w:p>
            <w:pPr>
              <w:tabs>
                <w:tab w:val="left" w:pos="4288"/>
              </w:tabs>
              <w:spacing w:line="360" w:lineRule="auto"/>
              <w:ind w:firstLine="480" w:firstLineChars="200"/>
              <w:outlineLvl w:val="2"/>
              <w:rPr>
                <w:color w:val="auto"/>
              </w:rPr>
            </w:pPr>
            <w:r>
              <w:rPr>
                <w:color w:val="auto"/>
              </w:rPr>
              <w:t>参考《</w:t>
            </w:r>
            <w:r>
              <w:rPr>
                <w:rFonts w:hint="eastAsia"/>
                <w:color w:val="auto"/>
              </w:rPr>
              <w:t>浙江省重点行业VOCs污染排放源排放量计算方法（1.1版）</w:t>
            </w:r>
            <w:r>
              <w:rPr>
                <w:color w:val="auto"/>
              </w:rPr>
              <w:t>》</w:t>
            </w:r>
            <w:r>
              <w:rPr>
                <w:rFonts w:hint="eastAsia"/>
                <w:color w:val="auto"/>
              </w:rPr>
              <w:t>中</w:t>
            </w:r>
            <w:r>
              <w:rPr>
                <w:color w:val="auto"/>
              </w:rPr>
              <w:t>相关</w:t>
            </w:r>
            <w:r>
              <w:rPr>
                <w:rFonts w:hint="eastAsia"/>
                <w:color w:val="auto"/>
              </w:rPr>
              <w:t>数据，“车间或密闭间进行密闭收集且屋面现浇，四周墙壁或门窗等密闭性好，收集总风量能确保开口处保持微负压，不让废气外泄”情况下废气收集效率按90%计，两级活性炭装置</w:t>
            </w:r>
            <w:r>
              <w:rPr>
                <w:color w:val="auto"/>
              </w:rPr>
              <w:t>吸附效率取</w:t>
            </w:r>
            <w:r>
              <w:rPr>
                <w:rFonts w:hint="eastAsia"/>
                <w:color w:val="auto"/>
              </w:rPr>
              <w:t>65</w:t>
            </w:r>
            <w:r>
              <w:rPr>
                <w:color w:val="auto"/>
              </w:rPr>
              <w:t>%</w:t>
            </w:r>
            <w:r>
              <w:rPr>
                <w:rFonts w:hint="eastAsia"/>
                <w:color w:val="auto"/>
                <w:lang w:eastAsia="zh-CN"/>
              </w:rPr>
              <w:t>（</w:t>
            </w:r>
            <w:r>
              <w:rPr>
                <w:rFonts w:hint="default" w:ascii="Times New Roman" w:hAnsi="Times New Roman" w:eastAsia="宋体" w:cs="Times New Roman"/>
                <w:color w:val="auto"/>
                <w:sz w:val="24"/>
                <w:szCs w:val="24"/>
              </w:rPr>
              <w:t>废气处理设施的处理效率能达到相应技术规范规定的</w:t>
            </w:r>
            <w:r>
              <w:rPr>
                <w:rFonts w:hint="eastAsia" w:cs="Times New Roman"/>
                <w:color w:val="auto"/>
                <w:sz w:val="24"/>
                <w:szCs w:val="24"/>
                <w:lang w:val="en-US" w:eastAsia="zh-CN"/>
              </w:rPr>
              <w:t>75%</w:t>
            </w:r>
            <w:r>
              <w:rPr>
                <w:rFonts w:hint="default" w:ascii="Times New Roman" w:hAnsi="Times New Roman" w:eastAsia="宋体" w:cs="Times New Roman"/>
                <w:color w:val="auto"/>
                <w:sz w:val="24"/>
                <w:szCs w:val="24"/>
              </w:rPr>
              <w:t>要求，但考虑实际运行和管理效果，在核算时适当降低处理效率</w:t>
            </w:r>
            <w:r>
              <w:rPr>
                <w:rFonts w:hint="eastAsia" w:cs="Times New Roman"/>
                <w:color w:val="auto"/>
                <w:sz w:val="24"/>
                <w:szCs w:val="24"/>
                <w:lang w:val="en-US" w:eastAsia="zh-CN"/>
              </w:rPr>
              <w:t>为65%</w:t>
            </w:r>
            <w:r>
              <w:rPr>
                <w:rFonts w:hint="eastAsia"/>
                <w:color w:val="auto"/>
                <w:lang w:eastAsia="zh-CN"/>
              </w:rPr>
              <w:t>）</w:t>
            </w:r>
            <w:r>
              <w:rPr>
                <w:rFonts w:hint="eastAsia"/>
                <w:color w:val="auto"/>
              </w:rPr>
              <w:t>，</w:t>
            </w:r>
            <w:r>
              <w:rPr>
                <w:rFonts w:hint="eastAsia"/>
                <w:color w:val="auto"/>
                <w:lang w:val="en-US" w:eastAsia="zh-CN"/>
              </w:rPr>
              <w:t>活性炭吸脱附</w:t>
            </w:r>
            <w:r>
              <w:rPr>
                <w:color w:val="auto"/>
              </w:rPr>
              <w:t>装置</w:t>
            </w:r>
            <w:r>
              <w:rPr>
                <w:rFonts w:hint="eastAsia"/>
                <w:color w:val="auto"/>
                <w:lang w:val="en-US" w:eastAsia="zh-CN"/>
              </w:rPr>
              <w:t>处理效率取80%，</w:t>
            </w:r>
            <w:r>
              <w:rPr>
                <w:rFonts w:hint="eastAsia"/>
                <w:color w:val="auto"/>
              </w:rPr>
              <w:t>漆雾去除效率为95%。</w:t>
            </w:r>
          </w:p>
          <w:p>
            <w:pPr>
              <w:tabs>
                <w:tab w:val="left" w:pos="4288"/>
              </w:tabs>
              <w:spacing w:line="360" w:lineRule="auto"/>
              <w:ind w:firstLine="480" w:firstLineChars="200"/>
              <w:outlineLvl w:val="2"/>
              <w:rPr>
                <w:color w:val="auto"/>
              </w:rPr>
            </w:pPr>
            <w:r>
              <w:rPr>
                <w:color w:val="auto"/>
              </w:rPr>
              <w:t>根据上述相关参数可以计算出废气的产生及排放情况，</w:t>
            </w:r>
            <w:r>
              <w:rPr>
                <w:rFonts w:hint="eastAsia"/>
                <w:color w:val="auto"/>
                <w:szCs w:val="24"/>
                <w:lang w:val="en-US" w:eastAsia="zh-CN"/>
              </w:rPr>
              <w:t>详</w:t>
            </w:r>
            <w:r>
              <w:rPr>
                <w:color w:val="auto"/>
              </w:rPr>
              <w:t>见表</w:t>
            </w:r>
            <w:r>
              <w:rPr>
                <w:rFonts w:hint="eastAsia"/>
                <w:color w:val="auto"/>
              </w:rPr>
              <w:t>4</w:t>
            </w:r>
            <w:r>
              <w:rPr>
                <w:color w:val="auto"/>
              </w:rPr>
              <w:t>-</w:t>
            </w:r>
            <w:r>
              <w:rPr>
                <w:rFonts w:hint="eastAsia"/>
                <w:color w:val="auto"/>
                <w:lang w:val="en-US" w:eastAsia="zh-CN"/>
              </w:rPr>
              <w:t>4</w:t>
            </w:r>
            <w:r>
              <w:rPr>
                <w:color w:val="auto"/>
              </w:rPr>
              <w:t>。</w:t>
            </w:r>
          </w:p>
          <w:p>
            <w:pPr>
              <w:autoSpaceDE w:val="0"/>
              <w:autoSpaceDN w:val="0"/>
              <w:spacing w:line="360" w:lineRule="auto"/>
              <w:jc w:val="center"/>
              <w:rPr>
                <w:b/>
                <w:color w:val="auto"/>
                <w:kern w:val="0"/>
              </w:rPr>
            </w:pPr>
            <w:r>
              <w:rPr>
                <w:b/>
                <w:color w:val="auto"/>
                <w:kern w:val="0"/>
              </w:rPr>
              <w:t>表</w:t>
            </w:r>
            <w:r>
              <w:rPr>
                <w:rFonts w:hint="eastAsia"/>
                <w:b/>
                <w:color w:val="auto"/>
                <w:kern w:val="0"/>
              </w:rPr>
              <w:t>4</w:t>
            </w:r>
            <w:r>
              <w:rPr>
                <w:b/>
                <w:color w:val="auto"/>
                <w:kern w:val="0"/>
              </w:rPr>
              <w:t>-</w:t>
            </w:r>
            <w:r>
              <w:rPr>
                <w:rFonts w:hint="eastAsia"/>
                <w:b/>
                <w:color w:val="auto"/>
                <w:kern w:val="0"/>
                <w:lang w:val="en-US" w:eastAsia="zh-CN"/>
              </w:rPr>
              <w:t xml:space="preserve">4  </w:t>
            </w:r>
            <w:r>
              <w:rPr>
                <w:b/>
                <w:color w:val="auto"/>
                <w:kern w:val="0"/>
              </w:rPr>
              <w:t>油漆废气产生及排放情况计算结果</w:t>
            </w:r>
          </w:p>
          <w:tbl>
            <w:tblPr>
              <w:tblStyle w:val="29"/>
              <w:tblW w:w="765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491"/>
              <w:gridCol w:w="1197"/>
              <w:gridCol w:w="1070"/>
              <w:gridCol w:w="912"/>
              <w:gridCol w:w="888"/>
              <w:gridCol w:w="842"/>
              <w:gridCol w:w="12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491" w:type="dxa"/>
                  <w:vMerge w:val="restart"/>
                  <w:noWrap/>
                  <w:vAlign w:val="center"/>
                </w:tcPr>
                <w:p>
                  <w:pPr>
                    <w:jc w:val="center"/>
                    <w:rPr>
                      <w:b/>
                      <w:bCs/>
                      <w:color w:val="auto"/>
                      <w:sz w:val="21"/>
                      <w:szCs w:val="21"/>
                    </w:rPr>
                  </w:pPr>
                  <w:r>
                    <w:rPr>
                      <w:b/>
                      <w:bCs/>
                      <w:color w:val="auto"/>
                      <w:sz w:val="21"/>
                      <w:szCs w:val="21"/>
                    </w:rPr>
                    <w:t>污染因子</w:t>
                  </w:r>
                </w:p>
              </w:tc>
              <w:tc>
                <w:tcPr>
                  <w:tcW w:w="1197" w:type="dxa"/>
                  <w:noWrap/>
                  <w:vAlign w:val="center"/>
                </w:tcPr>
                <w:p>
                  <w:pPr>
                    <w:jc w:val="center"/>
                    <w:rPr>
                      <w:b/>
                      <w:bCs/>
                      <w:color w:val="auto"/>
                      <w:sz w:val="21"/>
                      <w:szCs w:val="21"/>
                    </w:rPr>
                  </w:pPr>
                  <w:r>
                    <w:rPr>
                      <w:b/>
                      <w:bCs/>
                      <w:color w:val="auto"/>
                      <w:sz w:val="21"/>
                      <w:szCs w:val="21"/>
                    </w:rPr>
                    <w:t>产生量</w:t>
                  </w:r>
                </w:p>
              </w:tc>
              <w:tc>
                <w:tcPr>
                  <w:tcW w:w="1070" w:type="dxa"/>
                  <w:noWrap/>
                  <w:vAlign w:val="center"/>
                </w:tcPr>
                <w:p>
                  <w:pPr>
                    <w:jc w:val="center"/>
                    <w:rPr>
                      <w:b/>
                      <w:bCs/>
                      <w:color w:val="auto"/>
                      <w:sz w:val="21"/>
                      <w:szCs w:val="21"/>
                    </w:rPr>
                  </w:pPr>
                  <w:r>
                    <w:rPr>
                      <w:b/>
                      <w:bCs/>
                      <w:color w:val="auto"/>
                      <w:sz w:val="21"/>
                      <w:szCs w:val="21"/>
                    </w:rPr>
                    <w:t>削减量</w:t>
                  </w:r>
                </w:p>
              </w:tc>
              <w:tc>
                <w:tcPr>
                  <w:tcW w:w="2642" w:type="dxa"/>
                  <w:gridSpan w:val="3"/>
                  <w:tcBorders>
                    <w:right w:val="single" w:color="auto" w:sz="2" w:space="0"/>
                  </w:tcBorders>
                  <w:noWrap/>
                  <w:vAlign w:val="center"/>
                </w:tcPr>
                <w:p>
                  <w:pPr>
                    <w:jc w:val="center"/>
                    <w:rPr>
                      <w:b/>
                      <w:bCs/>
                      <w:color w:val="auto"/>
                      <w:sz w:val="21"/>
                      <w:szCs w:val="21"/>
                    </w:rPr>
                  </w:pPr>
                  <w:r>
                    <w:rPr>
                      <w:b/>
                      <w:bCs/>
                      <w:color w:val="auto"/>
                      <w:sz w:val="21"/>
                      <w:szCs w:val="21"/>
                    </w:rPr>
                    <w:t>有组织排放</w:t>
                  </w:r>
                </w:p>
              </w:tc>
              <w:tc>
                <w:tcPr>
                  <w:tcW w:w="1253" w:type="dxa"/>
                  <w:tcBorders>
                    <w:left w:val="single" w:color="auto" w:sz="2" w:space="0"/>
                    <w:right w:val="single" w:color="auto" w:sz="4" w:space="0"/>
                  </w:tcBorders>
                  <w:noWrap/>
                  <w:vAlign w:val="center"/>
                </w:tcPr>
                <w:p>
                  <w:pPr>
                    <w:jc w:val="center"/>
                    <w:rPr>
                      <w:b/>
                      <w:bCs/>
                      <w:color w:val="auto"/>
                      <w:sz w:val="21"/>
                      <w:szCs w:val="21"/>
                    </w:rPr>
                  </w:pPr>
                  <w:r>
                    <w:rPr>
                      <w:b/>
                      <w:bCs/>
                      <w:color w:val="auto"/>
                      <w:sz w:val="21"/>
                      <w:szCs w:val="21"/>
                    </w:rPr>
                    <w:t>无组织排放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491" w:type="dxa"/>
                  <w:vMerge w:val="continue"/>
                  <w:noWrap/>
                  <w:vAlign w:val="center"/>
                </w:tcPr>
                <w:p>
                  <w:pPr>
                    <w:jc w:val="center"/>
                    <w:rPr>
                      <w:color w:val="auto"/>
                      <w:sz w:val="21"/>
                      <w:szCs w:val="21"/>
                    </w:rPr>
                  </w:pPr>
                </w:p>
              </w:tc>
              <w:tc>
                <w:tcPr>
                  <w:tcW w:w="1197" w:type="dxa"/>
                  <w:noWrap/>
                  <w:vAlign w:val="center"/>
                </w:tcPr>
                <w:p>
                  <w:pPr>
                    <w:jc w:val="center"/>
                    <w:rPr>
                      <w:color w:val="auto"/>
                      <w:sz w:val="21"/>
                      <w:szCs w:val="21"/>
                    </w:rPr>
                  </w:pPr>
                  <w:r>
                    <w:rPr>
                      <w:color w:val="auto"/>
                      <w:sz w:val="21"/>
                      <w:szCs w:val="21"/>
                    </w:rPr>
                    <w:t>t/a</w:t>
                  </w:r>
                </w:p>
              </w:tc>
              <w:tc>
                <w:tcPr>
                  <w:tcW w:w="1070" w:type="dxa"/>
                  <w:noWrap/>
                  <w:vAlign w:val="center"/>
                </w:tcPr>
                <w:p>
                  <w:pPr>
                    <w:jc w:val="center"/>
                    <w:rPr>
                      <w:color w:val="auto"/>
                      <w:sz w:val="21"/>
                      <w:szCs w:val="21"/>
                    </w:rPr>
                  </w:pPr>
                  <w:r>
                    <w:rPr>
                      <w:color w:val="auto"/>
                      <w:sz w:val="21"/>
                      <w:szCs w:val="21"/>
                    </w:rPr>
                    <w:t>t/a</w:t>
                  </w:r>
                </w:p>
              </w:tc>
              <w:tc>
                <w:tcPr>
                  <w:tcW w:w="912" w:type="dxa"/>
                  <w:noWrap/>
                  <w:vAlign w:val="center"/>
                </w:tcPr>
                <w:p>
                  <w:pPr>
                    <w:jc w:val="center"/>
                    <w:rPr>
                      <w:color w:val="auto"/>
                      <w:sz w:val="21"/>
                      <w:szCs w:val="21"/>
                    </w:rPr>
                  </w:pPr>
                  <w:r>
                    <w:rPr>
                      <w:color w:val="auto"/>
                      <w:sz w:val="21"/>
                      <w:szCs w:val="21"/>
                    </w:rPr>
                    <w:t>mg/m</w:t>
                  </w:r>
                  <w:r>
                    <w:rPr>
                      <w:color w:val="auto"/>
                      <w:sz w:val="21"/>
                      <w:szCs w:val="21"/>
                      <w:vertAlign w:val="superscript"/>
                    </w:rPr>
                    <w:t>3</w:t>
                  </w:r>
                </w:p>
              </w:tc>
              <w:tc>
                <w:tcPr>
                  <w:tcW w:w="888" w:type="dxa"/>
                  <w:noWrap/>
                  <w:vAlign w:val="center"/>
                </w:tcPr>
                <w:p>
                  <w:pPr>
                    <w:jc w:val="center"/>
                    <w:rPr>
                      <w:color w:val="auto"/>
                      <w:sz w:val="21"/>
                      <w:szCs w:val="21"/>
                    </w:rPr>
                  </w:pPr>
                  <w:r>
                    <w:rPr>
                      <w:color w:val="auto"/>
                      <w:sz w:val="21"/>
                      <w:szCs w:val="21"/>
                    </w:rPr>
                    <w:t>kg/h</w:t>
                  </w:r>
                </w:p>
              </w:tc>
              <w:tc>
                <w:tcPr>
                  <w:tcW w:w="842" w:type="dxa"/>
                  <w:tcBorders>
                    <w:right w:val="single" w:color="auto" w:sz="2" w:space="0"/>
                  </w:tcBorders>
                  <w:noWrap/>
                  <w:vAlign w:val="center"/>
                </w:tcPr>
                <w:p>
                  <w:pPr>
                    <w:jc w:val="center"/>
                    <w:rPr>
                      <w:color w:val="auto"/>
                      <w:sz w:val="21"/>
                      <w:szCs w:val="21"/>
                    </w:rPr>
                  </w:pPr>
                  <w:r>
                    <w:rPr>
                      <w:color w:val="auto"/>
                      <w:sz w:val="21"/>
                      <w:szCs w:val="21"/>
                    </w:rPr>
                    <w:t>t/a</w:t>
                  </w:r>
                </w:p>
              </w:tc>
              <w:tc>
                <w:tcPr>
                  <w:tcW w:w="1253" w:type="dxa"/>
                  <w:tcBorders>
                    <w:left w:val="single" w:color="auto" w:sz="2" w:space="0"/>
                    <w:right w:val="single" w:color="auto" w:sz="4" w:space="0"/>
                  </w:tcBorders>
                  <w:noWrap/>
                  <w:vAlign w:val="center"/>
                </w:tcPr>
                <w:p>
                  <w:pPr>
                    <w:jc w:val="center"/>
                    <w:rPr>
                      <w:color w:val="auto"/>
                      <w:sz w:val="21"/>
                      <w:szCs w:val="21"/>
                    </w:rPr>
                  </w:pPr>
                  <w:r>
                    <w:rPr>
                      <w:color w:val="auto"/>
                      <w:sz w:val="21"/>
                      <w:szCs w:val="21"/>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491" w:type="dxa"/>
                  <w:noWrap/>
                  <w:vAlign w:val="center"/>
                </w:tcPr>
                <w:p>
                  <w:pPr>
                    <w:jc w:val="center"/>
                    <w:rPr>
                      <w:color w:val="auto"/>
                      <w:sz w:val="21"/>
                      <w:szCs w:val="21"/>
                    </w:rPr>
                  </w:pPr>
                  <w:r>
                    <w:rPr>
                      <w:rFonts w:hint="eastAsia"/>
                      <w:color w:val="auto"/>
                      <w:sz w:val="21"/>
                      <w:szCs w:val="21"/>
                      <w:lang w:val="en-US" w:eastAsia="zh-CN"/>
                    </w:rPr>
                    <w:t>小管刷漆</w:t>
                  </w:r>
                  <w:r>
                    <w:rPr>
                      <w:color w:val="auto"/>
                      <w:sz w:val="21"/>
                      <w:szCs w:val="21"/>
                    </w:rPr>
                    <w:t>废气</w:t>
                  </w:r>
                  <w:r>
                    <w:rPr>
                      <w:rFonts w:hint="eastAsia"/>
                      <w:color w:val="auto"/>
                      <w:sz w:val="21"/>
                      <w:szCs w:val="21"/>
                    </w:rPr>
                    <w:t>DA00</w:t>
                  </w:r>
                  <w:r>
                    <w:rPr>
                      <w:rFonts w:hint="eastAsia"/>
                      <w:color w:val="auto"/>
                      <w:sz w:val="21"/>
                      <w:szCs w:val="21"/>
                      <w:lang w:val="en-US" w:eastAsia="zh-CN"/>
                    </w:rPr>
                    <w:t>1</w:t>
                  </w:r>
                </w:p>
              </w:tc>
              <w:tc>
                <w:tcPr>
                  <w:tcW w:w="1197" w:type="dxa"/>
                  <w:noWrap/>
                  <w:vAlign w:val="center"/>
                </w:tcPr>
                <w:p>
                  <w:pPr>
                    <w:jc w:val="center"/>
                    <w:rPr>
                      <w:color w:val="auto"/>
                      <w:sz w:val="21"/>
                      <w:szCs w:val="21"/>
                    </w:rPr>
                  </w:pPr>
                  <w:r>
                    <w:rPr>
                      <w:rFonts w:hint="eastAsia"/>
                      <w:color w:val="auto"/>
                      <w:sz w:val="21"/>
                      <w:szCs w:val="21"/>
                      <w:lang w:val="en-US" w:eastAsia="zh-CN"/>
                    </w:rPr>
                    <w:t>15000</w:t>
                  </w:r>
                  <w:r>
                    <w:rPr>
                      <w:color w:val="auto"/>
                      <w:sz w:val="21"/>
                      <w:szCs w:val="21"/>
                    </w:rPr>
                    <w:t>m</w:t>
                  </w:r>
                  <w:r>
                    <w:rPr>
                      <w:color w:val="auto"/>
                      <w:sz w:val="21"/>
                      <w:szCs w:val="21"/>
                      <w:vertAlign w:val="superscript"/>
                    </w:rPr>
                    <w:t>3</w:t>
                  </w:r>
                  <w:r>
                    <w:rPr>
                      <w:color w:val="auto"/>
                      <w:sz w:val="21"/>
                      <w:szCs w:val="21"/>
                    </w:rPr>
                    <w:t>/h</w:t>
                  </w:r>
                </w:p>
              </w:tc>
              <w:tc>
                <w:tcPr>
                  <w:tcW w:w="1070" w:type="dxa"/>
                  <w:noWrap/>
                  <w:vAlign w:val="center"/>
                </w:tcPr>
                <w:p>
                  <w:pPr>
                    <w:jc w:val="center"/>
                    <w:rPr>
                      <w:color w:val="auto"/>
                      <w:sz w:val="21"/>
                      <w:szCs w:val="21"/>
                    </w:rPr>
                  </w:pPr>
                  <w:r>
                    <w:rPr>
                      <w:color w:val="auto"/>
                      <w:sz w:val="21"/>
                      <w:szCs w:val="21"/>
                    </w:rPr>
                    <w:t>/</w:t>
                  </w:r>
                </w:p>
              </w:tc>
              <w:tc>
                <w:tcPr>
                  <w:tcW w:w="2642" w:type="dxa"/>
                  <w:gridSpan w:val="3"/>
                  <w:tcBorders>
                    <w:right w:val="single" w:color="auto" w:sz="2" w:space="0"/>
                  </w:tcBorders>
                  <w:noWrap/>
                  <w:vAlign w:val="center"/>
                </w:tcPr>
                <w:p>
                  <w:pPr>
                    <w:jc w:val="center"/>
                    <w:rPr>
                      <w:color w:val="auto"/>
                      <w:sz w:val="21"/>
                      <w:szCs w:val="21"/>
                    </w:rPr>
                  </w:pPr>
                  <w:r>
                    <w:rPr>
                      <w:rFonts w:hint="eastAsia"/>
                      <w:color w:val="auto"/>
                      <w:sz w:val="21"/>
                      <w:szCs w:val="21"/>
                      <w:lang w:val="en-US" w:eastAsia="zh-CN"/>
                    </w:rPr>
                    <w:t>1500</w:t>
                  </w:r>
                  <w:r>
                    <w:rPr>
                      <w:color w:val="auto"/>
                      <w:sz w:val="21"/>
                      <w:szCs w:val="21"/>
                    </w:rPr>
                    <w:t>0m</w:t>
                  </w:r>
                  <w:r>
                    <w:rPr>
                      <w:color w:val="auto"/>
                      <w:sz w:val="21"/>
                      <w:szCs w:val="21"/>
                      <w:vertAlign w:val="superscript"/>
                    </w:rPr>
                    <w:t>3</w:t>
                  </w:r>
                  <w:r>
                    <w:rPr>
                      <w:color w:val="auto"/>
                      <w:sz w:val="21"/>
                      <w:szCs w:val="21"/>
                    </w:rPr>
                    <w:t>/h</w:t>
                  </w:r>
                </w:p>
              </w:tc>
              <w:tc>
                <w:tcPr>
                  <w:tcW w:w="1253" w:type="dxa"/>
                  <w:tcBorders>
                    <w:left w:val="single" w:color="auto" w:sz="2" w:space="0"/>
                    <w:right w:val="single" w:color="auto" w:sz="4" w:space="0"/>
                  </w:tcBorders>
                  <w:noWrap/>
                  <w:vAlign w:val="center"/>
                </w:tcPr>
                <w:p>
                  <w:pPr>
                    <w:jc w:val="center"/>
                    <w:rPr>
                      <w:color w:val="auto"/>
                      <w:sz w:val="21"/>
                      <w:szCs w:val="21"/>
                    </w:rPr>
                  </w:pPr>
                  <w:r>
                    <w:rPr>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491" w:type="dxa"/>
                  <w:tcBorders>
                    <w:bottom w:val="single" w:color="auto" w:sz="4" w:space="0"/>
                  </w:tcBorders>
                  <w:noWrap/>
                  <w:vAlign w:val="center"/>
                </w:tcPr>
                <w:p>
                  <w:pPr>
                    <w:jc w:val="center"/>
                    <w:rPr>
                      <w:rFonts w:hint="eastAsia" w:eastAsia="宋体"/>
                      <w:color w:val="auto"/>
                      <w:sz w:val="21"/>
                      <w:szCs w:val="21"/>
                      <w:lang w:eastAsia="zh-CN"/>
                    </w:rPr>
                  </w:pPr>
                  <w:r>
                    <w:rPr>
                      <w:rFonts w:hint="eastAsia"/>
                      <w:color w:val="auto"/>
                      <w:sz w:val="21"/>
                      <w:szCs w:val="21"/>
                      <w:lang w:val="en-US" w:eastAsia="zh-CN"/>
                    </w:rPr>
                    <w:t>二甲苯</w:t>
                  </w:r>
                </w:p>
              </w:tc>
              <w:tc>
                <w:tcPr>
                  <w:tcW w:w="1197" w:type="dxa"/>
                  <w:noWrap/>
                  <w:vAlign w:val="center"/>
                </w:tcPr>
                <w:p>
                  <w:pPr>
                    <w:keepNext w:val="0"/>
                    <w:keepLines w:val="0"/>
                    <w:widowControl/>
                    <w:suppressLineNumbers w:val="0"/>
                    <w:jc w:val="center"/>
                    <w:textAlignment w:val="center"/>
                    <w:rPr>
                      <w:color w:val="auto"/>
                      <w:sz w:val="21"/>
                      <w:szCs w:val="21"/>
                    </w:rPr>
                  </w:pPr>
                  <w:r>
                    <w:rPr>
                      <w:rFonts w:hint="default" w:ascii="Times New Roman" w:hAnsi="Times New Roman" w:eastAsia="宋体" w:cs="Times New Roman"/>
                      <w:i w:val="0"/>
                      <w:iCs w:val="0"/>
                      <w:color w:val="auto"/>
                      <w:kern w:val="0"/>
                      <w:sz w:val="21"/>
                      <w:szCs w:val="21"/>
                      <w:u w:val="none"/>
                      <w:lang w:val="en-US" w:eastAsia="zh-CN" w:bidi="ar"/>
                    </w:rPr>
                    <w:t>0.4</w:t>
                  </w:r>
                </w:p>
              </w:tc>
              <w:tc>
                <w:tcPr>
                  <w:tcW w:w="1070"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0.234</w:t>
                  </w:r>
                </w:p>
              </w:tc>
              <w:tc>
                <w:tcPr>
                  <w:tcW w:w="912"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3.5</w:t>
                  </w:r>
                </w:p>
              </w:tc>
              <w:tc>
                <w:tcPr>
                  <w:tcW w:w="888"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0.0525</w:t>
                  </w:r>
                </w:p>
              </w:tc>
              <w:tc>
                <w:tcPr>
                  <w:tcW w:w="842" w:type="dxa"/>
                  <w:tcBorders>
                    <w:right w:val="single" w:color="auto" w:sz="2" w:space="0"/>
                  </w:tcBorders>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0.126</w:t>
                  </w:r>
                </w:p>
              </w:tc>
              <w:tc>
                <w:tcPr>
                  <w:tcW w:w="1253" w:type="dxa"/>
                  <w:tcBorders>
                    <w:left w:val="single" w:color="auto" w:sz="2" w:space="0"/>
                    <w:right w:val="single" w:color="auto" w:sz="4" w:space="0"/>
                  </w:tcBorders>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491" w:type="dxa"/>
                  <w:noWrap/>
                  <w:vAlign w:val="center"/>
                </w:tcPr>
                <w:p>
                  <w:pPr>
                    <w:jc w:val="center"/>
                    <w:rPr>
                      <w:color w:val="auto"/>
                      <w:sz w:val="21"/>
                      <w:szCs w:val="21"/>
                    </w:rPr>
                  </w:pPr>
                  <w:r>
                    <w:rPr>
                      <w:rFonts w:hint="eastAsia"/>
                      <w:color w:val="auto"/>
                      <w:sz w:val="21"/>
                      <w:szCs w:val="21"/>
                      <w:lang w:val="en-US" w:eastAsia="zh-CN"/>
                    </w:rPr>
                    <w:t>大管喷漆</w:t>
                  </w:r>
                  <w:r>
                    <w:rPr>
                      <w:color w:val="auto"/>
                      <w:sz w:val="21"/>
                      <w:szCs w:val="21"/>
                    </w:rPr>
                    <w:t>废气</w:t>
                  </w:r>
                  <w:r>
                    <w:rPr>
                      <w:rFonts w:hint="eastAsia"/>
                      <w:color w:val="auto"/>
                      <w:sz w:val="21"/>
                      <w:szCs w:val="21"/>
                    </w:rPr>
                    <w:t>DA00</w:t>
                  </w:r>
                  <w:r>
                    <w:rPr>
                      <w:rFonts w:hint="eastAsia"/>
                      <w:color w:val="auto"/>
                      <w:sz w:val="21"/>
                      <w:szCs w:val="21"/>
                      <w:lang w:val="en-US" w:eastAsia="zh-CN"/>
                    </w:rPr>
                    <w:t>5</w:t>
                  </w:r>
                </w:p>
              </w:tc>
              <w:tc>
                <w:tcPr>
                  <w:tcW w:w="1197" w:type="dxa"/>
                  <w:noWrap/>
                  <w:vAlign w:val="center"/>
                </w:tcPr>
                <w:p>
                  <w:pPr>
                    <w:jc w:val="center"/>
                    <w:rPr>
                      <w:color w:val="auto"/>
                      <w:sz w:val="21"/>
                      <w:szCs w:val="21"/>
                    </w:rPr>
                  </w:pPr>
                  <w:r>
                    <w:rPr>
                      <w:rFonts w:hint="eastAsia"/>
                      <w:color w:val="auto"/>
                      <w:sz w:val="21"/>
                      <w:szCs w:val="21"/>
                      <w:lang w:val="en-US" w:eastAsia="zh-CN"/>
                    </w:rPr>
                    <w:t>15000</w:t>
                  </w:r>
                  <w:r>
                    <w:rPr>
                      <w:color w:val="auto"/>
                      <w:sz w:val="21"/>
                      <w:szCs w:val="21"/>
                    </w:rPr>
                    <w:t>m</w:t>
                  </w:r>
                  <w:r>
                    <w:rPr>
                      <w:color w:val="auto"/>
                      <w:sz w:val="21"/>
                      <w:szCs w:val="21"/>
                      <w:vertAlign w:val="superscript"/>
                    </w:rPr>
                    <w:t>3</w:t>
                  </w:r>
                  <w:r>
                    <w:rPr>
                      <w:color w:val="auto"/>
                      <w:sz w:val="21"/>
                      <w:szCs w:val="21"/>
                    </w:rPr>
                    <w:t>/h</w:t>
                  </w:r>
                </w:p>
              </w:tc>
              <w:tc>
                <w:tcPr>
                  <w:tcW w:w="1070" w:type="dxa"/>
                  <w:noWrap/>
                  <w:vAlign w:val="center"/>
                </w:tcPr>
                <w:p>
                  <w:pPr>
                    <w:jc w:val="center"/>
                    <w:rPr>
                      <w:color w:val="auto"/>
                      <w:kern w:val="0"/>
                      <w:sz w:val="21"/>
                      <w:szCs w:val="21"/>
                    </w:rPr>
                  </w:pPr>
                  <w:r>
                    <w:rPr>
                      <w:color w:val="auto"/>
                      <w:sz w:val="21"/>
                      <w:szCs w:val="21"/>
                    </w:rPr>
                    <w:t>/</w:t>
                  </w:r>
                </w:p>
              </w:tc>
              <w:tc>
                <w:tcPr>
                  <w:tcW w:w="2642" w:type="dxa"/>
                  <w:gridSpan w:val="3"/>
                  <w:tcBorders>
                    <w:right w:val="single" w:color="auto" w:sz="2" w:space="0"/>
                  </w:tcBorders>
                  <w:noWrap/>
                  <w:vAlign w:val="center"/>
                </w:tcPr>
                <w:p>
                  <w:pPr>
                    <w:jc w:val="center"/>
                    <w:rPr>
                      <w:color w:val="auto"/>
                      <w:kern w:val="0"/>
                      <w:sz w:val="21"/>
                      <w:szCs w:val="21"/>
                    </w:rPr>
                  </w:pPr>
                  <w:r>
                    <w:rPr>
                      <w:rFonts w:hint="eastAsia"/>
                      <w:color w:val="auto"/>
                      <w:sz w:val="21"/>
                      <w:szCs w:val="21"/>
                      <w:lang w:val="en-US" w:eastAsia="zh-CN"/>
                    </w:rPr>
                    <w:t>1500</w:t>
                  </w:r>
                  <w:r>
                    <w:rPr>
                      <w:color w:val="auto"/>
                      <w:sz w:val="21"/>
                      <w:szCs w:val="21"/>
                    </w:rPr>
                    <w:t>0m</w:t>
                  </w:r>
                  <w:r>
                    <w:rPr>
                      <w:color w:val="auto"/>
                      <w:sz w:val="21"/>
                      <w:szCs w:val="21"/>
                      <w:vertAlign w:val="superscript"/>
                    </w:rPr>
                    <w:t>3</w:t>
                  </w:r>
                  <w:r>
                    <w:rPr>
                      <w:color w:val="auto"/>
                      <w:sz w:val="21"/>
                      <w:szCs w:val="21"/>
                    </w:rPr>
                    <w:t>/h</w:t>
                  </w:r>
                </w:p>
              </w:tc>
              <w:tc>
                <w:tcPr>
                  <w:tcW w:w="1253" w:type="dxa"/>
                  <w:tcBorders>
                    <w:left w:val="single" w:color="auto" w:sz="2" w:space="0"/>
                    <w:right w:val="single" w:color="auto" w:sz="4" w:space="0"/>
                  </w:tcBorders>
                  <w:noWrap/>
                  <w:vAlign w:val="center"/>
                </w:tcPr>
                <w:p>
                  <w:pPr>
                    <w:jc w:val="center"/>
                    <w:rPr>
                      <w:color w:val="auto"/>
                      <w:kern w:val="0"/>
                      <w:sz w:val="21"/>
                      <w:szCs w:val="21"/>
                    </w:rPr>
                  </w:pPr>
                  <w:r>
                    <w:rPr>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491" w:type="dxa"/>
                  <w:tcBorders>
                    <w:bottom w:val="single" w:color="auto" w:sz="4" w:space="0"/>
                  </w:tcBorders>
                  <w:noWrap/>
                  <w:vAlign w:val="center"/>
                </w:tcPr>
                <w:p>
                  <w:pPr>
                    <w:jc w:val="center"/>
                    <w:rPr>
                      <w:rFonts w:hint="eastAsia" w:eastAsia="宋体"/>
                      <w:color w:val="auto"/>
                      <w:sz w:val="21"/>
                      <w:szCs w:val="21"/>
                      <w:lang w:eastAsia="zh-CN"/>
                    </w:rPr>
                  </w:pPr>
                  <w:r>
                    <w:rPr>
                      <w:rFonts w:hint="eastAsia"/>
                      <w:color w:val="auto"/>
                      <w:sz w:val="21"/>
                      <w:szCs w:val="21"/>
                      <w:lang w:val="en-US" w:eastAsia="zh-CN"/>
                    </w:rPr>
                    <w:t>二甲苯</w:t>
                  </w:r>
                </w:p>
              </w:tc>
              <w:tc>
                <w:tcPr>
                  <w:tcW w:w="1197"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1.6</w:t>
                  </w:r>
                </w:p>
              </w:tc>
              <w:tc>
                <w:tcPr>
                  <w:tcW w:w="1070"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1.152</w:t>
                  </w:r>
                </w:p>
              </w:tc>
              <w:tc>
                <w:tcPr>
                  <w:tcW w:w="912"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8</w:t>
                  </w:r>
                </w:p>
              </w:tc>
              <w:tc>
                <w:tcPr>
                  <w:tcW w:w="888"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0.12</w:t>
                  </w:r>
                </w:p>
              </w:tc>
              <w:tc>
                <w:tcPr>
                  <w:tcW w:w="842" w:type="dxa"/>
                  <w:tcBorders>
                    <w:right w:val="single" w:color="auto" w:sz="2" w:space="0"/>
                  </w:tcBorders>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0.288</w:t>
                  </w:r>
                </w:p>
              </w:tc>
              <w:tc>
                <w:tcPr>
                  <w:tcW w:w="1253" w:type="dxa"/>
                  <w:tcBorders>
                    <w:left w:val="single" w:color="auto" w:sz="2" w:space="0"/>
                    <w:right w:val="single" w:color="auto" w:sz="4" w:space="0"/>
                  </w:tcBorders>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491" w:type="dxa"/>
                  <w:tcBorders>
                    <w:top w:val="single" w:color="auto" w:sz="4" w:space="0"/>
                  </w:tcBorders>
                  <w:noWrap/>
                  <w:vAlign w:val="center"/>
                </w:tcPr>
                <w:p>
                  <w:pPr>
                    <w:jc w:val="center"/>
                    <w:rPr>
                      <w:color w:val="auto"/>
                      <w:sz w:val="21"/>
                      <w:szCs w:val="21"/>
                    </w:rPr>
                  </w:pPr>
                  <w:r>
                    <w:rPr>
                      <w:color w:val="auto"/>
                      <w:sz w:val="21"/>
                      <w:szCs w:val="21"/>
                    </w:rPr>
                    <w:t>颗粒物</w:t>
                  </w:r>
                  <w:r>
                    <w:rPr>
                      <w:rFonts w:hint="eastAsia"/>
                      <w:color w:val="auto"/>
                      <w:sz w:val="21"/>
                      <w:szCs w:val="21"/>
                    </w:rPr>
                    <w:t>(</w:t>
                  </w:r>
                  <w:r>
                    <w:rPr>
                      <w:color w:val="auto"/>
                      <w:sz w:val="21"/>
                      <w:szCs w:val="21"/>
                    </w:rPr>
                    <w:t>漆雾</w:t>
                  </w:r>
                  <w:r>
                    <w:rPr>
                      <w:rFonts w:hint="eastAsia"/>
                      <w:color w:val="auto"/>
                      <w:sz w:val="21"/>
                      <w:szCs w:val="21"/>
                    </w:rPr>
                    <w:t>)</w:t>
                  </w:r>
                </w:p>
              </w:tc>
              <w:tc>
                <w:tcPr>
                  <w:tcW w:w="1197"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5.76</w:t>
                  </w:r>
                </w:p>
              </w:tc>
              <w:tc>
                <w:tcPr>
                  <w:tcW w:w="1070"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4.925</w:t>
                  </w:r>
                </w:p>
              </w:tc>
              <w:tc>
                <w:tcPr>
                  <w:tcW w:w="912"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7.2</w:t>
                  </w:r>
                </w:p>
              </w:tc>
              <w:tc>
                <w:tcPr>
                  <w:tcW w:w="888"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0.108</w:t>
                  </w:r>
                </w:p>
              </w:tc>
              <w:tc>
                <w:tcPr>
                  <w:tcW w:w="842" w:type="dxa"/>
                  <w:tcBorders>
                    <w:right w:val="single" w:color="auto" w:sz="2" w:space="0"/>
                  </w:tcBorders>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0.259</w:t>
                  </w:r>
                </w:p>
              </w:tc>
              <w:tc>
                <w:tcPr>
                  <w:tcW w:w="1253" w:type="dxa"/>
                  <w:tcBorders>
                    <w:left w:val="single" w:color="auto" w:sz="2" w:space="0"/>
                    <w:right w:val="single" w:color="auto" w:sz="4" w:space="0"/>
                  </w:tcBorders>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0.576</w:t>
                  </w:r>
                </w:p>
              </w:tc>
            </w:tr>
          </w:tbl>
          <w:p>
            <w:pPr>
              <w:pStyle w:val="8"/>
              <w:ind w:firstLineChars="200"/>
              <w:rPr>
                <w:color w:val="auto"/>
                <w:sz w:val="21"/>
                <w:szCs w:val="21"/>
              </w:rPr>
            </w:pPr>
            <w:r>
              <w:rPr>
                <w:color w:val="auto"/>
                <w:sz w:val="21"/>
                <w:szCs w:val="21"/>
              </w:rPr>
              <w:t>注：本项目油漆工序按每天8小时，年生产天数300d进行计算。</w:t>
            </w:r>
          </w:p>
          <w:p>
            <w:pPr>
              <w:pStyle w:val="40"/>
              <w:spacing w:line="240" w:lineRule="auto"/>
              <w:rPr>
                <w:color w:val="auto"/>
              </w:rPr>
            </w:pPr>
          </w:p>
          <w:p>
            <w:pPr>
              <w:tabs>
                <w:tab w:val="left" w:pos="4288"/>
              </w:tabs>
              <w:spacing w:line="360" w:lineRule="auto"/>
              <w:ind w:firstLine="480" w:firstLineChars="200"/>
              <w:outlineLvl w:val="2"/>
              <w:rPr>
                <w:color w:val="auto"/>
              </w:rPr>
            </w:pPr>
            <w:r>
              <w:rPr>
                <w:rFonts w:hint="eastAsia"/>
                <w:color w:val="auto"/>
              </w:rPr>
              <w:t>根据喷漆室的操作规律，最不利条件下，根据喷枪的喷涂功率可知，油漆喷涂最大量为</w:t>
            </w:r>
            <w:r>
              <w:rPr>
                <w:rFonts w:hint="eastAsia"/>
                <w:color w:val="auto"/>
                <w:lang w:val="en-US" w:eastAsia="zh-CN"/>
              </w:rPr>
              <w:t>1k</w:t>
            </w:r>
            <w:r>
              <w:rPr>
                <w:rFonts w:hint="eastAsia"/>
                <w:color w:val="auto"/>
              </w:rPr>
              <w:t>g/</w:t>
            </w:r>
            <w:r>
              <w:rPr>
                <w:rFonts w:hint="eastAsia"/>
                <w:color w:val="auto"/>
                <w:lang w:val="en-US" w:eastAsia="zh-CN"/>
              </w:rPr>
              <w:t>min</w:t>
            </w:r>
            <w:r>
              <w:rPr>
                <w:rFonts w:hint="eastAsia"/>
                <w:color w:val="auto"/>
              </w:rPr>
              <w:t>，即</w:t>
            </w:r>
            <w:r>
              <w:rPr>
                <w:rFonts w:hint="eastAsia"/>
                <w:color w:val="auto"/>
                <w:lang w:val="en-US" w:eastAsia="zh-CN"/>
              </w:rPr>
              <w:t>16.7</w:t>
            </w:r>
            <w:r>
              <w:rPr>
                <w:rFonts w:hint="eastAsia"/>
                <w:color w:val="auto"/>
              </w:rPr>
              <w:t>g/s。根据油漆中的组分及处理效率，可计算出</w:t>
            </w:r>
            <w:r>
              <w:rPr>
                <w:rFonts w:hint="eastAsia"/>
                <w:color w:val="auto"/>
                <w:lang w:val="en-US" w:eastAsia="zh-CN"/>
              </w:rPr>
              <w:t>2</w:t>
            </w:r>
            <w:r>
              <w:rPr>
                <w:rFonts w:hint="eastAsia"/>
                <w:color w:val="auto"/>
              </w:rPr>
              <w:t>把油漆喷枪同时操作情况下废气最大排放速率及排放浓度，见表4-</w:t>
            </w:r>
            <w:r>
              <w:rPr>
                <w:rFonts w:hint="eastAsia"/>
                <w:color w:val="auto"/>
                <w:lang w:val="en-US" w:eastAsia="zh-CN"/>
              </w:rPr>
              <w:t>5</w:t>
            </w:r>
            <w:r>
              <w:rPr>
                <w:rFonts w:hint="eastAsia"/>
                <w:color w:val="auto"/>
              </w:rPr>
              <w:t>。</w:t>
            </w:r>
          </w:p>
          <w:p>
            <w:pPr>
              <w:spacing w:line="360" w:lineRule="auto"/>
              <w:jc w:val="center"/>
              <w:rPr>
                <w:b/>
                <w:color w:val="auto"/>
              </w:rPr>
            </w:pPr>
            <w:r>
              <w:rPr>
                <w:b/>
                <w:color w:val="auto"/>
              </w:rPr>
              <w:t>表</w:t>
            </w:r>
            <w:r>
              <w:rPr>
                <w:rFonts w:hint="eastAsia"/>
                <w:b/>
                <w:color w:val="auto"/>
              </w:rPr>
              <w:t>4</w:t>
            </w:r>
            <w:r>
              <w:rPr>
                <w:b/>
                <w:color w:val="auto"/>
              </w:rPr>
              <w:t>-</w:t>
            </w:r>
            <w:r>
              <w:rPr>
                <w:rFonts w:hint="eastAsia"/>
                <w:b/>
                <w:color w:val="auto"/>
                <w:lang w:val="en-US" w:eastAsia="zh-CN"/>
              </w:rPr>
              <w:t>5</w:t>
            </w:r>
            <w:r>
              <w:rPr>
                <w:rFonts w:hint="eastAsia"/>
                <w:b/>
                <w:color w:val="auto"/>
              </w:rPr>
              <w:t xml:space="preserve">  喷漆</w:t>
            </w:r>
            <w:r>
              <w:rPr>
                <w:b/>
                <w:color w:val="auto"/>
              </w:rPr>
              <w:t>废气最大排放速率及排放浓度计算结果</w:t>
            </w:r>
          </w:p>
          <w:tbl>
            <w:tblPr>
              <w:tblStyle w:val="29"/>
              <w:tblW w:w="765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73"/>
              <w:gridCol w:w="1586"/>
              <w:gridCol w:w="1279"/>
              <w:gridCol w:w="1437"/>
              <w:gridCol w:w="1205"/>
              <w:gridCol w:w="12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2459" w:type="dxa"/>
                  <w:gridSpan w:val="2"/>
                  <w:vMerge w:val="restart"/>
                  <w:noWrap/>
                  <w:vAlign w:val="center"/>
                </w:tcPr>
                <w:p>
                  <w:pPr>
                    <w:jc w:val="center"/>
                    <w:rPr>
                      <w:b/>
                      <w:bCs/>
                      <w:color w:val="auto"/>
                      <w:sz w:val="21"/>
                      <w:szCs w:val="21"/>
                    </w:rPr>
                  </w:pPr>
                  <w:r>
                    <w:rPr>
                      <w:b/>
                      <w:bCs/>
                      <w:color w:val="auto"/>
                      <w:sz w:val="21"/>
                      <w:szCs w:val="21"/>
                    </w:rPr>
                    <w:t>污染因子</w:t>
                  </w:r>
                </w:p>
              </w:tc>
              <w:tc>
                <w:tcPr>
                  <w:tcW w:w="1279" w:type="dxa"/>
                  <w:noWrap/>
                  <w:vAlign w:val="center"/>
                </w:tcPr>
                <w:p>
                  <w:pPr>
                    <w:jc w:val="center"/>
                    <w:rPr>
                      <w:b/>
                      <w:bCs/>
                      <w:color w:val="auto"/>
                      <w:sz w:val="21"/>
                      <w:szCs w:val="21"/>
                    </w:rPr>
                  </w:pPr>
                  <w:r>
                    <w:rPr>
                      <w:b/>
                      <w:bCs/>
                      <w:color w:val="auto"/>
                      <w:sz w:val="21"/>
                      <w:szCs w:val="21"/>
                    </w:rPr>
                    <w:t>产生量</w:t>
                  </w:r>
                </w:p>
              </w:tc>
              <w:tc>
                <w:tcPr>
                  <w:tcW w:w="3915" w:type="dxa"/>
                  <w:gridSpan w:val="3"/>
                  <w:tcBorders>
                    <w:right w:val="single" w:color="auto" w:sz="2" w:space="0"/>
                  </w:tcBorders>
                  <w:noWrap/>
                  <w:vAlign w:val="center"/>
                </w:tcPr>
                <w:p>
                  <w:pPr>
                    <w:jc w:val="center"/>
                    <w:rPr>
                      <w:b/>
                      <w:bCs/>
                      <w:color w:val="auto"/>
                      <w:sz w:val="21"/>
                      <w:szCs w:val="21"/>
                    </w:rPr>
                  </w:pPr>
                  <w:r>
                    <w:rPr>
                      <w:b/>
                      <w:bCs/>
                      <w:color w:val="auto"/>
                      <w:sz w:val="21"/>
                      <w:szCs w:val="21"/>
                    </w:rPr>
                    <w:t>有组织排放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2459" w:type="dxa"/>
                  <w:gridSpan w:val="2"/>
                  <w:vMerge w:val="continue"/>
                  <w:noWrap/>
                  <w:vAlign w:val="center"/>
                </w:tcPr>
                <w:p>
                  <w:pPr>
                    <w:jc w:val="center"/>
                    <w:rPr>
                      <w:color w:val="auto"/>
                      <w:sz w:val="21"/>
                      <w:szCs w:val="21"/>
                    </w:rPr>
                  </w:pPr>
                </w:p>
              </w:tc>
              <w:tc>
                <w:tcPr>
                  <w:tcW w:w="1279" w:type="dxa"/>
                  <w:noWrap/>
                  <w:vAlign w:val="center"/>
                </w:tcPr>
                <w:p>
                  <w:pPr>
                    <w:jc w:val="center"/>
                    <w:rPr>
                      <w:color w:val="auto"/>
                      <w:sz w:val="21"/>
                      <w:szCs w:val="21"/>
                    </w:rPr>
                  </w:pPr>
                  <w:r>
                    <w:rPr>
                      <w:color w:val="auto"/>
                      <w:sz w:val="21"/>
                      <w:szCs w:val="21"/>
                    </w:rPr>
                    <w:t>g/s</w:t>
                  </w:r>
                </w:p>
              </w:tc>
              <w:tc>
                <w:tcPr>
                  <w:tcW w:w="1437" w:type="dxa"/>
                  <w:noWrap/>
                  <w:vAlign w:val="center"/>
                </w:tcPr>
                <w:p>
                  <w:pPr>
                    <w:jc w:val="center"/>
                    <w:rPr>
                      <w:color w:val="auto"/>
                      <w:sz w:val="21"/>
                      <w:szCs w:val="21"/>
                    </w:rPr>
                  </w:pPr>
                  <w:r>
                    <w:rPr>
                      <w:color w:val="auto"/>
                      <w:sz w:val="21"/>
                      <w:szCs w:val="21"/>
                    </w:rPr>
                    <w:t>mg/m</w:t>
                  </w:r>
                  <w:r>
                    <w:rPr>
                      <w:color w:val="auto"/>
                      <w:sz w:val="21"/>
                      <w:szCs w:val="21"/>
                      <w:vertAlign w:val="superscript"/>
                    </w:rPr>
                    <w:t>3</w:t>
                  </w:r>
                </w:p>
              </w:tc>
              <w:tc>
                <w:tcPr>
                  <w:tcW w:w="1205" w:type="dxa"/>
                  <w:noWrap/>
                  <w:vAlign w:val="center"/>
                </w:tcPr>
                <w:p>
                  <w:pPr>
                    <w:jc w:val="center"/>
                    <w:rPr>
                      <w:color w:val="auto"/>
                      <w:sz w:val="21"/>
                      <w:szCs w:val="21"/>
                    </w:rPr>
                  </w:pPr>
                  <w:r>
                    <w:rPr>
                      <w:color w:val="auto"/>
                      <w:sz w:val="21"/>
                      <w:szCs w:val="21"/>
                    </w:rPr>
                    <w:t>kg/h</w:t>
                  </w:r>
                </w:p>
              </w:tc>
              <w:tc>
                <w:tcPr>
                  <w:tcW w:w="1273" w:type="dxa"/>
                  <w:tcBorders>
                    <w:right w:val="single" w:color="auto" w:sz="2" w:space="0"/>
                  </w:tcBorders>
                  <w:noWrap/>
                  <w:vAlign w:val="center"/>
                </w:tcPr>
                <w:p>
                  <w:pPr>
                    <w:jc w:val="center"/>
                    <w:rPr>
                      <w:color w:val="auto"/>
                      <w:sz w:val="21"/>
                      <w:szCs w:val="21"/>
                    </w:rPr>
                  </w:pPr>
                  <w:r>
                    <w:rPr>
                      <w:color w:val="auto"/>
                      <w:sz w:val="21"/>
                      <w:szCs w:val="21"/>
                    </w:rPr>
                    <w:t>g/s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873" w:type="dxa"/>
                  <w:vMerge w:val="restart"/>
                  <w:tcBorders>
                    <w:right w:val="single" w:color="auto" w:sz="4" w:space="0"/>
                  </w:tcBorders>
                  <w:noWrap/>
                  <w:vAlign w:val="center"/>
                </w:tcPr>
                <w:p>
                  <w:pPr>
                    <w:jc w:val="center"/>
                    <w:rPr>
                      <w:color w:val="auto"/>
                      <w:sz w:val="21"/>
                      <w:szCs w:val="21"/>
                    </w:rPr>
                  </w:pPr>
                  <w:r>
                    <w:rPr>
                      <w:rFonts w:hint="eastAsia"/>
                      <w:color w:val="auto"/>
                      <w:sz w:val="21"/>
                      <w:szCs w:val="21"/>
                      <w:lang w:val="en-US" w:eastAsia="zh-CN"/>
                    </w:rPr>
                    <w:t>大管喷漆</w:t>
                  </w:r>
                  <w:r>
                    <w:rPr>
                      <w:color w:val="auto"/>
                      <w:sz w:val="21"/>
                      <w:szCs w:val="21"/>
                    </w:rPr>
                    <w:t>废气</w:t>
                  </w:r>
                </w:p>
              </w:tc>
              <w:tc>
                <w:tcPr>
                  <w:tcW w:w="1586" w:type="dxa"/>
                  <w:tcBorders>
                    <w:left w:val="single" w:color="auto" w:sz="4" w:space="0"/>
                  </w:tcBorders>
                  <w:noWrap/>
                  <w:vAlign w:val="center"/>
                </w:tcPr>
                <w:p>
                  <w:pPr>
                    <w:jc w:val="center"/>
                    <w:rPr>
                      <w:color w:val="auto"/>
                      <w:sz w:val="21"/>
                      <w:szCs w:val="21"/>
                    </w:rPr>
                  </w:pPr>
                  <w:r>
                    <w:rPr>
                      <w:color w:val="auto"/>
                      <w:sz w:val="21"/>
                      <w:szCs w:val="21"/>
                    </w:rPr>
                    <w:t>废气量</w:t>
                  </w:r>
                </w:p>
              </w:tc>
              <w:tc>
                <w:tcPr>
                  <w:tcW w:w="1279" w:type="dxa"/>
                  <w:noWrap/>
                  <w:vAlign w:val="center"/>
                </w:tcPr>
                <w:p>
                  <w:pPr>
                    <w:jc w:val="center"/>
                    <w:rPr>
                      <w:color w:val="auto"/>
                      <w:sz w:val="21"/>
                      <w:szCs w:val="21"/>
                    </w:rPr>
                  </w:pPr>
                  <w:r>
                    <w:rPr>
                      <w:rFonts w:hint="eastAsia"/>
                      <w:color w:val="auto"/>
                      <w:sz w:val="21"/>
                      <w:szCs w:val="21"/>
                      <w:lang w:val="en-US" w:eastAsia="zh-CN"/>
                    </w:rPr>
                    <w:t>1500</w:t>
                  </w:r>
                  <w:r>
                    <w:rPr>
                      <w:color w:val="auto"/>
                      <w:sz w:val="21"/>
                      <w:szCs w:val="21"/>
                    </w:rPr>
                    <w:t>0m</w:t>
                  </w:r>
                  <w:r>
                    <w:rPr>
                      <w:color w:val="auto"/>
                      <w:sz w:val="21"/>
                      <w:szCs w:val="21"/>
                      <w:vertAlign w:val="superscript"/>
                    </w:rPr>
                    <w:t>3</w:t>
                  </w:r>
                  <w:r>
                    <w:rPr>
                      <w:color w:val="auto"/>
                      <w:sz w:val="21"/>
                      <w:szCs w:val="21"/>
                    </w:rPr>
                    <w:t>/h</w:t>
                  </w:r>
                </w:p>
              </w:tc>
              <w:tc>
                <w:tcPr>
                  <w:tcW w:w="3915" w:type="dxa"/>
                  <w:gridSpan w:val="3"/>
                  <w:tcBorders>
                    <w:right w:val="single" w:color="auto" w:sz="2" w:space="0"/>
                  </w:tcBorders>
                  <w:noWrap/>
                  <w:vAlign w:val="center"/>
                </w:tcPr>
                <w:p>
                  <w:pPr>
                    <w:jc w:val="center"/>
                    <w:rPr>
                      <w:color w:val="auto"/>
                      <w:sz w:val="21"/>
                      <w:szCs w:val="21"/>
                    </w:rPr>
                  </w:pPr>
                  <w:r>
                    <w:rPr>
                      <w:rFonts w:hint="eastAsia"/>
                      <w:color w:val="auto"/>
                      <w:sz w:val="21"/>
                      <w:szCs w:val="21"/>
                      <w:lang w:val="en-US" w:eastAsia="zh-CN"/>
                    </w:rPr>
                    <w:t>1500</w:t>
                  </w:r>
                  <w:r>
                    <w:rPr>
                      <w:color w:val="auto"/>
                      <w:sz w:val="21"/>
                      <w:szCs w:val="21"/>
                    </w:rPr>
                    <w:t>0m</w:t>
                  </w:r>
                  <w:r>
                    <w:rPr>
                      <w:color w:val="auto"/>
                      <w:sz w:val="21"/>
                      <w:szCs w:val="21"/>
                      <w:vertAlign w:val="superscript"/>
                    </w:rPr>
                    <w:t>3</w:t>
                  </w:r>
                  <w:r>
                    <w:rPr>
                      <w:color w:val="auto"/>
                      <w:sz w:val="21"/>
                      <w:szCs w:val="21"/>
                    </w:rPr>
                    <w:t>/h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873" w:type="dxa"/>
                  <w:vMerge w:val="continue"/>
                  <w:tcBorders>
                    <w:right w:val="single" w:color="auto" w:sz="4" w:space="0"/>
                  </w:tcBorders>
                  <w:noWrap/>
                  <w:vAlign w:val="center"/>
                </w:tcPr>
                <w:p>
                  <w:pPr>
                    <w:jc w:val="center"/>
                    <w:rPr>
                      <w:color w:val="auto"/>
                      <w:sz w:val="21"/>
                      <w:szCs w:val="21"/>
                    </w:rPr>
                  </w:pPr>
                </w:p>
              </w:tc>
              <w:tc>
                <w:tcPr>
                  <w:tcW w:w="1586" w:type="dxa"/>
                  <w:tcBorders>
                    <w:left w:val="single" w:color="auto" w:sz="4" w:space="0"/>
                  </w:tcBorders>
                  <w:noWrap/>
                  <w:vAlign w:val="center"/>
                </w:tcPr>
                <w:p>
                  <w:pPr>
                    <w:jc w:val="center"/>
                    <w:rPr>
                      <w:rFonts w:hint="eastAsia" w:eastAsia="宋体"/>
                      <w:color w:val="auto"/>
                      <w:sz w:val="21"/>
                      <w:szCs w:val="21"/>
                      <w:lang w:eastAsia="zh-CN"/>
                    </w:rPr>
                  </w:pPr>
                  <w:r>
                    <w:rPr>
                      <w:rFonts w:hint="eastAsia"/>
                      <w:color w:val="auto"/>
                      <w:sz w:val="21"/>
                      <w:szCs w:val="21"/>
                      <w:lang w:val="en-US" w:eastAsia="zh-CN"/>
                    </w:rPr>
                    <w:t>二甲苯</w:t>
                  </w:r>
                </w:p>
              </w:tc>
              <w:tc>
                <w:tcPr>
                  <w:tcW w:w="1279"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0.667</w:t>
                  </w:r>
                </w:p>
              </w:tc>
              <w:tc>
                <w:tcPr>
                  <w:tcW w:w="1437"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28.81</w:t>
                  </w:r>
                </w:p>
              </w:tc>
              <w:tc>
                <w:tcPr>
                  <w:tcW w:w="1205"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0.432</w:t>
                  </w:r>
                </w:p>
              </w:tc>
              <w:tc>
                <w:tcPr>
                  <w:tcW w:w="1273" w:type="dxa"/>
                  <w:tcBorders>
                    <w:right w:val="single" w:color="auto" w:sz="2" w:space="0"/>
                  </w:tcBorders>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873" w:type="dxa"/>
                  <w:vMerge w:val="continue"/>
                  <w:tcBorders>
                    <w:right w:val="single" w:color="auto" w:sz="4" w:space="0"/>
                  </w:tcBorders>
                  <w:noWrap/>
                  <w:vAlign w:val="center"/>
                </w:tcPr>
                <w:p>
                  <w:pPr>
                    <w:jc w:val="center"/>
                    <w:rPr>
                      <w:color w:val="auto"/>
                      <w:sz w:val="21"/>
                      <w:szCs w:val="21"/>
                    </w:rPr>
                  </w:pPr>
                </w:p>
              </w:tc>
              <w:tc>
                <w:tcPr>
                  <w:tcW w:w="1586" w:type="dxa"/>
                  <w:tcBorders>
                    <w:left w:val="single" w:color="auto" w:sz="4" w:space="0"/>
                  </w:tcBorders>
                  <w:noWrap/>
                  <w:vAlign w:val="center"/>
                </w:tcPr>
                <w:p>
                  <w:pPr>
                    <w:jc w:val="center"/>
                    <w:rPr>
                      <w:color w:val="auto"/>
                      <w:sz w:val="21"/>
                      <w:szCs w:val="21"/>
                    </w:rPr>
                  </w:pPr>
                  <w:r>
                    <w:rPr>
                      <w:color w:val="auto"/>
                      <w:sz w:val="21"/>
                      <w:szCs w:val="21"/>
                    </w:rPr>
                    <w:t>颗粒物</w:t>
                  </w:r>
                  <w:r>
                    <w:rPr>
                      <w:rFonts w:hint="eastAsia"/>
                      <w:color w:val="auto"/>
                      <w:sz w:val="21"/>
                      <w:szCs w:val="21"/>
                    </w:rPr>
                    <w:t>(</w:t>
                  </w:r>
                  <w:r>
                    <w:rPr>
                      <w:color w:val="auto"/>
                      <w:sz w:val="21"/>
                      <w:szCs w:val="21"/>
                    </w:rPr>
                    <w:t>漆雾</w:t>
                  </w:r>
                  <w:r>
                    <w:rPr>
                      <w:rFonts w:hint="eastAsia"/>
                      <w:color w:val="auto"/>
                      <w:sz w:val="21"/>
                      <w:szCs w:val="21"/>
                    </w:rPr>
                    <w:t>)</w:t>
                  </w:r>
                </w:p>
              </w:tc>
              <w:tc>
                <w:tcPr>
                  <w:tcW w:w="1279"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2.405</w:t>
                  </w:r>
                </w:p>
              </w:tc>
              <w:tc>
                <w:tcPr>
                  <w:tcW w:w="1437" w:type="dxa"/>
                  <w:noWrap/>
                  <w:vAlign w:val="center"/>
                </w:tcPr>
                <w:p>
                  <w:pPr>
                    <w:keepNext w:val="0"/>
                    <w:keepLines w:val="0"/>
                    <w:widowControl/>
                    <w:suppressLineNumbers w:val="0"/>
                    <w:jc w:val="center"/>
                    <w:textAlignment w:val="center"/>
                    <w:rPr>
                      <w:rFonts w:hint="default"/>
                      <w:color w:val="auto"/>
                      <w:sz w:val="21"/>
                      <w:szCs w:val="21"/>
                      <w:lang w:val="en-US"/>
                    </w:rPr>
                  </w:pPr>
                  <w:r>
                    <w:rPr>
                      <w:rFonts w:hint="eastAsia" w:cs="Times New Roman"/>
                      <w:i w:val="0"/>
                      <w:iCs w:val="0"/>
                      <w:color w:val="auto"/>
                      <w:kern w:val="0"/>
                      <w:sz w:val="21"/>
                      <w:szCs w:val="21"/>
                      <w:u w:val="none"/>
                      <w:lang w:val="en-US" w:eastAsia="zh-CN" w:bidi="ar"/>
                    </w:rPr>
                    <w:t>25.97</w:t>
                  </w:r>
                </w:p>
              </w:tc>
              <w:tc>
                <w:tcPr>
                  <w:tcW w:w="1205" w:type="dxa"/>
                  <w:noWrap/>
                  <w:vAlign w:val="center"/>
                </w:tcPr>
                <w:p>
                  <w:pPr>
                    <w:keepNext w:val="0"/>
                    <w:keepLines w:val="0"/>
                    <w:widowControl/>
                    <w:suppressLineNumbers w:val="0"/>
                    <w:jc w:val="center"/>
                    <w:textAlignment w:val="center"/>
                    <w:rPr>
                      <w:rFonts w:hint="default"/>
                      <w:color w:val="auto"/>
                      <w:kern w:val="0"/>
                      <w:sz w:val="21"/>
                      <w:szCs w:val="21"/>
                      <w:lang w:val="en-US"/>
                    </w:rPr>
                  </w:pPr>
                  <w:r>
                    <w:rPr>
                      <w:rFonts w:hint="eastAsia" w:cs="Times New Roman"/>
                      <w:i w:val="0"/>
                      <w:iCs w:val="0"/>
                      <w:color w:val="auto"/>
                      <w:kern w:val="0"/>
                      <w:sz w:val="21"/>
                      <w:szCs w:val="21"/>
                      <w:u w:val="none"/>
                      <w:lang w:val="en-US" w:eastAsia="zh-CN" w:bidi="ar"/>
                    </w:rPr>
                    <w:t>0.390</w:t>
                  </w:r>
                </w:p>
              </w:tc>
              <w:tc>
                <w:tcPr>
                  <w:tcW w:w="1273" w:type="dxa"/>
                  <w:tcBorders>
                    <w:right w:val="single" w:color="auto" w:sz="2" w:space="0"/>
                  </w:tcBorders>
                  <w:noWrap/>
                  <w:vAlign w:val="center"/>
                </w:tcPr>
                <w:p>
                  <w:pPr>
                    <w:keepNext w:val="0"/>
                    <w:keepLines w:val="0"/>
                    <w:widowControl/>
                    <w:suppressLineNumbers w:val="0"/>
                    <w:jc w:val="center"/>
                    <w:textAlignment w:val="center"/>
                    <w:rPr>
                      <w:rFonts w:hint="default"/>
                      <w:color w:val="auto"/>
                      <w:kern w:val="0"/>
                      <w:sz w:val="21"/>
                      <w:szCs w:val="21"/>
                      <w:lang w:val="en-US"/>
                    </w:rPr>
                  </w:pPr>
                  <w:r>
                    <w:rPr>
                      <w:rFonts w:hint="default" w:ascii="Times New Roman" w:hAnsi="Times New Roman" w:eastAsia="宋体" w:cs="Times New Roman"/>
                      <w:i w:val="0"/>
                      <w:iCs w:val="0"/>
                      <w:color w:val="auto"/>
                      <w:kern w:val="0"/>
                      <w:sz w:val="21"/>
                      <w:szCs w:val="21"/>
                      <w:u w:val="none"/>
                      <w:lang w:val="en-US" w:eastAsia="zh-CN" w:bidi="ar"/>
                    </w:rPr>
                    <w:t>0.</w:t>
                  </w:r>
                  <w:r>
                    <w:rPr>
                      <w:rFonts w:hint="eastAsia" w:cs="Times New Roman"/>
                      <w:i w:val="0"/>
                      <w:iCs w:val="0"/>
                      <w:color w:val="auto"/>
                      <w:kern w:val="0"/>
                      <w:sz w:val="21"/>
                      <w:szCs w:val="21"/>
                      <w:u w:val="none"/>
                      <w:lang w:val="en-US" w:eastAsia="zh-CN" w:bidi="ar"/>
                    </w:rPr>
                    <w:t>108</w:t>
                  </w:r>
                </w:p>
              </w:tc>
            </w:tr>
          </w:tbl>
          <w:p>
            <w:pPr>
              <w:tabs>
                <w:tab w:val="left" w:pos="4288"/>
              </w:tabs>
              <w:spacing w:line="360" w:lineRule="auto"/>
              <w:ind w:firstLine="480" w:firstLineChars="200"/>
              <w:outlineLvl w:val="2"/>
              <w:rPr>
                <w:rFonts w:hint="eastAsia" w:ascii="Times New Roman" w:hAnsi="Times New Roman" w:eastAsia="宋体" w:cs="Times New Roman"/>
                <w:color w:val="auto"/>
              </w:rPr>
            </w:pPr>
            <w:r>
              <w:rPr>
                <w:rFonts w:hint="eastAsia" w:ascii="Times New Roman" w:hAnsi="Times New Roman" w:eastAsia="宋体" w:cs="Times New Roman"/>
                <w:color w:val="auto"/>
              </w:rPr>
              <w:t>根据表4-</w:t>
            </w:r>
            <w:r>
              <w:rPr>
                <w:rFonts w:hint="eastAsia" w:cs="Times New Roman"/>
                <w:color w:val="auto"/>
                <w:lang w:val="en-US" w:eastAsia="zh-CN"/>
              </w:rPr>
              <w:t>5</w:t>
            </w:r>
            <w:r>
              <w:rPr>
                <w:rFonts w:hint="eastAsia" w:ascii="Times New Roman" w:hAnsi="Times New Roman" w:eastAsia="宋体" w:cs="Times New Roman"/>
                <w:color w:val="auto"/>
              </w:rPr>
              <w:t>可知，油漆过程产生的非甲烷总烃、颗粒物的最大排放浓度均能够达到DB33/2146-2018《工业涂装工序大气污染物排放标准》中表1排放限值要求。</w:t>
            </w:r>
          </w:p>
          <w:p>
            <w:pPr>
              <w:pStyle w:val="14"/>
              <w:spacing w:line="240" w:lineRule="auto"/>
              <w:rPr>
                <w:rFonts w:hint="eastAsia" w:ascii="Times New Roman" w:hAnsi="Times New Roman" w:eastAsia="宋体" w:cs="Times New Roman"/>
                <w:color w:val="auto"/>
                <w:sz w:val="10"/>
                <w:szCs w:val="10"/>
              </w:rPr>
            </w:pPr>
          </w:p>
          <w:p>
            <w:pPr>
              <w:tabs>
                <w:tab w:val="left" w:pos="4288"/>
              </w:tabs>
              <w:spacing w:line="360" w:lineRule="auto"/>
              <w:ind w:firstLine="480" w:firstLineChars="200"/>
              <w:outlineLvl w:val="2"/>
              <w:rPr>
                <w:rFonts w:hint="default" w:eastAsia="宋体"/>
                <w:color w:val="auto"/>
                <w:szCs w:val="24"/>
                <w:lang w:val="en-US" w:eastAsia="zh-CN"/>
              </w:rPr>
            </w:pPr>
            <w:r>
              <w:rPr>
                <w:rFonts w:hint="eastAsia"/>
                <w:color w:val="auto"/>
                <w:szCs w:val="24"/>
                <w:lang w:val="en-US" w:eastAsia="zh-CN"/>
              </w:rPr>
              <w:t>c</w:t>
            </w:r>
            <w:r>
              <w:rPr>
                <w:rFonts w:hint="eastAsia"/>
                <w:color w:val="auto"/>
                <w:szCs w:val="24"/>
              </w:rPr>
              <w:t>）</w:t>
            </w:r>
            <w:r>
              <w:rPr>
                <w:rFonts w:hint="eastAsia"/>
                <w:color w:val="auto"/>
                <w:szCs w:val="24"/>
                <w:lang w:val="en-US" w:eastAsia="zh-CN"/>
              </w:rPr>
              <w:t>喷塑废气</w:t>
            </w:r>
          </w:p>
          <w:p>
            <w:pPr>
              <w:tabs>
                <w:tab w:val="left" w:pos="4288"/>
              </w:tabs>
              <w:spacing w:line="360" w:lineRule="auto"/>
              <w:ind w:firstLine="480" w:firstLineChars="200"/>
              <w:outlineLvl w:val="2"/>
              <w:rPr>
                <w:color w:val="auto"/>
              </w:rPr>
            </w:pPr>
            <w:r>
              <w:rPr>
                <w:color w:val="auto"/>
              </w:rPr>
              <w:t>本项目喷涂方式为静电喷涂，喷涂过程中会有部分塑粉未附着，会产生喷塑</w:t>
            </w:r>
            <w:r>
              <w:rPr>
                <w:rFonts w:hint="eastAsia"/>
                <w:color w:val="auto"/>
                <w:lang w:val="en-US" w:eastAsia="zh-CN"/>
              </w:rPr>
              <w:t>粉尘；带有静电的塑粉喷在已经加热后的钢管上，利用钢管自带的温度使塑粉胶化，该过程塑粉</w:t>
            </w:r>
            <w:r>
              <w:rPr>
                <w:color w:val="auto"/>
              </w:rPr>
              <w:t>仅会发生熔融软化</w:t>
            </w:r>
            <w:r>
              <w:rPr>
                <w:rFonts w:hint="eastAsia"/>
                <w:color w:val="auto"/>
                <w:lang w:eastAsia="zh-CN"/>
              </w:rPr>
              <w:t>，</w:t>
            </w:r>
            <w:r>
              <w:rPr>
                <w:rFonts w:hint="eastAsia"/>
                <w:color w:val="auto"/>
                <w:lang w:val="en-US" w:eastAsia="zh-CN"/>
              </w:rPr>
              <w:t>不会分解</w:t>
            </w:r>
            <w:r>
              <w:rPr>
                <w:color w:val="auto"/>
              </w:rPr>
              <w:t>，但会产生极少量的烃类混合物，以非甲烷总烃进行表征。</w:t>
            </w:r>
          </w:p>
          <w:p>
            <w:pPr>
              <w:tabs>
                <w:tab w:val="left" w:pos="4288"/>
              </w:tabs>
              <w:spacing w:line="360" w:lineRule="auto"/>
              <w:ind w:firstLine="480" w:firstLineChars="200"/>
              <w:outlineLvl w:val="2"/>
              <w:rPr>
                <w:color w:val="auto"/>
              </w:rPr>
            </w:pPr>
            <w:r>
              <w:rPr>
                <w:color w:val="auto"/>
              </w:rPr>
              <w:t>根据《排放源统计调查产排污核算方法和系数手册》（部公告2021年第24号）“34通用设备制品业”产污系数表中“喷塑”颗粒物产污系数为300kg/t-原料，本项目使用塑粉</w:t>
            </w:r>
            <w:r>
              <w:rPr>
                <w:rFonts w:hint="eastAsia"/>
                <w:color w:val="auto"/>
                <w:lang w:val="en-US" w:eastAsia="zh-CN"/>
              </w:rPr>
              <w:t>210</w:t>
            </w:r>
            <w:r>
              <w:rPr>
                <w:color w:val="auto"/>
              </w:rPr>
              <w:t>t/a，则颗粒物产生量为</w:t>
            </w:r>
            <w:r>
              <w:rPr>
                <w:rFonts w:hint="eastAsia"/>
                <w:color w:val="auto"/>
                <w:lang w:val="en-US" w:eastAsia="zh-CN"/>
              </w:rPr>
              <w:t>63</w:t>
            </w:r>
            <w:r>
              <w:rPr>
                <w:color w:val="auto"/>
              </w:rPr>
              <w:t>t/a。</w:t>
            </w:r>
            <w:r>
              <w:rPr>
                <w:rFonts w:hint="eastAsia"/>
                <w:color w:val="auto"/>
                <w:lang w:val="en-US" w:eastAsia="zh-CN"/>
              </w:rPr>
              <w:t>非甲烷总烃产污</w:t>
            </w:r>
            <w:r>
              <w:rPr>
                <w:color w:val="auto"/>
              </w:rPr>
              <w:t>参考《排放源统计调查产排污核算方法和系数手册》（机械行业系数手册）中</w:t>
            </w:r>
            <w:r>
              <w:rPr>
                <w:rFonts w:hint="eastAsia"/>
                <w:color w:val="auto"/>
              </w:rPr>
              <w:t>14</w:t>
            </w:r>
            <w:r>
              <w:rPr>
                <w:color w:val="auto"/>
              </w:rPr>
              <w:t>涂装-喷塑后烘干工段，污染物产生系数为1.2kg/吨-原料，本项目塑粉用量为</w:t>
            </w:r>
            <w:r>
              <w:rPr>
                <w:rFonts w:hint="eastAsia"/>
                <w:color w:val="auto"/>
                <w:lang w:val="en-US" w:eastAsia="zh-CN"/>
              </w:rPr>
              <w:t>21</w:t>
            </w:r>
            <w:r>
              <w:rPr>
                <w:rFonts w:hint="eastAsia"/>
                <w:color w:val="auto"/>
              </w:rPr>
              <w:t>0</w:t>
            </w:r>
            <w:r>
              <w:rPr>
                <w:color w:val="auto"/>
              </w:rPr>
              <w:t>t/a，则非甲烷总烃的产生量约为</w:t>
            </w:r>
            <w:r>
              <w:rPr>
                <w:rFonts w:hint="eastAsia"/>
                <w:color w:val="auto"/>
              </w:rPr>
              <w:t>0.</w:t>
            </w:r>
            <w:r>
              <w:rPr>
                <w:rFonts w:hint="eastAsia"/>
                <w:color w:val="auto"/>
                <w:lang w:val="en-US" w:eastAsia="zh-CN"/>
              </w:rPr>
              <w:t>252</w:t>
            </w:r>
            <w:r>
              <w:rPr>
                <w:color w:val="auto"/>
              </w:rPr>
              <w:t>t/a。</w:t>
            </w:r>
          </w:p>
          <w:p>
            <w:pPr>
              <w:tabs>
                <w:tab w:val="left" w:pos="4288"/>
              </w:tabs>
              <w:spacing w:line="360" w:lineRule="auto"/>
              <w:ind w:firstLine="480" w:firstLineChars="200"/>
              <w:outlineLvl w:val="2"/>
              <w:rPr>
                <w:rFonts w:hint="eastAsia"/>
                <w:color w:val="auto"/>
                <w:szCs w:val="24"/>
              </w:rPr>
            </w:pPr>
            <w:r>
              <w:rPr>
                <w:rFonts w:hint="eastAsia"/>
                <w:color w:val="auto"/>
                <w:lang w:val="en-US" w:eastAsia="zh-CN"/>
              </w:rPr>
              <w:t>本项目共设两条喷塑线，大管喷塑线、小管喷塑线各设置一条，各流水线还分别设有内、外两套喷粉系统，其中外喷系统为固定密闭式的喷塑房（仅设圆形进出口供管道通过），内喷系统为移动式的喷塑设备，在管道内部相对密闭的空间内通过设备移动完成喷塑。内喷系统废气收集设计吸风量</w:t>
            </w:r>
            <w:r>
              <w:rPr>
                <w:rFonts w:hint="eastAsia"/>
                <w:color w:val="auto"/>
              </w:rPr>
              <w:t>为</w:t>
            </w:r>
            <w:r>
              <w:rPr>
                <w:rFonts w:hint="eastAsia"/>
                <w:color w:val="auto"/>
                <w:lang w:val="en-US" w:eastAsia="zh-CN"/>
              </w:rPr>
              <w:t>15</w:t>
            </w:r>
            <w:r>
              <w:rPr>
                <w:rFonts w:hint="eastAsia"/>
                <w:color w:val="auto"/>
              </w:rPr>
              <w:t>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lang w:val="en-US" w:eastAsia="zh-CN"/>
              </w:rPr>
              <w:t>外喷系统废气收集设计吸风量</w:t>
            </w:r>
            <w:r>
              <w:rPr>
                <w:rFonts w:hint="eastAsia"/>
                <w:color w:val="auto"/>
              </w:rPr>
              <w:t>为</w:t>
            </w:r>
            <w:r>
              <w:rPr>
                <w:rFonts w:hint="eastAsia"/>
                <w:color w:val="auto"/>
                <w:lang w:val="en-US" w:eastAsia="zh-CN"/>
              </w:rPr>
              <w:t>20</w:t>
            </w:r>
            <w:r>
              <w:rPr>
                <w:rFonts w:hint="eastAsia"/>
                <w:color w:val="auto"/>
              </w:rPr>
              <w:t>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lang w:val="en-US" w:eastAsia="zh-CN"/>
              </w:rPr>
              <w:t>粉尘</w:t>
            </w:r>
            <w:r>
              <w:rPr>
                <w:color w:val="auto"/>
              </w:rPr>
              <w:t>收集效率以</w:t>
            </w:r>
            <w:r>
              <w:rPr>
                <w:rFonts w:hint="eastAsia"/>
                <w:color w:val="auto"/>
              </w:rPr>
              <w:t>97</w:t>
            </w:r>
            <w:r>
              <w:rPr>
                <w:color w:val="auto"/>
              </w:rPr>
              <w:t>%计，</w:t>
            </w:r>
            <w:r>
              <w:rPr>
                <w:rFonts w:hint="eastAsia"/>
                <w:color w:val="auto"/>
                <w:lang w:val="en-US" w:eastAsia="zh-CN"/>
              </w:rPr>
              <w:t>有机废气收集效率</w:t>
            </w:r>
            <w:r>
              <w:rPr>
                <w:color w:val="auto"/>
              </w:rPr>
              <w:t>根据《浙江省重点行业VOCs污染源排放源计算方法》（1.1版）</w:t>
            </w:r>
            <w:r>
              <w:rPr>
                <w:rFonts w:hint="eastAsia"/>
                <w:color w:val="auto"/>
                <w:lang w:val="en-US" w:eastAsia="zh-CN"/>
              </w:rPr>
              <w:t>中“车间或密闭间进行密闭收集”中95%收集效率。废气经收集后首先通过滤芯除尘+脉冲布袋除尘器处理粉尘，再经过两级活性炭吸附装置处理有机废气，小管外喷废气通过一根15m高排气筒（DA003）高空排放，大管外喷废气通过一根15m高排气筒（DA008）高空排放</w:t>
            </w:r>
            <w:r>
              <w:rPr>
                <w:rFonts w:hint="eastAsia"/>
                <w:color w:val="auto"/>
                <w:szCs w:val="24"/>
                <w:lang w:eastAsia="zh-CN"/>
              </w:rPr>
              <w:t>，</w:t>
            </w:r>
            <w:r>
              <w:rPr>
                <w:rFonts w:hint="eastAsia"/>
                <w:color w:val="auto"/>
                <w:szCs w:val="24"/>
                <w:lang w:val="en-US" w:eastAsia="zh-CN"/>
              </w:rPr>
              <w:t>两条内喷线生产设备及配套的环保设备均为移动式，因此无法设置排气筒，废气经处理后车间内无组织排放。</w:t>
            </w:r>
            <w:r>
              <w:rPr>
                <w:rFonts w:hint="eastAsia"/>
                <w:color w:val="auto"/>
                <w:lang w:val="en-US" w:eastAsia="zh-CN"/>
              </w:rPr>
              <w:t>滤芯除尘+脉冲布袋除尘器的颗粒物</w:t>
            </w:r>
            <w:r>
              <w:rPr>
                <w:rFonts w:hint="eastAsia"/>
                <w:color w:val="auto"/>
              </w:rPr>
              <w:t>处理效率按9</w:t>
            </w:r>
            <w:r>
              <w:rPr>
                <w:rFonts w:hint="eastAsia"/>
                <w:color w:val="auto"/>
                <w:lang w:val="en-US" w:eastAsia="zh-CN"/>
              </w:rPr>
              <w:t>8</w:t>
            </w:r>
            <w:r>
              <w:rPr>
                <w:rFonts w:hint="eastAsia"/>
                <w:color w:val="auto"/>
              </w:rPr>
              <w:t>%计</w:t>
            </w:r>
            <w:r>
              <w:rPr>
                <w:rFonts w:hint="eastAsia"/>
                <w:color w:val="auto"/>
                <w:lang w:eastAsia="zh-CN"/>
              </w:rPr>
              <w:t>，</w:t>
            </w:r>
            <w:r>
              <w:rPr>
                <w:rFonts w:hint="eastAsia"/>
                <w:color w:val="auto"/>
              </w:rPr>
              <w:t>两级活性炭装置</w:t>
            </w:r>
            <w:r>
              <w:rPr>
                <w:rFonts w:hint="eastAsia"/>
                <w:color w:val="auto"/>
                <w:lang w:val="en-US" w:eastAsia="zh-CN"/>
              </w:rPr>
              <w:t>的有机废气</w:t>
            </w:r>
            <w:r>
              <w:rPr>
                <w:color w:val="auto"/>
              </w:rPr>
              <w:t>吸附效率取</w:t>
            </w:r>
            <w:r>
              <w:rPr>
                <w:rFonts w:hint="eastAsia"/>
                <w:color w:val="auto"/>
              </w:rPr>
              <w:t>65</w:t>
            </w:r>
            <w:r>
              <w:rPr>
                <w:color w:val="auto"/>
              </w:rPr>
              <w:t>%</w:t>
            </w:r>
            <w:r>
              <w:rPr>
                <w:rFonts w:hint="eastAsia"/>
                <w:color w:val="auto"/>
                <w:lang w:eastAsia="zh-CN"/>
              </w:rPr>
              <w:t>（</w:t>
            </w:r>
            <w:r>
              <w:rPr>
                <w:rFonts w:hint="default" w:ascii="Times New Roman" w:hAnsi="Times New Roman" w:eastAsia="宋体" w:cs="Times New Roman"/>
                <w:color w:val="auto"/>
                <w:sz w:val="24"/>
                <w:szCs w:val="24"/>
              </w:rPr>
              <w:t>废气处理设施的处理效率能达到相应技术规范规定的</w:t>
            </w:r>
            <w:r>
              <w:rPr>
                <w:rFonts w:hint="eastAsia" w:cs="Times New Roman"/>
                <w:color w:val="auto"/>
                <w:sz w:val="24"/>
                <w:szCs w:val="24"/>
                <w:lang w:val="en-US" w:eastAsia="zh-CN"/>
              </w:rPr>
              <w:t>75%</w:t>
            </w:r>
            <w:r>
              <w:rPr>
                <w:rFonts w:hint="default" w:ascii="Times New Roman" w:hAnsi="Times New Roman" w:eastAsia="宋体" w:cs="Times New Roman"/>
                <w:color w:val="auto"/>
                <w:sz w:val="24"/>
                <w:szCs w:val="24"/>
              </w:rPr>
              <w:t>要求，但考虑实际运行和管理效果，在核算时适当降低处理效率</w:t>
            </w:r>
            <w:r>
              <w:rPr>
                <w:rFonts w:hint="eastAsia" w:cs="Times New Roman"/>
                <w:color w:val="auto"/>
                <w:sz w:val="24"/>
                <w:szCs w:val="24"/>
                <w:lang w:val="en-US" w:eastAsia="zh-CN"/>
              </w:rPr>
              <w:t>为65%</w:t>
            </w:r>
            <w:r>
              <w:rPr>
                <w:rFonts w:hint="eastAsia"/>
                <w:color w:val="auto"/>
                <w:lang w:eastAsia="zh-CN"/>
              </w:rPr>
              <w:t>），</w:t>
            </w:r>
            <w:r>
              <w:rPr>
                <w:rFonts w:hint="eastAsia"/>
                <w:color w:val="auto"/>
              </w:rPr>
              <w:t>喷塑</w:t>
            </w:r>
            <w:r>
              <w:rPr>
                <w:rFonts w:hint="eastAsia"/>
                <w:color w:val="auto"/>
                <w:lang w:val="en-US" w:eastAsia="zh-CN"/>
              </w:rPr>
              <w:t>废气</w:t>
            </w:r>
            <w:r>
              <w:rPr>
                <w:rFonts w:hint="eastAsia"/>
                <w:color w:val="auto"/>
                <w:szCs w:val="24"/>
              </w:rPr>
              <w:t>排放源强见表4-</w:t>
            </w:r>
            <w:r>
              <w:rPr>
                <w:rFonts w:hint="eastAsia"/>
                <w:color w:val="auto"/>
                <w:szCs w:val="24"/>
                <w:lang w:val="en-US" w:eastAsia="zh-CN"/>
              </w:rPr>
              <w:t>6</w:t>
            </w:r>
            <w:r>
              <w:rPr>
                <w:rFonts w:hint="eastAsia"/>
                <w:color w:val="auto"/>
                <w:szCs w:val="24"/>
              </w:rPr>
              <w:t>。</w:t>
            </w:r>
          </w:p>
          <w:p>
            <w:pPr>
              <w:autoSpaceDE w:val="0"/>
              <w:autoSpaceDN w:val="0"/>
              <w:spacing w:line="360" w:lineRule="auto"/>
              <w:jc w:val="center"/>
              <w:rPr>
                <w:b/>
                <w:color w:val="auto"/>
                <w:kern w:val="0"/>
              </w:rPr>
            </w:pPr>
            <w:r>
              <w:rPr>
                <w:b/>
                <w:color w:val="auto"/>
                <w:kern w:val="0"/>
              </w:rPr>
              <w:t>表4-</w:t>
            </w:r>
            <w:r>
              <w:rPr>
                <w:rFonts w:hint="eastAsia"/>
                <w:b/>
                <w:color w:val="auto"/>
                <w:kern w:val="0"/>
                <w:lang w:val="en-US" w:eastAsia="zh-CN"/>
              </w:rPr>
              <w:t>6</w:t>
            </w:r>
            <w:r>
              <w:rPr>
                <w:rFonts w:hint="eastAsia"/>
                <w:b/>
                <w:color w:val="auto"/>
                <w:kern w:val="0"/>
              </w:rPr>
              <w:t xml:space="preserve">  喷塑</w:t>
            </w:r>
            <w:r>
              <w:rPr>
                <w:rFonts w:hint="eastAsia"/>
                <w:b/>
                <w:color w:val="auto"/>
                <w:kern w:val="0"/>
                <w:lang w:val="en-US" w:eastAsia="zh-CN"/>
              </w:rPr>
              <w:t>废气</w:t>
            </w:r>
            <w:r>
              <w:rPr>
                <w:b/>
                <w:color w:val="auto"/>
                <w:kern w:val="0"/>
              </w:rPr>
              <w:t>产生以及排放源强一览表</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926"/>
              <w:gridCol w:w="1100"/>
              <w:gridCol w:w="871"/>
              <w:gridCol w:w="1135"/>
              <w:gridCol w:w="851"/>
              <w:gridCol w:w="851"/>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restart"/>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污染源</w:t>
                  </w:r>
                </w:p>
              </w:tc>
              <w:tc>
                <w:tcPr>
                  <w:tcW w:w="926" w:type="dxa"/>
                  <w:vMerge w:val="restart"/>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污染物</w:t>
                  </w:r>
                </w:p>
              </w:tc>
              <w:tc>
                <w:tcPr>
                  <w:tcW w:w="1100"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产生源强</w:t>
                  </w:r>
                </w:p>
              </w:tc>
              <w:tc>
                <w:tcPr>
                  <w:tcW w:w="871" w:type="dxa"/>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消减量</w:t>
                  </w:r>
                </w:p>
              </w:tc>
              <w:tc>
                <w:tcPr>
                  <w:tcW w:w="3688" w:type="dxa"/>
                  <w:gridSpan w:val="4"/>
                  <w:tcBorders>
                    <w:top w:val="single" w:color="auto" w:sz="4" w:space="0"/>
                    <w:left w:val="single" w:color="auto" w:sz="4" w:space="0"/>
                    <w:bottom w:val="single" w:color="auto" w:sz="4" w:space="0"/>
                    <w:right w:val="single" w:color="auto" w:sz="4" w:space="0"/>
                  </w:tcBorders>
                  <w:vAlign w:val="center"/>
                </w:tcPr>
                <w:p>
                  <w:pPr>
                    <w:jc w:val="center"/>
                    <w:rPr>
                      <w:b/>
                      <w:color w:val="auto"/>
                      <w:sz w:val="21"/>
                      <w:szCs w:val="21"/>
                    </w:rPr>
                  </w:pPr>
                  <w:r>
                    <w:rPr>
                      <w:b/>
                      <w:color w:val="auto"/>
                      <w:sz w:val="21"/>
                      <w:szCs w:val="21"/>
                    </w:rPr>
                    <w:t>排放源强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jc w:val="center"/>
                    <w:rPr>
                      <w:b/>
                      <w:color w:val="auto"/>
                      <w:sz w:val="21"/>
                      <w:szCs w:val="21"/>
                    </w:rPr>
                  </w:pPr>
                </w:p>
              </w:tc>
              <w:tc>
                <w:tcPr>
                  <w:tcW w:w="926" w:type="dxa"/>
                  <w:vMerge w:val="continue"/>
                  <w:vAlign w:val="center"/>
                </w:tcPr>
                <w:p>
                  <w:pPr>
                    <w:jc w:val="center"/>
                    <w:rPr>
                      <w:b/>
                      <w:color w:val="auto"/>
                      <w:sz w:val="21"/>
                      <w:szCs w:val="21"/>
                    </w:rPr>
                  </w:pPr>
                </w:p>
              </w:tc>
              <w:tc>
                <w:tcPr>
                  <w:tcW w:w="1100" w:type="dxa"/>
                  <w:vAlign w:val="center"/>
                </w:tcPr>
                <w:p>
                  <w:pPr>
                    <w:jc w:val="center"/>
                    <w:rPr>
                      <w:b/>
                      <w:color w:val="auto"/>
                      <w:sz w:val="21"/>
                      <w:szCs w:val="21"/>
                    </w:rPr>
                  </w:pPr>
                  <w:r>
                    <w:rPr>
                      <w:b/>
                      <w:color w:val="auto"/>
                      <w:sz w:val="21"/>
                      <w:szCs w:val="21"/>
                    </w:rPr>
                    <w:t>t/a</w:t>
                  </w:r>
                </w:p>
              </w:tc>
              <w:tc>
                <w:tcPr>
                  <w:tcW w:w="871" w:type="dxa"/>
                  <w:vAlign w:val="center"/>
                </w:tcPr>
                <w:p>
                  <w:pPr>
                    <w:jc w:val="center"/>
                    <w:rPr>
                      <w:b/>
                      <w:color w:val="auto"/>
                      <w:sz w:val="21"/>
                      <w:szCs w:val="21"/>
                    </w:rPr>
                  </w:pPr>
                  <w:r>
                    <w:rPr>
                      <w:b/>
                      <w:color w:val="auto"/>
                      <w:sz w:val="21"/>
                      <w:szCs w:val="21"/>
                    </w:rPr>
                    <w:t>t/a</w:t>
                  </w:r>
                </w:p>
              </w:tc>
              <w:tc>
                <w:tcPr>
                  <w:tcW w:w="1135" w:type="dxa"/>
                  <w:vAlign w:val="center"/>
                </w:tcPr>
                <w:p>
                  <w:pPr>
                    <w:jc w:val="center"/>
                    <w:rPr>
                      <w:b/>
                      <w:color w:val="auto"/>
                      <w:sz w:val="21"/>
                      <w:szCs w:val="21"/>
                    </w:rPr>
                  </w:pPr>
                  <w:r>
                    <w:rPr>
                      <w:b/>
                      <w:color w:val="auto"/>
                      <w:sz w:val="21"/>
                      <w:szCs w:val="21"/>
                    </w:rPr>
                    <w:t>排放类型</w:t>
                  </w:r>
                </w:p>
              </w:tc>
              <w:tc>
                <w:tcPr>
                  <w:tcW w:w="851" w:type="dxa"/>
                  <w:vAlign w:val="center"/>
                </w:tcPr>
                <w:p>
                  <w:pPr>
                    <w:jc w:val="center"/>
                    <w:rPr>
                      <w:b/>
                      <w:color w:val="auto"/>
                      <w:sz w:val="21"/>
                      <w:szCs w:val="21"/>
                    </w:rPr>
                  </w:pPr>
                  <w:r>
                    <w:rPr>
                      <w:b/>
                      <w:bCs/>
                      <w:color w:val="auto"/>
                      <w:sz w:val="21"/>
                      <w:szCs w:val="21"/>
                    </w:rPr>
                    <w:t>mg/m</w:t>
                  </w:r>
                  <w:r>
                    <w:rPr>
                      <w:b/>
                      <w:bCs/>
                      <w:color w:val="auto"/>
                      <w:sz w:val="21"/>
                      <w:szCs w:val="21"/>
                      <w:vertAlign w:val="superscript"/>
                    </w:rPr>
                    <w:t>3</w:t>
                  </w:r>
                </w:p>
              </w:tc>
              <w:tc>
                <w:tcPr>
                  <w:tcW w:w="851" w:type="dxa"/>
                  <w:vAlign w:val="center"/>
                </w:tcPr>
                <w:p>
                  <w:pPr>
                    <w:jc w:val="center"/>
                    <w:rPr>
                      <w:b/>
                      <w:color w:val="auto"/>
                      <w:sz w:val="21"/>
                      <w:szCs w:val="21"/>
                    </w:rPr>
                  </w:pPr>
                  <w:r>
                    <w:rPr>
                      <w:b/>
                      <w:color w:val="auto"/>
                      <w:sz w:val="21"/>
                      <w:szCs w:val="21"/>
                    </w:rPr>
                    <w:t>kg/h</w:t>
                  </w:r>
                </w:p>
              </w:tc>
              <w:tc>
                <w:tcPr>
                  <w:tcW w:w="851" w:type="dxa"/>
                  <w:vAlign w:val="center"/>
                </w:tcPr>
                <w:p>
                  <w:pPr>
                    <w:jc w:val="center"/>
                    <w:rPr>
                      <w:b/>
                      <w:color w:val="auto"/>
                      <w:sz w:val="21"/>
                      <w:szCs w:val="21"/>
                    </w:rPr>
                  </w:pPr>
                  <w:r>
                    <w:rPr>
                      <w:b/>
                      <w:color w:val="auto"/>
                      <w:sz w:val="21"/>
                      <w:szCs w:val="21"/>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restart"/>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小管内壁喷塑废气</w:t>
                  </w:r>
                </w:p>
              </w:tc>
              <w:tc>
                <w:tcPr>
                  <w:tcW w:w="926" w:type="dxa"/>
                  <w:vAlign w:val="center"/>
                </w:tcPr>
                <w:p>
                  <w:pPr>
                    <w:jc w:val="center"/>
                    <w:rPr>
                      <w:color w:val="auto"/>
                      <w:sz w:val="21"/>
                      <w:szCs w:val="21"/>
                    </w:rPr>
                  </w:pPr>
                  <w:r>
                    <w:rPr>
                      <w:rFonts w:hint="eastAsia"/>
                      <w:color w:val="auto"/>
                      <w:sz w:val="21"/>
                      <w:szCs w:val="21"/>
                    </w:rPr>
                    <w:t>颗粒物</w:t>
                  </w:r>
                </w:p>
              </w:tc>
              <w:tc>
                <w:tcPr>
                  <w:tcW w:w="1100"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6.3</w:t>
                  </w:r>
                </w:p>
              </w:tc>
              <w:tc>
                <w:tcPr>
                  <w:tcW w:w="87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5.989</w:t>
                  </w:r>
                </w:p>
              </w:tc>
              <w:tc>
                <w:tcPr>
                  <w:tcW w:w="1135" w:type="dxa"/>
                  <w:vAlign w:val="center"/>
                </w:tcPr>
                <w:p>
                  <w:pPr>
                    <w:jc w:val="center"/>
                    <w:rPr>
                      <w:color w:val="auto"/>
                      <w:sz w:val="21"/>
                      <w:szCs w:val="21"/>
                    </w:rPr>
                  </w:pPr>
                  <w:r>
                    <w:rPr>
                      <w:rFonts w:hint="eastAsia"/>
                      <w:color w:val="auto"/>
                      <w:sz w:val="21"/>
                      <w:szCs w:val="21"/>
                    </w:rPr>
                    <w:t>无组织</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rPr>
                    <w:t>/</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0.13</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0.311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非甲烷总烃</w:t>
                  </w:r>
                </w:p>
              </w:tc>
              <w:tc>
                <w:tcPr>
                  <w:tcW w:w="1100"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0.0252</w:t>
                  </w:r>
                </w:p>
              </w:tc>
              <w:tc>
                <w:tcPr>
                  <w:tcW w:w="87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0.016</w:t>
                  </w: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851"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0.004</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restart"/>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r>
                    <w:rPr>
                      <w:rFonts w:hint="eastAsia"/>
                      <w:color w:val="auto"/>
                      <w:sz w:val="21"/>
                      <w:szCs w:val="21"/>
                      <w:lang w:val="en-US" w:eastAsia="zh-CN"/>
                    </w:rPr>
                    <w:t>小管外壁喷塑废气</w:t>
                  </w:r>
                </w:p>
              </w:tc>
              <w:tc>
                <w:tcPr>
                  <w:tcW w:w="926" w:type="dxa"/>
                  <w:vMerge w:val="restart"/>
                  <w:vAlign w:val="center"/>
                </w:tcPr>
                <w:p>
                  <w:pPr>
                    <w:jc w:val="center"/>
                    <w:rPr>
                      <w:color w:val="auto"/>
                      <w:sz w:val="21"/>
                      <w:szCs w:val="21"/>
                    </w:rPr>
                  </w:pPr>
                  <w:r>
                    <w:rPr>
                      <w:rFonts w:hint="eastAsia"/>
                      <w:color w:val="auto"/>
                      <w:sz w:val="21"/>
                      <w:szCs w:val="21"/>
                    </w:rPr>
                    <w:t>颗粒物</w:t>
                  </w:r>
                </w:p>
              </w:tc>
              <w:tc>
                <w:tcPr>
                  <w:tcW w:w="1100"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6.3</w:t>
                  </w:r>
                </w:p>
              </w:tc>
              <w:tc>
                <w:tcPr>
                  <w:tcW w:w="871"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5.989</w:t>
                  </w:r>
                </w:p>
              </w:tc>
              <w:tc>
                <w:tcPr>
                  <w:tcW w:w="1135" w:type="dxa"/>
                  <w:vAlign w:val="center"/>
                </w:tcPr>
                <w:p>
                  <w:pPr>
                    <w:jc w:val="center"/>
                    <w:rPr>
                      <w:color w:val="auto"/>
                      <w:sz w:val="21"/>
                      <w:szCs w:val="21"/>
                    </w:rPr>
                  </w:pPr>
                  <w:r>
                    <w:rPr>
                      <w:rFonts w:hint="eastAsia"/>
                      <w:color w:val="auto"/>
                      <w:sz w:val="21"/>
                      <w:szCs w:val="21"/>
                    </w:rPr>
                    <w:t>有</w:t>
                  </w:r>
                  <w:r>
                    <w:rPr>
                      <w:color w:val="auto"/>
                      <w:sz w:val="21"/>
                      <w:szCs w:val="21"/>
                    </w:rPr>
                    <w:t>组织</w:t>
                  </w:r>
                </w:p>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DA0</w:t>
                  </w:r>
                  <w:r>
                    <w:rPr>
                      <w:rFonts w:hint="eastAsia"/>
                      <w:color w:val="auto"/>
                      <w:sz w:val="21"/>
                      <w:szCs w:val="21"/>
                      <w:lang w:val="en-US" w:eastAsia="zh-CN"/>
                    </w:rPr>
                    <w:t>03</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2.546</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0.0509</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Merge w:val="continue"/>
                  <w:vAlign w:val="center"/>
                </w:tcPr>
                <w:p>
                  <w:pPr>
                    <w:jc w:val="center"/>
                    <w:rPr>
                      <w:color w:val="auto"/>
                      <w:sz w:val="21"/>
                      <w:szCs w:val="21"/>
                    </w:rPr>
                  </w:pPr>
                </w:p>
              </w:tc>
              <w:tc>
                <w:tcPr>
                  <w:tcW w:w="1100" w:type="dxa"/>
                  <w:vMerge w:val="continue"/>
                  <w:vAlign w:val="center"/>
                </w:tcPr>
                <w:p>
                  <w:pPr>
                    <w:jc w:val="center"/>
                    <w:rPr>
                      <w:color w:val="auto"/>
                      <w:sz w:val="21"/>
                      <w:szCs w:val="21"/>
                    </w:rPr>
                  </w:pPr>
                </w:p>
              </w:tc>
              <w:tc>
                <w:tcPr>
                  <w:tcW w:w="871" w:type="dxa"/>
                  <w:vMerge w:val="continue"/>
                  <w:vAlign w:val="center"/>
                </w:tcPr>
                <w:p>
                  <w:pPr>
                    <w:jc w:val="center"/>
                    <w:rPr>
                      <w:color w:val="auto"/>
                      <w:sz w:val="21"/>
                      <w:szCs w:val="21"/>
                    </w:rPr>
                  </w:pP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851"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0.0788</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Merge w:val="restart"/>
                  <w:vAlign w:val="center"/>
                </w:tcPr>
                <w:p>
                  <w:pPr>
                    <w:jc w:val="center"/>
                    <w:rPr>
                      <w:color w:val="auto"/>
                      <w:sz w:val="21"/>
                      <w:szCs w:val="21"/>
                    </w:rPr>
                  </w:pPr>
                  <w:r>
                    <w:rPr>
                      <w:rFonts w:hint="eastAsia"/>
                      <w:color w:val="auto"/>
                      <w:sz w:val="21"/>
                      <w:szCs w:val="21"/>
                      <w:lang w:val="en-US" w:eastAsia="zh-CN"/>
                    </w:rPr>
                    <w:t>非甲烷总烃</w:t>
                  </w:r>
                </w:p>
              </w:tc>
              <w:tc>
                <w:tcPr>
                  <w:tcW w:w="1100"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0.0252</w:t>
                  </w:r>
                </w:p>
              </w:tc>
              <w:tc>
                <w:tcPr>
                  <w:tcW w:w="871" w:type="dxa"/>
                  <w:vMerge w:val="restart"/>
                  <w:vAlign w:val="center"/>
                </w:tcPr>
                <w:p>
                  <w:pPr>
                    <w:jc w:val="center"/>
                    <w:rPr>
                      <w:rFonts w:hint="default" w:eastAsia="宋体"/>
                      <w:color w:val="auto"/>
                      <w:sz w:val="21"/>
                      <w:szCs w:val="21"/>
                      <w:lang w:val="en-US" w:eastAsia="zh-CN"/>
                    </w:rPr>
                  </w:pPr>
                  <w:r>
                    <w:rPr>
                      <w:rFonts w:hint="eastAsia"/>
                      <w:color w:val="auto"/>
                      <w:sz w:val="21"/>
                      <w:szCs w:val="21"/>
                      <w:lang w:val="en-US" w:eastAsia="zh-CN"/>
                    </w:rPr>
                    <w:t>0.016</w:t>
                  </w:r>
                </w:p>
              </w:tc>
              <w:tc>
                <w:tcPr>
                  <w:tcW w:w="1135" w:type="dxa"/>
                  <w:vAlign w:val="center"/>
                </w:tcPr>
                <w:p>
                  <w:pPr>
                    <w:jc w:val="center"/>
                    <w:rPr>
                      <w:color w:val="auto"/>
                      <w:sz w:val="21"/>
                      <w:szCs w:val="21"/>
                    </w:rPr>
                  </w:pPr>
                  <w:r>
                    <w:rPr>
                      <w:rFonts w:hint="eastAsia"/>
                      <w:color w:val="auto"/>
                      <w:sz w:val="21"/>
                      <w:szCs w:val="21"/>
                    </w:rPr>
                    <w:t>有</w:t>
                  </w:r>
                  <w:r>
                    <w:rPr>
                      <w:color w:val="auto"/>
                      <w:sz w:val="21"/>
                      <w:szCs w:val="21"/>
                    </w:rPr>
                    <w:t>组织</w:t>
                  </w:r>
                </w:p>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DA0</w:t>
                  </w:r>
                  <w:r>
                    <w:rPr>
                      <w:rFonts w:hint="eastAsia"/>
                      <w:color w:val="auto"/>
                      <w:sz w:val="21"/>
                      <w:szCs w:val="21"/>
                      <w:lang w:val="en-US" w:eastAsia="zh-CN"/>
                    </w:rPr>
                    <w:t>03</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0.175</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0.0035</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Merge w:val="continue"/>
                  <w:vAlign w:val="center"/>
                </w:tcPr>
                <w:p>
                  <w:pPr>
                    <w:jc w:val="center"/>
                    <w:rPr>
                      <w:color w:val="auto"/>
                      <w:sz w:val="21"/>
                      <w:szCs w:val="21"/>
                    </w:rPr>
                  </w:pPr>
                </w:p>
              </w:tc>
              <w:tc>
                <w:tcPr>
                  <w:tcW w:w="1100" w:type="dxa"/>
                  <w:vMerge w:val="continue"/>
                  <w:vAlign w:val="center"/>
                </w:tcPr>
                <w:p>
                  <w:pPr>
                    <w:jc w:val="center"/>
                    <w:rPr>
                      <w:color w:val="auto"/>
                      <w:sz w:val="21"/>
                      <w:szCs w:val="21"/>
                    </w:rPr>
                  </w:pPr>
                </w:p>
              </w:tc>
              <w:tc>
                <w:tcPr>
                  <w:tcW w:w="871" w:type="dxa"/>
                  <w:vMerge w:val="continue"/>
                  <w:vAlign w:val="center"/>
                </w:tcPr>
                <w:p>
                  <w:pPr>
                    <w:jc w:val="center"/>
                    <w:rPr>
                      <w:color w:val="auto"/>
                      <w:sz w:val="21"/>
                      <w:szCs w:val="21"/>
                    </w:rPr>
                  </w:pP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851"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0.0005</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restart"/>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r>
                    <w:rPr>
                      <w:rFonts w:hint="eastAsia"/>
                      <w:color w:val="auto"/>
                      <w:sz w:val="21"/>
                      <w:szCs w:val="21"/>
                      <w:lang w:val="en-US" w:eastAsia="zh-CN"/>
                    </w:rPr>
                    <w:t>大管内壁喷塑废气</w:t>
                  </w:r>
                </w:p>
              </w:tc>
              <w:tc>
                <w:tcPr>
                  <w:tcW w:w="926" w:type="dxa"/>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 w:val="21"/>
                      <w:szCs w:val="21"/>
                    </w:rPr>
                    <w:t>颗粒物</w:t>
                  </w:r>
                </w:p>
              </w:tc>
              <w:tc>
                <w:tcPr>
                  <w:tcW w:w="1100"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25.2</w:t>
                  </w:r>
                </w:p>
              </w:tc>
              <w:tc>
                <w:tcPr>
                  <w:tcW w:w="87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23.955</w:t>
                  </w: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851"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0.519</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1.245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非甲烷总烃</w:t>
                  </w:r>
                </w:p>
              </w:tc>
              <w:tc>
                <w:tcPr>
                  <w:tcW w:w="1100"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0.1008</w:t>
                  </w:r>
                </w:p>
              </w:tc>
              <w:tc>
                <w:tcPr>
                  <w:tcW w:w="87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0.062</w:t>
                  </w:r>
                </w:p>
              </w:tc>
              <w:tc>
                <w:tcPr>
                  <w:tcW w:w="1135" w:type="dxa"/>
                  <w:vAlign w:val="center"/>
                </w:tcPr>
                <w:p>
                  <w:pPr>
                    <w:jc w:val="center"/>
                    <w:rPr>
                      <w:rFonts w:hint="eastAsia"/>
                      <w:color w:val="auto"/>
                      <w:sz w:val="21"/>
                      <w:szCs w:val="21"/>
                    </w:rPr>
                  </w:pPr>
                  <w:r>
                    <w:rPr>
                      <w:rFonts w:hint="eastAsia"/>
                      <w:color w:val="auto"/>
                      <w:sz w:val="21"/>
                      <w:szCs w:val="21"/>
                    </w:rPr>
                    <w:t>无组织</w:t>
                  </w:r>
                </w:p>
              </w:tc>
              <w:tc>
                <w:tcPr>
                  <w:tcW w:w="851"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0.016</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restart"/>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r>
                    <w:rPr>
                      <w:rFonts w:hint="eastAsia"/>
                      <w:color w:val="auto"/>
                      <w:sz w:val="21"/>
                      <w:szCs w:val="21"/>
                      <w:lang w:val="en-US" w:eastAsia="zh-CN"/>
                    </w:rPr>
                    <w:t>大管外壁喷塑废气</w:t>
                  </w:r>
                </w:p>
              </w:tc>
              <w:tc>
                <w:tcPr>
                  <w:tcW w:w="926" w:type="dxa"/>
                  <w:vMerge w:val="restart"/>
                  <w:vAlign w:val="center"/>
                </w:tcPr>
                <w:p>
                  <w:pPr>
                    <w:jc w:val="center"/>
                    <w:rPr>
                      <w:rFonts w:hint="eastAsia"/>
                      <w:color w:val="auto"/>
                      <w:sz w:val="21"/>
                      <w:szCs w:val="21"/>
                      <w:lang w:val="en-US" w:eastAsia="zh-CN"/>
                    </w:rPr>
                  </w:pPr>
                  <w:r>
                    <w:rPr>
                      <w:rFonts w:hint="eastAsia"/>
                      <w:color w:val="auto"/>
                      <w:sz w:val="21"/>
                      <w:szCs w:val="21"/>
                    </w:rPr>
                    <w:t>颗粒物</w:t>
                  </w:r>
                </w:p>
              </w:tc>
              <w:tc>
                <w:tcPr>
                  <w:tcW w:w="1100" w:type="dxa"/>
                  <w:vMerge w:val="restar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25.2</w:t>
                  </w:r>
                </w:p>
              </w:tc>
              <w:tc>
                <w:tcPr>
                  <w:tcW w:w="871" w:type="dxa"/>
                  <w:vMerge w:val="restar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23.955</w:t>
                  </w:r>
                </w:p>
              </w:tc>
              <w:tc>
                <w:tcPr>
                  <w:tcW w:w="1135" w:type="dxa"/>
                  <w:vAlign w:val="center"/>
                </w:tcPr>
                <w:p>
                  <w:pPr>
                    <w:jc w:val="center"/>
                    <w:rPr>
                      <w:color w:val="auto"/>
                      <w:sz w:val="21"/>
                      <w:szCs w:val="21"/>
                    </w:rPr>
                  </w:pPr>
                  <w:r>
                    <w:rPr>
                      <w:rFonts w:hint="eastAsia"/>
                      <w:color w:val="auto"/>
                      <w:sz w:val="21"/>
                      <w:szCs w:val="21"/>
                    </w:rPr>
                    <w:t>有</w:t>
                  </w:r>
                  <w:r>
                    <w:rPr>
                      <w:color w:val="auto"/>
                      <w:sz w:val="21"/>
                      <w:szCs w:val="21"/>
                    </w:rPr>
                    <w:t>组织</w:t>
                  </w:r>
                </w:p>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DA0</w:t>
                  </w:r>
                  <w:r>
                    <w:rPr>
                      <w:rFonts w:hint="eastAsia"/>
                      <w:color w:val="auto"/>
                      <w:sz w:val="21"/>
                      <w:szCs w:val="21"/>
                      <w:lang w:val="en-US" w:eastAsia="zh-CN"/>
                    </w:rPr>
                    <w:t>08</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10.185</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0.2037</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0.489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Merge w:val="continue"/>
                  <w:vAlign w:val="center"/>
                </w:tcPr>
                <w:p>
                  <w:pPr>
                    <w:jc w:val="center"/>
                    <w:rPr>
                      <w:rFonts w:hint="eastAsia"/>
                      <w:color w:val="auto"/>
                      <w:sz w:val="21"/>
                      <w:szCs w:val="21"/>
                      <w:lang w:val="en-US" w:eastAsia="zh-CN"/>
                    </w:rPr>
                  </w:pPr>
                </w:p>
              </w:tc>
              <w:tc>
                <w:tcPr>
                  <w:tcW w:w="1100" w:type="dxa"/>
                  <w:vMerge w:val="continue"/>
                  <w:vAlign w:val="center"/>
                </w:tcPr>
                <w:p>
                  <w:pPr>
                    <w:jc w:val="center"/>
                    <w:rPr>
                      <w:color w:val="auto"/>
                      <w:sz w:val="21"/>
                      <w:szCs w:val="21"/>
                    </w:rPr>
                  </w:pPr>
                </w:p>
              </w:tc>
              <w:tc>
                <w:tcPr>
                  <w:tcW w:w="871" w:type="dxa"/>
                  <w:vMerge w:val="continue"/>
                  <w:vAlign w:val="center"/>
                </w:tcPr>
                <w:p>
                  <w:pPr>
                    <w:jc w:val="center"/>
                    <w:rPr>
                      <w:color w:val="auto"/>
                      <w:sz w:val="21"/>
                      <w:szCs w:val="21"/>
                    </w:rPr>
                  </w:pP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851"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0.315</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0.756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Merge w:val="restart"/>
                  <w:vAlign w:val="center"/>
                </w:tcPr>
                <w:p>
                  <w:pPr>
                    <w:jc w:val="center"/>
                    <w:rPr>
                      <w:rFonts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非甲烷总烃</w:t>
                  </w:r>
                </w:p>
              </w:tc>
              <w:tc>
                <w:tcPr>
                  <w:tcW w:w="1100" w:type="dxa"/>
                  <w:vMerge w:val="restar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0.1008</w:t>
                  </w:r>
                </w:p>
              </w:tc>
              <w:tc>
                <w:tcPr>
                  <w:tcW w:w="871" w:type="dxa"/>
                  <w:vMerge w:val="restart"/>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0.062</w:t>
                  </w:r>
                </w:p>
              </w:tc>
              <w:tc>
                <w:tcPr>
                  <w:tcW w:w="1135" w:type="dxa"/>
                  <w:vAlign w:val="center"/>
                </w:tcPr>
                <w:p>
                  <w:pPr>
                    <w:jc w:val="center"/>
                    <w:rPr>
                      <w:color w:val="auto"/>
                      <w:sz w:val="21"/>
                      <w:szCs w:val="21"/>
                    </w:rPr>
                  </w:pPr>
                  <w:r>
                    <w:rPr>
                      <w:rFonts w:hint="eastAsia"/>
                      <w:color w:val="auto"/>
                      <w:sz w:val="21"/>
                      <w:szCs w:val="21"/>
                    </w:rPr>
                    <w:t>有</w:t>
                  </w:r>
                  <w:r>
                    <w:rPr>
                      <w:color w:val="auto"/>
                      <w:sz w:val="21"/>
                      <w:szCs w:val="21"/>
                    </w:rPr>
                    <w:t>组织</w:t>
                  </w:r>
                </w:p>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DA0</w:t>
                  </w:r>
                  <w:r>
                    <w:rPr>
                      <w:rFonts w:hint="eastAsia"/>
                      <w:color w:val="auto"/>
                      <w:sz w:val="21"/>
                      <w:szCs w:val="21"/>
                      <w:lang w:val="en-US" w:eastAsia="zh-CN"/>
                    </w:rPr>
                    <w:t>08</w:t>
                  </w:r>
                </w:p>
              </w:tc>
              <w:tc>
                <w:tcPr>
                  <w:tcW w:w="851" w:type="dxa"/>
                  <w:vAlign w:val="center"/>
                </w:tcPr>
                <w:p>
                  <w:pPr>
                    <w:jc w:val="center"/>
                    <w:rPr>
                      <w:rFonts w:hint="default" w:eastAsia="宋体"/>
                      <w:color w:val="auto"/>
                      <w:sz w:val="21"/>
                      <w:szCs w:val="21"/>
                      <w:lang w:val="en-US" w:eastAsia="zh-CN"/>
                    </w:rPr>
                  </w:pPr>
                  <w:r>
                    <w:rPr>
                      <w:rFonts w:hint="eastAsia"/>
                      <w:color w:val="auto"/>
                      <w:sz w:val="21"/>
                      <w:szCs w:val="21"/>
                      <w:lang w:val="en-US" w:eastAsia="zh-CN"/>
                    </w:rPr>
                    <w:t>0.698</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0.014</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70" w:type="dxa"/>
                  <w:vMerge w:val="continue"/>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color w:val="auto"/>
                      <w:sz w:val="21"/>
                      <w:szCs w:val="21"/>
                    </w:rPr>
                  </w:pPr>
                </w:p>
              </w:tc>
              <w:tc>
                <w:tcPr>
                  <w:tcW w:w="926" w:type="dxa"/>
                  <w:vMerge w:val="continue"/>
                  <w:vAlign w:val="center"/>
                </w:tcPr>
                <w:p>
                  <w:pPr>
                    <w:jc w:val="center"/>
                    <w:rPr>
                      <w:color w:val="auto"/>
                      <w:sz w:val="21"/>
                      <w:szCs w:val="21"/>
                    </w:rPr>
                  </w:pPr>
                </w:p>
              </w:tc>
              <w:tc>
                <w:tcPr>
                  <w:tcW w:w="1100" w:type="dxa"/>
                  <w:vMerge w:val="continue"/>
                  <w:vAlign w:val="center"/>
                </w:tcPr>
                <w:p>
                  <w:pPr>
                    <w:jc w:val="center"/>
                    <w:rPr>
                      <w:color w:val="auto"/>
                      <w:sz w:val="21"/>
                      <w:szCs w:val="21"/>
                    </w:rPr>
                  </w:pPr>
                </w:p>
              </w:tc>
              <w:tc>
                <w:tcPr>
                  <w:tcW w:w="871" w:type="dxa"/>
                  <w:vMerge w:val="continue"/>
                  <w:vAlign w:val="center"/>
                </w:tcPr>
                <w:p>
                  <w:pPr>
                    <w:jc w:val="center"/>
                    <w:rPr>
                      <w:color w:val="auto"/>
                      <w:sz w:val="21"/>
                      <w:szCs w:val="21"/>
                    </w:rPr>
                  </w:pPr>
                </w:p>
              </w:tc>
              <w:tc>
                <w:tcPr>
                  <w:tcW w:w="113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851" w:type="dxa"/>
                  <w:vAlign w:val="center"/>
                </w:tcPr>
                <w:p>
                  <w:pPr>
                    <w:jc w:val="center"/>
                    <w:rPr>
                      <w:rFonts w:hint="eastAsia" w:eastAsia="宋体"/>
                      <w:color w:val="auto"/>
                      <w:sz w:val="21"/>
                      <w:szCs w:val="21"/>
                      <w:lang w:val="en-US" w:eastAsia="zh-CN"/>
                    </w:rPr>
                  </w:pPr>
                  <w:r>
                    <w:rPr>
                      <w:rFonts w:hint="eastAsia"/>
                      <w:color w:val="auto"/>
                      <w:sz w:val="21"/>
                      <w:szCs w:val="21"/>
                      <w:lang w:val="en-US" w:eastAsia="zh-CN"/>
                    </w:rPr>
                    <w:t>/</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0.0021</w:t>
                  </w:r>
                </w:p>
              </w:tc>
              <w:tc>
                <w:tcPr>
                  <w:tcW w:w="851" w:type="dxa"/>
                  <w:vAlign w:val="center"/>
                </w:tcPr>
                <w:p>
                  <w:pPr>
                    <w:jc w:val="center"/>
                    <w:rPr>
                      <w:rFonts w:hint="default"/>
                      <w:color w:val="auto"/>
                      <w:sz w:val="21"/>
                      <w:szCs w:val="21"/>
                      <w:lang w:val="en-US" w:eastAsia="zh-CN"/>
                    </w:rPr>
                  </w:pPr>
                  <w:r>
                    <w:rPr>
                      <w:rFonts w:hint="eastAsia"/>
                      <w:color w:val="auto"/>
                      <w:sz w:val="21"/>
                      <w:szCs w:val="21"/>
                      <w:lang w:val="en-US" w:eastAsia="zh-CN"/>
                    </w:rPr>
                    <w:t>0.005</w:t>
                  </w:r>
                </w:p>
              </w:tc>
            </w:tr>
          </w:tbl>
          <w:p>
            <w:pPr>
              <w:tabs>
                <w:tab w:val="left" w:pos="4288"/>
              </w:tabs>
              <w:spacing w:line="240" w:lineRule="auto"/>
              <w:ind w:firstLine="420" w:firstLineChars="200"/>
              <w:outlineLvl w:val="2"/>
              <w:rPr>
                <w:rFonts w:hint="eastAsia" w:ascii="Times New Roman" w:hAnsi="Times New Roman" w:eastAsia="宋体" w:cs="Times New Roman"/>
                <w:color w:val="auto"/>
                <w:sz w:val="24"/>
                <w:szCs w:val="22"/>
                <w:lang w:val="en-US" w:eastAsia="zh-CN"/>
              </w:rPr>
            </w:pPr>
            <w:r>
              <w:rPr>
                <w:rFonts w:hint="eastAsia"/>
                <w:color w:val="auto"/>
                <w:sz w:val="21"/>
                <w:szCs w:val="21"/>
              </w:rPr>
              <w:t>注：喷塑工段年工作时间按</w:t>
            </w:r>
            <w:r>
              <w:rPr>
                <w:rFonts w:hint="eastAsia"/>
                <w:color w:val="auto"/>
                <w:sz w:val="21"/>
                <w:szCs w:val="21"/>
                <w:lang w:val="en-US" w:eastAsia="zh-CN"/>
              </w:rPr>
              <w:t>24</w:t>
            </w:r>
            <w:r>
              <w:rPr>
                <w:rFonts w:hint="eastAsia"/>
                <w:color w:val="auto"/>
                <w:sz w:val="21"/>
                <w:szCs w:val="21"/>
              </w:rPr>
              <w:t>00h计。</w:t>
            </w:r>
          </w:p>
          <w:p>
            <w:pPr>
              <w:tabs>
                <w:tab w:val="left" w:pos="4288"/>
              </w:tabs>
              <w:spacing w:line="240" w:lineRule="auto"/>
              <w:ind w:firstLine="480" w:firstLineChars="200"/>
              <w:outlineLvl w:val="2"/>
              <w:rPr>
                <w:rFonts w:hint="eastAsia" w:ascii="Times New Roman" w:hAnsi="Times New Roman" w:eastAsia="宋体" w:cs="Times New Roman"/>
                <w:color w:val="auto"/>
              </w:rPr>
            </w:pPr>
          </w:p>
          <w:p>
            <w:pPr>
              <w:tabs>
                <w:tab w:val="left" w:pos="4288"/>
              </w:tabs>
              <w:spacing w:line="360" w:lineRule="auto"/>
              <w:ind w:firstLine="480" w:firstLineChars="200"/>
              <w:outlineLvl w:val="2"/>
              <w:rPr>
                <w:rFonts w:hint="eastAsia" w:ascii="Times New Roman" w:hAnsi="Times New Roman" w:eastAsia="宋体" w:cs="Times New Roman"/>
                <w:color w:val="auto"/>
              </w:rPr>
            </w:pPr>
            <w:r>
              <w:rPr>
                <w:rFonts w:hint="eastAsia" w:ascii="Times New Roman" w:hAnsi="Times New Roman" w:eastAsia="宋体" w:cs="Times New Roman"/>
                <w:color w:val="auto"/>
              </w:rPr>
              <w:t>根据表4-</w:t>
            </w:r>
            <w:r>
              <w:rPr>
                <w:rFonts w:hint="eastAsia" w:cs="Times New Roman"/>
                <w:color w:val="auto"/>
                <w:lang w:val="en-US" w:eastAsia="zh-CN"/>
              </w:rPr>
              <w:t>6</w:t>
            </w:r>
            <w:r>
              <w:rPr>
                <w:rFonts w:hint="eastAsia" w:ascii="Times New Roman" w:hAnsi="Times New Roman" w:eastAsia="宋体" w:cs="Times New Roman"/>
                <w:color w:val="auto"/>
              </w:rPr>
              <w:t>可知，</w:t>
            </w:r>
            <w:r>
              <w:rPr>
                <w:rFonts w:hint="eastAsia" w:ascii="Times New Roman" w:hAnsi="Times New Roman" w:eastAsia="宋体" w:cs="Times New Roman"/>
                <w:color w:val="auto"/>
                <w:lang w:val="en-US" w:eastAsia="zh-CN"/>
              </w:rPr>
              <w:t>喷塑</w:t>
            </w:r>
            <w:r>
              <w:rPr>
                <w:rFonts w:hint="eastAsia" w:ascii="Times New Roman" w:hAnsi="Times New Roman" w:eastAsia="宋体" w:cs="Times New Roman"/>
                <w:color w:val="auto"/>
              </w:rPr>
              <w:t>过程产生的颗粒物</w:t>
            </w:r>
            <w:r>
              <w:rPr>
                <w:rFonts w:hint="eastAsia" w:cs="Times New Roman"/>
                <w:color w:val="auto"/>
                <w:lang w:val="en-US" w:eastAsia="zh-CN"/>
              </w:rPr>
              <w:t>及非甲烷总烃</w:t>
            </w:r>
            <w:r>
              <w:rPr>
                <w:rFonts w:hint="eastAsia" w:ascii="Times New Roman" w:hAnsi="Times New Roman" w:eastAsia="宋体" w:cs="Times New Roman"/>
                <w:color w:val="auto"/>
              </w:rPr>
              <w:t>的最大排放浓度均能够达到DB33/2146-2018《工业涂装工序大气污染物排放标准》中表1排放限值要求。</w:t>
            </w:r>
          </w:p>
          <w:p>
            <w:pPr>
              <w:pStyle w:val="40"/>
              <w:keepNext w:val="0"/>
              <w:keepLines w:val="0"/>
              <w:pageBreakBefore w:val="0"/>
              <w:widowControl w:val="0"/>
              <w:kinsoku/>
              <w:wordWrap/>
              <w:overflowPunct/>
              <w:topLinePunct w:val="0"/>
              <w:autoSpaceDE/>
              <w:autoSpaceDN/>
              <w:bidi w:val="0"/>
              <w:adjustRightInd/>
              <w:snapToGrid/>
              <w:spacing w:line="200" w:lineRule="exact"/>
              <w:textAlignment w:val="auto"/>
              <w:rPr>
                <w:rFonts w:hint="eastAsia" w:ascii="Times New Roman" w:hAnsi="Times New Roman" w:eastAsia="宋体" w:cs="Times New Roman"/>
                <w:color w:val="FF0000"/>
                <w:lang w:val="en-US" w:eastAsia="zh-CN"/>
              </w:rPr>
            </w:pPr>
          </w:p>
          <w:p>
            <w:pPr>
              <w:tabs>
                <w:tab w:val="left" w:pos="4288"/>
              </w:tabs>
              <w:spacing w:line="360" w:lineRule="auto"/>
              <w:ind w:firstLine="480" w:firstLineChars="200"/>
              <w:outlineLvl w:val="2"/>
              <w:rPr>
                <w:color w:val="auto"/>
                <w:szCs w:val="24"/>
              </w:rPr>
            </w:pPr>
            <w:r>
              <w:rPr>
                <w:rFonts w:hint="eastAsia"/>
                <w:color w:val="auto"/>
                <w:szCs w:val="24"/>
                <w:lang w:val="en-US" w:eastAsia="zh-CN"/>
              </w:rPr>
              <w:t>d</w:t>
            </w:r>
            <w:r>
              <w:rPr>
                <w:rFonts w:hint="eastAsia"/>
                <w:color w:val="auto"/>
                <w:szCs w:val="24"/>
              </w:rPr>
              <w:t>）</w:t>
            </w:r>
            <w:r>
              <w:rPr>
                <w:rFonts w:hint="eastAsia"/>
                <w:color w:val="auto"/>
              </w:rPr>
              <w:t>生产</w:t>
            </w:r>
            <w:r>
              <w:rPr>
                <w:color w:val="auto"/>
              </w:rPr>
              <w:t>异味</w:t>
            </w:r>
          </w:p>
          <w:p>
            <w:pPr>
              <w:spacing w:line="360" w:lineRule="auto"/>
              <w:ind w:firstLine="480" w:firstLineChars="200"/>
              <w:rPr>
                <w:rFonts w:hint="eastAsia" w:eastAsia="宋体"/>
                <w:color w:val="auto"/>
                <w:sz w:val="24"/>
                <w:lang w:val="en-US" w:eastAsia="zh-CN"/>
              </w:rPr>
            </w:pPr>
            <w:r>
              <w:rPr>
                <w:rFonts w:hint="eastAsia"/>
                <w:color w:val="auto"/>
                <w:sz w:val="24"/>
                <w:lang w:val="en-US" w:eastAsia="zh-CN"/>
              </w:rPr>
              <w:t>喷塑及油漆过程产生的废气</w:t>
            </w:r>
            <w:r>
              <w:rPr>
                <w:rFonts w:hint="eastAsia" w:eastAsia="宋体"/>
                <w:color w:val="auto"/>
                <w:sz w:val="24"/>
                <w:lang w:val="en-US" w:eastAsia="zh-CN"/>
              </w:rPr>
              <w:t>具有一定的刺激性气味，更多地表现为恶臭。恶臭为人们对恶臭物质所感知的一种污染指标。其主要物质种类达上万种之多。由于其各种物质之间的相互作用（相加、协同、抵消及掩饰作用等），加之人类的嗅觉功能和恶臭物质取样分析等因素，迄今还难以对大多数恶臭物质作出浓度标准。企业对</w:t>
            </w:r>
            <w:r>
              <w:rPr>
                <w:rFonts w:hint="eastAsia"/>
                <w:color w:val="auto"/>
                <w:sz w:val="24"/>
                <w:lang w:val="en-US" w:eastAsia="zh-CN"/>
              </w:rPr>
              <w:t>喷塑</w:t>
            </w:r>
            <w:r>
              <w:rPr>
                <w:rFonts w:hint="eastAsia" w:eastAsia="宋体"/>
                <w:color w:val="auto"/>
                <w:sz w:val="24"/>
                <w:lang w:val="en-US" w:eastAsia="zh-CN"/>
              </w:rPr>
              <w:t>工序及</w:t>
            </w:r>
            <w:r>
              <w:rPr>
                <w:rFonts w:hint="eastAsia"/>
                <w:color w:val="auto"/>
                <w:sz w:val="24"/>
                <w:lang w:val="en-US" w:eastAsia="zh-CN"/>
              </w:rPr>
              <w:t>油漆工序产生的废气均</w:t>
            </w:r>
            <w:r>
              <w:rPr>
                <w:rFonts w:hint="eastAsia" w:eastAsia="宋体"/>
                <w:color w:val="auto"/>
                <w:sz w:val="24"/>
                <w:lang w:val="en-US" w:eastAsia="zh-CN"/>
              </w:rPr>
              <w:t>设有废气收集装置，经收集净化后</w:t>
            </w:r>
            <w:r>
              <w:rPr>
                <w:rFonts w:hint="default" w:eastAsia="宋体"/>
                <w:color w:val="auto"/>
                <w:sz w:val="24"/>
                <w:lang w:val="en-US" w:eastAsia="zh-CN"/>
              </w:rPr>
              <w:t>15m</w:t>
            </w:r>
            <w:r>
              <w:rPr>
                <w:rFonts w:hint="eastAsia" w:eastAsia="宋体"/>
                <w:color w:val="auto"/>
                <w:sz w:val="24"/>
                <w:lang w:val="en-US" w:eastAsia="zh-CN"/>
              </w:rPr>
              <w:t>高空排放，排放的臭气浓度较低，对周围环境影响较小。</w:t>
            </w:r>
          </w:p>
          <w:p>
            <w:pPr>
              <w:pStyle w:val="40"/>
              <w:spacing w:line="240" w:lineRule="auto"/>
              <w:rPr>
                <w:color w:val="FF0000"/>
              </w:rPr>
            </w:pPr>
          </w:p>
          <w:p>
            <w:pPr>
              <w:tabs>
                <w:tab w:val="left" w:pos="4288"/>
              </w:tabs>
              <w:spacing w:line="360" w:lineRule="auto"/>
              <w:ind w:firstLine="480" w:firstLineChars="200"/>
              <w:outlineLvl w:val="2"/>
              <w:rPr>
                <w:color w:val="auto"/>
                <w:szCs w:val="24"/>
              </w:rPr>
            </w:pPr>
            <w:r>
              <w:rPr>
                <w:rFonts w:hint="eastAsia"/>
                <w:color w:val="auto"/>
                <w:szCs w:val="24"/>
              </w:rPr>
              <w:t>（2）非正常工况</w:t>
            </w:r>
          </w:p>
          <w:p>
            <w:pPr>
              <w:spacing w:line="360" w:lineRule="auto"/>
              <w:ind w:firstLine="480" w:firstLineChars="200"/>
              <w:rPr>
                <w:color w:val="auto"/>
                <w:szCs w:val="24"/>
              </w:rPr>
            </w:pPr>
            <w:r>
              <w:rPr>
                <w:rFonts w:hint="eastAsia"/>
                <w:color w:val="auto"/>
                <w:szCs w:val="24"/>
              </w:rPr>
              <w:t>项目非正常排放可能有两种情况，一是停电、二是环保设施故障。</w:t>
            </w:r>
          </w:p>
          <w:p>
            <w:pPr>
              <w:spacing w:line="360" w:lineRule="auto"/>
              <w:ind w:firstLine="480" w:firstLineChars="200"/>
              <w:rPr>
                <w:color w:val="auto"/>
                <w:szCs w:val="24"/>
              </w:rPr>
            </w:pPr>
            <w:r>
              <w:rPr>
                <w:rFonts w:hint="eastAsia"/>
                <w:color w:val="auto"/>
                <w:szCs w:val="24"/>
              </w:rPr>
              <w:t>①停电事故。停电包括两种情况，一是计划性停电，二是突发性停电。考虑到一旦停电，项目设备均无法运行，故不考虑停电状态下非正常排放情况。</w:t>
            </w:r>
          </w:p>
          <w:p>
            <w:pPr>
              <w:spacing w:line="360" w:lineRule="auto"/>
              <w:ind w:firstLine="480" w:firstLineChars="200"/>
              <w:rPr>
                <w:rFonts w:hint="eastAsia"/>
                <w:color w:val="auto"/>
                <w:szCs w:val="24"/>
              </w:rPr>
            </w:pPr>
            <w:r>
              <w:rPr>
                <w:rFonts w:hint="eastAsia"/>
                <w:color w:val="auto"/>
                <w:szCs w:val="24"/>
              </w:rPr>
              <w:t>②环保设施故障。</w:t>
            </w:r>
            <w:r>
              <w:rPr>
                <w:rFonts w:hint="eastAsia"/>
                <w:color w:val="auto"/>
              </w:rPr>
              <w:t>本项目废气环保设施主要是</w:t>
            </w:r>
            <w:r>
              <w:rPr>
                <w:rFonts w:hint="eastAsia"/>
                <w:color w:val="auto"/>
                <w:szCs w:val="24"/>
                <w:lang w:val="en-US" w:eastAsia="zh-CN"/>
              </w:rPr>
              <w:t>4套</w:t>
            </w:r>
            <w:r>
              <w:rPr>
                <w:rFonts w:hint="eastAsia"/>
                <w:color w:val="auto"/>
                <w:lang w:val="en-US" w:eastAsia="zh-CN"/>
              </w:rPr>
              <w:t>脉冲布袋除尘装置、1套两级活性炭吸附装置、1套水喷淋+</w:t>
            </w:r>
            <w:r>
              <w:rPr>
                <w:color w:val="auto"/>
              </w:rPr>
              <w:t>干式过滤+</w:t>
            </w:r>
            <w:r>
              <w:rPr>
                <w:rFonts w:hint="eastAsia"/>
                <w:color w:val="auto"/>
                <w:lang w:val="en-US" w:eastAsia="zh-CN"/>
              </w:rPr>
              <w:t>活性炭吸脱附</w:t>
            </w:r>
            <w:r>
              <w:rPr>
                <w:color w:val="auto"/>
              </w:rPr>
              <w:t>装置</w:t>
            </w:r>
            <w:r>
              <w:rPr>
                <w:rFonts w:hint="eastAsia"/>
                <w:color w:val="auto"/>
                <w:lang w:eastAsia="zh-CN"/>
              </w:rPr>
              <w:t>、</w:t>
            </w:r>
            <w:r>
              <w:rPr>
                <w:rFonts w:hint="eastAsia"/>
                <w:color w:val="auto"/>
                <w:lang w:val="en-US" w:eastAsia="zh-CN"/>
              </w:rPr>
              <w:t>4套滤芯除尘+脉冲布袋除尘器+两级活性炭吸附装置（其中2套无排气筒）</w:t>
            </w:r>
            <w:r>
              <w:rPr>
                <w:rFonts w:hint="eastAsia"/>
                <w:color w:val="auto"/>
              </w:rPr>
              <w:t>，</w:t>
            </w:r>
            <w:r>
              <w:rPr>
                <w:rFonts w:hint="eastAsia"/>
                <w:color w:val="auto"/>
                <w:szCs w:val="24"/>
              </w:rPr>
              <w:t>本环</w:t>
            </w:r>
            <w:r>
              <w:rPr>
                <w:rFonts w:hint="eastAsia" w:ascii="Times New Roman" w:hAnsi="Times New Roman" w:eastAsia="宋体" w:cs="Times New Roman"/>
                <w:color w:val="auto"/>
                <w:szCs w:val="24"/>
              </w:rPr>
              <w:t>评考虑</w:t>
            </w:r>
            <w:r>
              <w:rPr>
                <w:rFonts w:hint="eastAsia"/>
                <w:color w:val="auto"/>
                <w:szCs w:val="24"/>
                <w:lang w:val="en-US" w:eastAsia="zh-CN"/>
              </w:rPr>
              <w:t>除尘装置</w:t>
            </w:r>
            <w:r>
              <w:rPr>
                <w:rFonts w:hint="eastAsia" w:ascii="Times New Roman" w:hAnsi="Times New Roman" w:eastAsia="宋体" w:cs="Times New Roman"/>
                <w:color w:val="auto"/>
                <w:szCs w:val="24"/>
              </w:rPr>
              <w:t>处理效率下降为</w:t>
            </w:r>
            <w:r>
              <w:rPr>
                <w:rFonts w:hint="eastAsia" w:cs="Times New Roman"/>
                <w:color w:val="auto"/>
                <w:szCs w:val="24"/>
                <w:lang w:val="en-US" w:eastAsia="zh-CN"/>
              </w:rPr>
              <w:t>80%，有机废气处理装置</w:t>
            </w:r>
            <w:r>
              <w:rPr>
                <w:rFonts w:hint="eastAsia" w:ascii="Times New Roman" w:hAnsi="Times New Roman" w:eastAsia="宋体" w:cs="Times New Roman"/>
                <w:color w:val="auto"/>
                <w:szCs w:val="24"/>
              </w:rPr>
              <w:t>效率下降为</w:t>
            </w:r>
            <w:r>
              <w:rPr>
                <w:rFonts w:hint="eastAsia" w:cs="Times New Roman"/>
                <w:color w:val="auto"/>
                <w:szCs w:val="24"/>
                <w:lang w:val="en-US" w:eastAsia="zh-CN"/>
              </w:rPr>
              <w:t>0</w:t>
            </w:r>
            <w:r>
              <w:rPr>
                <w:rFonts w:hint="eastAsia"/>
                <w:color w:val="auto"/>
                <w:szCs w:val="24"/>
              </w:rPr>
              <w:t>来核算事故工况时废气污染物排放。废气非正常工况源强情况见表4-</w:t>
            </w:r>
            <w:r>
              <w:rPr>
                <w:rFonts w:hint="eastAsia"/>
                <w:color w:val="auto"/>
                <w:szCs w:val="24"/>
                <w:lang w:val="en-US" w:eastAsia="zh-CN"/>
              </w:rPr>
              <w:t>7</w:t>
            </w:r>
            <w:r>
              <w:rPr>
                <w:rFonts w:hint="eastAsia"/>
                <w:color w:val="auto"/>
                <w:szCs w:val="24"/>
              </w:rPr>
              <w:t>。</w:t>
            </w:r>
          </w:p>
          <w:p>
            <w:pPr>
              <w:tabs>
                <w:tab w:val="left" w:pos="677"/>
              </w:tabs>
              <w:spacing w:line="460" w:lineRule="exact"/>
              <w:jc w:val="center"/>
              <w:rPr>
                <w:rFonts w:hint="eastAsia" w:ascii="Times New Roman" w:hAnsi="Times New Roman" w:eastAsia="宋体" w:cs="Times New Roman"/>
                <w:b/>
                <w:color w:val="auto"/>
              </w:rPr>
            </w:pPr>
            <w:r>
              <w:rPr>
                <w:rFonts w:hint="eastAsia" w:ascii="Times New Roman" w:hAnsi="Times New Roman" w:eastAsia="宋体" w:cs="Times New Roman"/>
                <w:b/>
                <w:color w:val="auto"/>
              </w:rPr>
              <w:t>表4-</w:t>
            </w:r>
            <w:r>
              <w:rPr>
                <w:rFonts w:hint="eastAsia" w:cs="Times New Roman"/>
                <w:b/>
                <w:color w:val="auto"/>
                <w:lang w:val="en-US" w:eastAsia="zh-CN"/>
              </w:rPr>
              <w:t>7</w:t>
            </w:r>
            <w:r>
              <w:rPr>
                <w:rFonts w:hint="eastAsia" w:ascii="Times New Roman" w:hAnsi="Times New Roman" w:eastAsia="宋体" w:cs="Times New Roman"/>
                <w:b/>
                <w:color w:val="auto"/>
              </w:rPr>
              <w:t xml:space="preserve">  废气非正常工况排放量核算表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
              <w:gridCol w:w="1453"/>
              <w:gridCol w:w="858"/>
              <w:gridCol w:w="925"/>
              <w:gridCol w:w="1047"/>
              <w:gridCol w:w="660"/>
              <w:gridCol w:w="680"/>
              <w:gridCol w:w="8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86" w:type="dxa"/>
                  <w:vAlign w:val="center"/>
                </w:tcPr>
                <w:p>
                  <w:pPr>
                    <w:jc w:val="center"/>
                    <w:rPr>
                      <w:b/>
                      <w:color w:val="auto"/>
                      <w:sz w:val="21"/>
                      <w:szCs w:val="21"/>
                    </w:rPr>
                  </w:pPr>
                  <w:r>
                    <w:rPr>
                      <w:rFonts w:hint="eastAsia"/>
                      <w:b/>
                      <w:color w:val="auto"/>
                      <w:sz w:val="21"/>
                      <w:szCs w:val="21"/>
                    </w:rPr>
                    <w:t>非正常排放源</w:t>
                  </w:r>
                </w:p>
              </w:tc>
              <w:tc>
                <w:tcPr>
                  <w:tcW w:w="1453" w:type="dxa"/>
                  <w:vAlign w:val="center"/>
                </w:tcPr>
                <w:p>
                  <w:pPr>
                    <w:jc w:val="center"/>
                    <w:rPr>
                      <w:b/>
                      <w:color w:val="auto"/>
                      <w:sz w:val="21"/>
                      <w:szCs w:val="21"/>
                    </w:rPr>
                  </w:pPr>
                  <w:r>
                    <w:rPr>
                      <w:rFonts w:hint="eastAsia"/>
                      <w:b/>
                      <w:color w:val="auto"/>
                      <w:sz w:val="21"/>
                      <w:szCs w:val="21"/>
                    </w:rPr>
                    <w:t>非正常排放原因</w:t>
                  </w:r>
                </w:p>
              </w:tc>
              <w:tc>
                <w:tcPr>
                  <w:tcW w:w="858" w:type="dxa"/>
                  <w:vAlign w:val="center"/>
                </w:tcPr>
                <w:p>
                  <w:pPr>
                    <w:jc w:val="center"/>
                    <w:rPr>
                      <w:b/>
                      <w:color w:val="auto"/>
                      <w:sz w:val="21"/>
                      <w:szCs w:val="21"/>
                    </w:rPr>
                  </w:pPr>
                  <w:r>
                    <w:rPr>
                      <w:rFonts w:hint="eastAsia"/>
                      <w:b/>
                      <w:color w:val="auto"/>
                      <w:sz w:val="21"/>
                      <w:szCs w:val="21"/>
                    </w:rPr>
                    <w:t>污染物</w:t>
                  </w:r>
                </w:p>
              </w:tc>
              <w:tc>
                <w:tcPr>
                  <w:tcW w:w="925" w:type="dxa"/>
                  <w:vAlign w:val="center"/>
                </w:tcPr>
                <w:p>
                  <w:pPr>
                    <w:jc w:val="center"/>
                    <w:rPr>
                      <w:b/>
                      <w:color w:val="auto"/>
                      <w:sz w:val="21"/>
                      <w:szCs w:val="21"/>
                    </w:rPr>
                  </w:pPr>
                  <w:r>
                    <w:rPr>
                      <w:rFonts w:hint="eastAsia"/>
                      <w:b/>
                      <w:color w:val="auto"/>
                      <w:sz w:val="21"/>
                      <w:szCs w:val="21"/>
                    </w:rPr>
                    <w:t>非正常排放速率kg/h</w:t>
                  </w:r>
                </w:p>
              </w:tc>
              <w:tc>
                <w:tcPr>
                  <w:tcW w:w="1047" w:type="dxa"/>
                  <w:vAlign w:val="center"/>
                </w:tcPr>
                <w:p>
                  <w:pPr>
                    <w:jc w:val="center"/>
                    <w:rPr>
                      <w:b/>
                      <w:color w:val="auto"/>
                      <w:sz w:val="21"/>
                      <w:szCs w:val="21"/>
                    </w:rPr>
                  </w:pPr>
                  <w:r>
                    <w:rPr>
                      <w:rFonts w:hint="eastAsia"/>
                      <w:b/>
                      <w:color w:val="auto"/>
                      <w:sz w:val="21"/>
                      <w:szCs w:val="21"/>
                    </w:rPr>
                    <w:t>非正常排放浓度mg/m</w:t>
                  </w:r>
                  <w:r>
                    <w:rPr>
                      <w:rFonts w:hint="eastAsia"/>
                      <w:b/>
                      <w:color w:val="auto"/>
                      <w:sz w:val="21"/>
                      <w:szCs w:val="21"/>
                      <w:vertAlign w:val="superscript"/>
                    </w:rPr>
                    <w:t>3</w:t>
                  </w:r>
                </w:p>
              </w:tc>
              <w:tc>
                <w:tcPr>
                  <w:tcW w:w="660" w:type="dxa"/>
                  <w:vAlign w:val="center"/>
                </w:tcPr>
                <w:p>
                  <w:pPr>
                    <w:jc w:val="center"/>
                    <w:rPr>
                      <w:b/>
                      <w:color w:val="auto"/>
                      <w:sz w:val="21"/>
                      <w:szCs w:val="21"/>
                    </w:rPr>
                  </w:pPr>
                  <w:r>
                    <w:rPr>
                      <w:rFonts w:hint="eastAsia"/>
                      <w:b/>
                      <w:color w:val="auto"/>
                      <w:sz w:val="21"/>
                      <w:szCs w:val="21"/>
                    </w:rPr>
                    <w:t>单次持续时间</w:t>
                  </w:r>
                </w:p>
              </w:tc>
              <w:tc>
                <w:tcPr>
                  <w:tcW w:w="680" w:type="dxa"/>
                  <w:vAlign w:val="center"/>
                </w:tcPr>
                <w:p>
                  <w:pPr>
                    <w:jc w:val="center"/>
                    <w:rPr>
                      <w:b/>
                      <w:color w:val="auto"/>
                      <w:sz w:val="21"/>
                      <w:szCs w:val="21"/>
                    </w:rPr>
                  </w:pPr>
                  <w:r>
                    <w:rPr>
                      <w:rFonts w:hint="eastAsia"/>
                      <w:b/>
                      <w:color w:val="auto"/>
                      <w:sz w:val="21"/>
                      <w:szCs w:val="21"/>
                    </w:rPr>
                    <w:t>年发生频次</w:t>
                  </w:r>
                </w:p>
              </w:tc>
              <w:tc>
                <w:tcPr>
                  <w:tcW w:w="861" w:type="dxa"/>
                  <w:vAlign w:val="center"/>
                </w:tcPr>
                <w:p>
                  <w:pPr>
                    <w:jc w:val="center"/>
                    <w:rPr>
                      <w:b/>
                      <w:color w:val="auto"/>
                      <w:sz w:val="21"/>
                      <w:szCs w:val="21"/>
                    </w:rPr>
                  </w:pPr>
                  <w:r>
                    <w:rPr>
                      <w:rFonts w:hint="eastAsia"/>
                      <w:b/>
                      <w:color w:val="auto"/>
                      <w:sz w:val="21"/>
                      <w:szCs w:val="21"/>
                    </w:rPr>
                    <w:t>应对措施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Align w:val="center"/>
                </w:tcPr>
                <w:p>
                  <w:pPr>
                    <w:jc w:val="center"/>
                    <w:rPr>
                      <w:rFonts w:hint="default"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04</w:t>
                  </w:r>
                </w:p>
              </w:tc>
              <w:tc>
                <w:tcPr>
                  <w:tcW w:w="1453" w:type="dxa"/>
                  <w:vAlign w:val="center"/>
                </w:tcPr>
                <w:p>
                  <w:pPr>
                    <w:jc w:val="center"/>
                    <w:rPr>
                      <w:rFonts w:hint="default" w:eastAsia="宋体"/>
                      <w:bCs/>
                      <w:color w:val="auto"/>
                      <w:sz w:val="21"/>
                      <w:szCs w:val="21"/>
                      <w:lang w:val="en-US" w:eastAsia="zh-CN"/>
                    </w:rPr>
                  </w:pPr>
                  <w:r>
                    <w:rPr>
                      <w:rFonts w:hint="eastAsia"/>
                      <w:bCs/>
                      <w:color w:val="auto"/>
                      <w:sz w:val="21"/>
                      <w:szCs w:val="21"/>
                      <w:lang w:val="en-US" w:eastAsia="zh-CN"/>
                    </w:rPr>
                    <w:t>除尘装置</w:t>
                  </w:r>
                  <w:r>
                    <w:rPr>
                      <w:rFonts w:hint="eastAsia"/>
                      <w:bCs/>
                      <w:color w:val="auto"/>
                      <w:sz w:val="21"/>
                      <w:szCs w:val="21"/>
                    </w:rPr>
                    <w:t>效率降为</w:t>
                  </w:r>
                  <w:r>
                    <w:rPr>
                      <w:rFonts w:hint="eastAsia"/>
                      <w:bCs/>
                      <w:color w:val="auto"/>
                      <w:sz w:val="21"/>
                      <w:szCs w:val="21"/>
                      <w:lang w:val="en-US" w:eastAsia="zh-CN"/>
                    </w:rPr>
                    <w:t>80%</w:t>
                  </w:r>
                </w:p>
              </w:tc>
              <w:tc>
                <w:tcPr>
                  <w:tcW w:w="858" w:type="dxa"/>
                  <w:vAlign w:val="center"/>
                </w:tcPr>
                <w:p>
                  <w:pPr>
                    <w:jc w:val="center"/>
                    <w:rPr>
                      <w:rFonts w:hint="eastAsia" w:eastAsia="宋体"/>
                      <w:bCs/>
                      <w:color w:val="auto"/>
                      <w:sz w:val="21"/>
                      <w:szCs w:val="21"/>
                      <w:lang w:eastAsia="zh-CN"/>
                    </w:rPr>
                  </w:pPr>
                  <w:r>
                    <w:rPr>
                      <w:rFonts w:hint="eastAsia"/>
                      <w:bCs/>
                      <w:color w:val="auto"/>
                      <w:sz w:val="21"/>
                      <w:szCs w:val="21"/>
                      <w:lang w:val="en-US" w:eastAsia="zh-CN"/>
                    </w:rPr>
                    <w:t>颗粒物</w:t>
                  </w:r>
                </w:p>
              </w:tc>
              <w:tc>
                <w:tcPr>
                  <w:tcW w:w="925" w:type="dxa"/>
                  <w:vAlign w:val="center"/>
                </w:tcPr>
                <w:p>
                  <w:pPr>
                    <w:jc w:val="center"/>
                    <w:rPr>
                      <w:rFonts w:hint="default" w:eastAsia="宋体"/>
                      <w:bCs/>
                      <w:color w:val="auto"/>
                      <w:sz w:val="21"/>
                      <w:szCs w:val="21"/>
                      <w:lang w:val="en-US" w:eastAsia="zh-CN"/>
                    </w:rPr>
                  </w:pPr>
                  <w:r>
                    <w:rPr>
                      <w:rFonts w:hint="eastAsia"/>
                      <w:bCs/>
                      <w:color w:val="auto"/>
                      <w:sz w:val="21"/>
                      <w:szCs w:val="21"/>
                      <w:lang w:val="en-US" w:eastAsia="zh-CN"/>
                    </w:rPr>
                    <w:t>0.7802</w:t>
                  </w:r>
                </w:p>
              </w:tc>
              <w:tc>
                <w:tcPr>
                  <w:tcW w:w="1047" w:type="dxa"/>
                  <w:vAlign w:val="center"/>
                </w:tcPr>
                <w:p>
                  <w:pPr>
                    <w:jc w:val="center"/>
                    <w:rPr>
                      <w:rFonts w:hint="default" w:eastAsia="宋体"/>
                      <w:bCs/>
                      <w:color w:val="auto"/>
                      <w:sz w:val="21"/>
                      <w:szCs w:val="21"/>
                      <w:lang w:val="en-US" w:eastAsia="zh-CN"/>
                    </w:rPr>
                  </w:pPr>
                  <w:r>
                    <w:rPr>
                      <w:rFonts w:hint="eastAsia"/>
                      <w:bCs/>
                      <w:color w:val="auto"/>
                      <w:sz w:val="21"/>
                      <w:szCs w:val="21"/>
                      <w:lang w:val="en-US" w:eastAsia="zh-CN"/>
                    </w:rPr>
                    <w:t>19.505</w:t>
                  </w:r>
                </w:p>
              </w:tc>
              <w:tc>
                <w:tcPr>
                  <w:tcW w:w="660" w:type="dxa"/>
                  <w:vAlign w:val="center"/>
                </w:tcPr>
                <w:p>
                  <w:pPr>
                    <w:jc w:val="center"/>
                    <w:rPr>
                      <w:bCs/>
                      <w:color w:val="auto"/>
                      <w:sz w:val="21"/>
                      <w:szCs w:val="21"/>
                    </w:rPr>
                  </w:pPr>
                  <w:r>
                    <w:rPr>
                      <w:rFonts w:hint="eastAsia"/>
                      <w:bCs/>
                      <w:color w:val="auto"/>
                      <w:sz w:val="21"/>
                      <w:szCs w:val="21"/>
                    </w:rPr>
                    <w:t>1</w:t>
                  </w:r>
                </w:p>
              </w:tc>
              <w:tc>
                <w:tcPr>
                  <w:tcW w:w="680" w:type="dxa"/>
                  <w:vAlign w:val="center"/>
                </w:tcPr>
                <w:p>
                  <w:pPr>
                    <w:jc w:val="center"/>
                    <w:rPr>
                      <w:bCs/>
                      <w:color w:val="auto"/>
                      <w:sz w:val="21"/>
                      <w:szCs w:val="21"/>
                    </w:rPr>
                  </w:pPr>
                  <w:r>
                    <w:rPr>
                      <w:rFonts w:hint="eastAsia"/>
                      <w:bCs/>
                      <w:color w:val="auto"/>
                      <w:sz w:val="21"/>
                      <w:szCs w:val="21"/>
                    </w:rPr>
                    <w:t>1</w:t>
                  </w:r>
                </w:p>
              </w:tc>
              <w:tc>
                <w:tcPr>
                  <w:tcW w:w="861" w:type="dxa"/>
                  <w:vMerge w:val="restart"/>
                  <w:vAlign w:val="center"/>
                </w:tcPr>
                <w:p>
                  <w:pPr>
                    <w:jc w:val="center"/>
                    <w:rPr>
                      <w:bCs/>
                      <w:color w:val="auto"/>
                      <w:sz w:val="21"/>
                      <w:szCs w:val="21"/>
                    </w:rPr>
                  </w:pPr>
                  <w:r>
                    <w:rPr>
                      <w:rFonts w:hint="eastAsia"/>
                      <w:bCs/>
                      <w:color w:val="auto"/>
                      <w:sz w:val="21"/>
                      <w:szCs w:val="21"/>
                    </w:rPr>
                    <w:t>立即停止生产，关闭排放阀，及时维修设备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02</w:t>
                  </w: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除尘装置</w:t>
                  </w:r>
                  <w:r>
                    <w:rPr>
                      <w:rFonts w:hint="eastAsia"/>
                      <w:bCs/>
                      <w:color w:val="auto"/>
                      <w:sz w:val="21"/>
                      <w:szCs w:val="21"/>
                    </w:rPr>
                    <w:t>效率降为</w:t>
                  </w:r>
                  <w:r>
                    <w:rPr>
                      <w:rFonts w:hint="eastAsia"/>
                      <w:bCs/>
                      <w:color w:val="auto"/>
                      <w:sz w:val="21"/>
                      <w:szCs w:val="21"/>
                      <w:lang w:val="en-US" w:eastAsia="zh-CN"/>
                    </w:rPr>
                    <w:t>80%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颗粒物</w:t>
                  </w:r>
                </w:p>
              </w:tc>
              <w:tc>
                <w:tcPr>
                  <w:tcW w:w="925" w:type="dxa"/>
                  <w:vAlign w:val="center"/>
                </w:tcPr>
                <w:p>
                  <w:pPr>
                    <w:jc w:val="center"/>
                    <w:rPr>
                      <w:rFonts w:hint="default"/>
                      <w:bCs/>
                      <w:color w:val="auto"/>
                      <w:sz w:val="21"/>
                      <w:szCs w:val="21"/>
                      <w:lang w:val="en-US" w:eastAsia="zh-CN"/>
                    </w:rPr>
                  </w:pPr>
                  <w:r>
                    <w:rPr>
                      <w:rFonts w:hint="eastAsia"/>
                      <w:bCs/>
                      <w:color w:val="auto"/>
                      <w:sz w:val="21"/>
                      <w:szCs w:val="21"/>
                      <w:lang w:val="en-US" w:eastAsia="zh-CN"/>
                    </w:rPr>
                    <w:t>0.7802</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39.909</w:t>
                  </w:r>
                </w:p>
              </w:tc>
              <w:tc>
                <w:tcPr>
                  <w:tcW w:w="66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1</w:t>
                  </w:r>
                </w:p>
              </w:tc>
              <w:tc>
                <w:tcPr>
                  <w:tcW w:w="68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07</w:t>
                  </w: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除尘装置</w:t>
                  </w:r>
                  <w:r>
                    <w:rPr>
                      <w:rFonts w:hint="eastAsia"/>
                      <w:bCs/>
                      <w:color w:val="auto"/>
                      <w:sz w:val="21"/>
                      <w:szCs w:val="21"/>
                    </w:rPr>
                    <w:t>效率降为</w:t>
                  </w:r>
                  <w:r>
                    <w:rPr>
                      <w:rFonts w:hint="eastAsia"/>
                      <w:bCs/>
                      <w:color w:val="auto"/>
                      <w:sz w:val="21"/>
                      <w:szCs w:val="21"/>
                      <w:lang w:val="en-US" w:eastAsia="zh-CN"/>
                    </w:rPr>
                    <w:t>80%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颗粒物</w:t>
                  </w:r>
                </w:p>
              </w:tc>
              <w:tc>
                <w:tcPr>
                  <w:tcW w:w="925" w:type="dxa"/>
                  <w:vAlign w:val="center"/>
                </w:tcPr>
                <w:p>
                  <w:pPr>
                    <w:jc w:val="center"/>
                    <w:rPr>
                      <w:rFonts w:hint="default"/>
                      <w:bCs/>
                      <w:color w:val="auto"/>
                      <w:sz w:val="21"/>
                      <w:szCs w:val="21"/>
                      <w:lang w:val="en-US" w:eastAsia="zh-CN"/>
                    </w:rPr>
                  </w:pPr>
                  <w:r>
                    <w:rPr>
                      <w:rFonts w:hint="eastAsia"/>
                      <w:bCs/>
                      <w:color w:val="auto"/>
                      <w:sz w:val="21"/>
                      <w:szCs w:val="21"/>
                      <w:lang w:val="en-US" w:eastAsia="zh-CN"/>
                    </w:rPr>
                    <w:t>3.1208</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78.019</w:t>
                  </w:r>
                </w:p>
              </w:tc>
              <w:tc>
                <w:tcPr>
                  <w:tcW w:w="66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1</w:t>
                  </w:r>
                </w:p>
              </w:tc>
              <w:tc>
                <w:tcPr>
                  <w:tcW w:w="68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06</w:t>
                  </w: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除尘装置</w:t>
                  </w:r>
                  <w:r>
                    <w:rPr>
                      <w:rFonts w:hint="eastAsia"/>
                      <w:bCs/>
                      <w:color w:val="auto"/>
                      <w:sz w:val="21"/>
                      <w:szCs w:val="21"/>
                    </w:rPr>
                    <w:t>效率降为</w:t>
                  </w:r>
                  <w:r>
                    <w:rPr>
                      <w:rFonts w:hint="eastAsia"/>
                      <w:bCs/>
                      <w:color w:val="auto"/>
                      <w:sz w:val="21"/>
                      <w:szCs w:val="21"/>
                      <w:lang w:val="en-US" w:eastAsia="zh-CN"/>
                    </w:rPr>
                    <w:t>80%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颗粒物</w:t>
                  </w:r>
                </w:p>
              </w:tc>
              <w:tc>
                <w:tcPr>
                  <w:tcW w:w="925" w:type="dxa"/>
                  <w:vAlign w:val="center"/>
                </w:tcPr>
                <w:p>
                  <w:pPr>
                    <w:jc w:val="center"/>
                    <w:rPr>
                      <w:rFonts w:hint="eastAsia"/>
                      <w:bCs/>
                      <w:color w:val="auto"/>
                      <w:sz w:val="21"/>
                      <w:szCs w:val="21"/>
                      <w:lang w:val="en-US" w:eastAsia="zh-CN"/>
                    </w:rPr>
                  </w:pPr>
                  <w:r>
                    <w:rPr>
                      <w:rFonts w:hint="eastAsia"/>
                      <w:bCs/>
                      <w:color w:val="auto"/>
                      <w:sz w:val="21"/>
                      <w:szCs w:val="21"/>
                      <w:lang w:val="en-US" w:eastAsia="zh-CN"/>
                    </w:rPr>
                    <w:t>3.1208</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156.038</w:t>
                  </w:r>
                </w:p>
              </w:tc>
              <w:tc>
                <w:tcPr>
                  <w:tcW w:w="66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1</w:t>
                  </w:r>
                </w:p>
              </w:tc>
              <w:tc>
                <w:tcPr>
                  <w:tcW w:w="68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01</w:t>
                  </w:r>
                </w:p>
              </w:tc>
              <w:tc>
                <w:tcPr>
                  <w:tcW w:w="1453" w:type="dxa"/>
                  <w:vAlign w:val="center"/>
                </w:tcPr>
                <w:p>
                  <w:pPr>
                    <w:jc w:val="center"/>
                    <w:rPr>
                      <w:rFonts w:hint="eastAsia" w:eastAsia="宋体"/>
                      <w:bCs/>
                      <w:color w:val="auto"/>
                      <w:sz w:val="21"/>
                      <w:szCs w:val="21"/>
                      <w:lang w:val="en-US" w:eastAsia="zh-CN"/>
                    </w:rPr>
                  </w:pPr>
                  <w:r>
                    <w:rPr>
                      <w:rFonts w:hint="eastAsia"/>
                      <w:bCs/>
                      <w:color w:val="auto"/>
                      <w:sz w:val="21"/>
                      <w:szCs w:val="21"/>
                      <w:lang w:val="en-US" w:eastAsia="zh-CN"/>
                    </w:rPr>
                    <w:t>有机废气处理装置</w:t>
                  </w:r>
                  <w:r>
                    <w:rPr>
                      <w:rFonts w:hint="eastAsia"/>
                      <w:bCs/>
                      <w:color w:val="auto"/>
                      <w:sz w:val="21"/>
                      <w:szCs w:val="21"/>
                    </w:rPr>
                    <w:t>降为</w:t>
                  </w:r>
                  <w:r>
                    <w:rPr>
                      <w:rFonts w:hint="eastAsia"/>
                      <w:bCs/>
                      <w:color w:val="auto"/>
                      <w:sz w:val="21"/>
                      <w:szCs w:val="21"/>
                      <w:lang w:val="en-US" w:eastAsia="zh-CN"/>
                    </w:rPr>
                    <w:t>0</w:t>
                  </w:r>
                </w:p>
              </w:tc>
              <w:tc>
                <w:tcPr>
                  <w:tcW w:w="858" w:type="dxa"/>
                  <w:vAlign w:val="center"/>
                </w:tcPr>
                <w:p>
                  <w:pPr>
                    <w:jc w:val="center"/>
                    <w:rPr>
                      <w:rFonts w:hint="default"/>
                      <w:bCs/>
                      <w:color w:val="auto"/>
                      <w:sz w:val="21"/>
                      <w:szCs w:val="21"/>
                      <w:lang w:val="en-US" w:eastAsia="zh-CN"/>
                    </w:rPr>
                  </w:pPr>
                  <w:r>
                    <w:rPr>
                      <w:rFonts w:hint="eastAsia"/>
                      <w:bCs/>
                      <w:color w:val="auto"/>
                      <w:sz w:val="21"/>
                      <w:szCs w:val="21"/>
                      <w:lang w:val="en-US" w:eastAsia="zh-CN"/>
                    </w:rPr>
                    <w:t>二甲苯</w:t>
                  </w:r>
                </w:p>
              </w:tc>
              <w:tc>
                <w:tcPr>
                  <w:tcW w:w="925" w:type="dxa"/>
                  <w:vAlign w:val="center"/>
                </w:tcPr>
                <w:p>
                  <w:pPr>
                    <w:jc w:val="center"/>
                    <w:rPr>
                      <w:rFonts w:hint="default"/>
                      <w:bCs/>
                      <w:color w:val="auto"/>
                      <w:sz w:val="21"/>
                      <w:szCs w:val="21"/>
                      <w:lang w:val="en-US" w:eastAsia="zh-CN"/>
                    </w:rPr>
                  </w:pPr>
                  <w:r>
                    <w:rPr>
                      <w:rFonts w:hint="eastAsia"/>
                      <w:bCs/>
                      <w:color w:val="auto"/>
                      <w:sz w:val="21"/>
                      <w:szCs w:val="21"/>
                      <w:lang w:val="en-US" w:eastAsia="zh-CN"/>
                    </w:rPr>
                    <w:t>0.15</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10</w:t>
                  </w:r>
                </w:p>
              </w:tc>
              <w:tc>
                <w:tcPr>
                  <w:tcW w:w="660" w:type="dxa"/>
                  <w:vAlign w:val="center"/>
                </w:tcPr>
                <w:p>
                  <w:pPr>
                    <w:jc w:val="center"/>
                    <w:rPr>
                      <w:rFonts w:hint="eastAsia" w:eastAsia="宋体"/>
                      <w:bCs/>
                      <w:color w:val="auto"/>
                      <w:sz w:val="21"/>
                      <w:szCs w:val="21"/>
                      <w:lang w:val="en-US" w:eastAsia="zh-CN"/>
                    </w:rPr>
                  </w:pPr>
                  <w:r>
                    <w:rPr>
                      <w:rFonts w:hint="eastAsia"/>
                      <w:bCs/>
                      <w:color w:val="auto"/>
                      <w:sz w:val="21"/>
                      <w:szCs w:val="21"/>
                      <w:lang w:val="en-US" w:eastAsia="zh-CN"/>
                    </w:rPr>
                    <w:t>1</w:t>
                  </w:r>
                </w:p>
              </w:tc>
              <w:tc>
                <w:tcPr>
                  <w:tcW w:w="680" w:type="dxa"/>
                  <w:vAlign w:val="center"/>
                </w:tcPr>
                <w:p>
                  <w:pPr>
                    <w:jc w:val="center"/>
                    <w:rPr>
                      <w:rFonts w:hint="eastAsia" w:eastAsia="宋体"/>
                      <w:bCs/>
                      <w:color w:val="auto"/>
                      <w:sz w:val="21"/>
                      <w:szCs w:val="21"/>
                      <w:lang w:val="en-US" w:eastAsia="zh-CN"/>
                    </w:rPr>
                  </w:pPr>
                  <w:r>
                    <w:rPr>
                      <w:rFonts w:hint="eastAsia"/>
                      <w:bCs/>
                      <w:color w:val="auto"/>
                      <w:sz w:val="21"/>
                      <w:szCs w:val="21"/>
                      <w:lang w:val="en-US" w:eastAsia="zh-CN"/>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05</w:t>
                  </w: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有机废气处理装置</w:t>
                  </w:r>
                  <w:r>
                    <w:rPr>
                      <w:rFonts w:hint="eastAsia"/>
                      <w:bCs/>
                      <w:color w:val="auto"/>
                      <w:sz w:val="21"/>
                      <w:szCs w:val="21"/>
                    </w:rPr>
                    <w:t>降为</w:t>
                  </w:r>
                  <w:r>
                    <w:rPr>
                      <w:rFonts w:hint="eastAsia"/>
                      <w:bCs/>
                      <w:color w:val="auto"/>
                      <w:sz w:val="21"/>
                      <w:szCs w:val="21"/>
                      <w:lang w:val="en-US" w:eastAsia="zh-CN"/>
                    </w:rPr>
                    <w:t>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二甲苯</w:t>
                  </w:r>
                </w:p>
              </w:tc>
              <w:tc>
                <w:tcPr>
                  <w:tcW w:w="925" w:type="dxa"/>
                  <w:vAlign w:val="center"/>
                </w:tcPr>
                <w:p>
                  <w:pPr>
                    <w:jc w:val="center"/>
                    <w:rPr>
                      <w:rFonts w:hint="default"/>
                      <w:bCs/>
                      <w:color w:val="auto"/>
                      <w:sz w:val="21"/>
                      <w:szCs w:val="21"/>
                      <w:lang w:val="en-US" w:eastAsia="zh-CN"/>
                    </w:rPr>
                  </w:pPr>
                  <w:r>
                    <w:rPr>
                      <w:rFonts w:hint="eastAsia"/>
                      <w:bCs/>
                      <w:color w:val="auto"/>
                      <w:sz w:val="21"/>
                      <w:szCs w:val="21"/>
                      <w:lang w:val="en-US" w:eastAsia="zh-CN"/>
                    </w:rPr>
                    <w:t>0.6</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40</w:t>
                  </w:r>
                </w:p>
              </w:tc>
              <w:tc>
                <w:tcPr>
                  <w:tcW w:w="660" w:type="dxa"/>
                  <w:vAlign w:val="center"/>
                </w:tcPr>
                <w:p>
                  <w:pPr>
                    <w:jc w:val="center"/>
                    <w:rPr>
                      <w:rFonts w:hint="eastAsia" w:eastAsia="宋体"/>
                      <w:bCs/>
                      <w:color w:val="auto"/>
                      <w:sz w:val="21"/>
                      <w:szCs w:val="21"/>
                      <w:lang w:val="en-US" w:eastAsia="zh-CN"/>
                    </w:rPr>
                  </w:pPr>
                  <w:r>
                    <w:rPr>
                      <w:rFonts w:hint="eastAsia"/>
                      <w:bCs/>
                      <w:color w:val="auto"/>
                      <w:sz w:val="21"/>
                      <w:szCs w:val="21"/>
                      <w:lang w:val="en-US" w:eastAsia="zh-CN"/>
                    </w:rPr>
                    <w:t>1</w:t>
                  </w:r>
                </w:p>
              </w:tc>
              <w:tc>
                <w:tcPr>
                  <w:tcW w:w="680" w:type="dxa"/>
                  <w:vAlign w:val="center"/>
                </w:tcPr>
                <w:p>
                  <w:pPr>
                    <w:jc w:val="center"/>
                    <w:rPr>
                      <w:rFonts w:hint="eastAsia" w:eastAsia="宋体"/>
                      <w:bCs/>
                      <w:color w:val="auto"/>
                      <w:sz w:val="21"/>
                      <w:szCs w:val="21"/>
                      <w:lang w:val="en-US" w:eastAsia="zh-CN"/>
                    </w:rPr>
                  </w:pPr>
                  <w:r>
                    <w:rPr>
                      <w:rFonts w:hint="eastAsia"/>
                      <w:bCs/>
                      <w:color w:val="auto"/>
                      <w:sz w:val="21"/>
                      <w:szCs w:val="21"/>
                      <w:lang w:val="en-US" w:eastAsia="zh-CN"/>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Merge w:val="restart"/>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03</w:t>
                  </w: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除尘装置</w:t>
                  </w:r>
                  <w:r>
                    <w:rPr>
                      <w:rFonts w:hint="eastAsia"/>
                      <w:bCs/>
                      <w:color w:val="auto"/>
                      <w:sz w:val="21"/>
                      <w:szCs w:val="21"/>
                    </w:rPr>
                    <w:t>效率降为</w:t>
                  </w:r>
                  <w:r>
                    <w:rPr>
                      <w:rFonts w:hint="eastAsia"/>
                      <w:bCs/>
                      <w:color w:val="auto"/>
                      <w:sz w:val="21"/>
                      <w:szCs w:val="21"/>
                      <w:lang w:val="en-US" w:eastAsia="zh-CN"/>
                    </w:rPr>
                    <w:t>80%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颗粒物</w:t>
                  </w:r>
                </w:p>
              </w:tc>
              <w:tc>
                <w:tcPr>
                  <w:tcW w:w="925" w:type="dxa"/>
                  <w:vAlign w:val="center"/>
                </w:tcPr>
                <w:p>
                  <w:pPr>
                    <w:jc w:val="center"/>
                    <w:rPr>
                      <w:rFonts w:hint="default"/>
                      <w:bCs/>
                      <w:color w:val="auto"/>
                      <w:sz w:val="21"/>
                      <w:szCs w:val="21"/>
                      <w:lang w:val="en-US" w:eastAsia="zh-CN"/>
                    </w:rPr>
                  </w:pPr>
                  <w:r>
                    <w:rPr>
                      <w:rFonts w:hint="eastAsia"/>
                      <w:bCs/>
                      <w:color w:val="auto"/>
                      <w:sz w:val="21"/>
                      <w:szCs w:val="21"/>
                      <w:lang w:val="en-US" w:eastAsia="zh-CN"/>
                    </w:rPr>
                    <w:t>0.5093</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25.463</w:t>
                  </w:r>
                </w:p>
              </w:tc>
              <w:tc>
                <w:tcPr>
                  <w:tcW w:w="660" w:type="dxa"/>
                  <w:vAlign w:val="center"/>
                </w:tcPr>
                <w:p>
                  <w:pPr>
                    <w:jc w:val="center"/>
                    <w:rPr>
                      <w:rFonts w:hint="eastAsia" w:eastAsia="宋体"/>
                      <w:bCs/>
                      <w:color w:val="auto"/>
                      <w:sz w:val="21"/>
                      <w:szCs w:val="21"/>
                      <w:lang w:val="en-US" w:eastAsia="zh-CN"/>
                    </w:rPr>
                  </w:pPr>
                  <w:r>
                    <w:rPr>
                      <w:rFonts w:hint="eastAsia"/>
                      <w:bCs/>
                      <w:color w:val="auto"/>
                      <w:sz w:val="21"/>
                      <w:szCs w:val="21"/>
                      <w:lang w:val="en-US" w:eastAsia="zh-CN"/>
                    </w:rPr>
                    <w:t>1</w:t>
                  </w:r>
                </w:p>
              </w:tc>
              <w:tc>
                <w:tcPr>
                  <w:tcW w:w="680" w:type="dxa"/>
                  <w:vAlign w:val="center"/>
                </w:tcPr>
                <w:p>
                  <w:pPr>
                    <w:jc w:val="center"/>
                    <w:rPr>
                      <w:rFonts w:hint="eastAsia" w:eastAsia="宋体"/>
                      <w:bCs/>
                      <w:color w:val="auto"/>
                      <w:sz w:val="21"/>
                      <w:szCs w:val="21"/>
                      <w:lang w:val="en-US" w:eastAsia="zh-CN"/>
                    </w:rPr>
                  </w:pPr>
                  <w:r>
                    <w:rPr>
                      <w:rFonts w:hint="eastAsia"/>
                      <w:bCs/>
                      <w:color w:val="auto"/>
                      <w:sz w:val="21"/>
                      <w:szCs w:val="21"/>
                      <w:lang w:val="en-US" w:eastAsia="zh-CN"/>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Merge w:val="continue"/>
                  <w:vAlign w:val="center"/>
                </w:tcPr>
                <w:p>
                  <w:pPr>
                    <w:jc w:val="center"/>
                    <w:rPr>
                      <w:rFonts w:hint="eastAsia"/>
                      <w:bCs/>
                      <w:color w:val="auto"/>
                      <w:sz w:val="21"/>
                      <w:szCs w:val="21"/>
                    </w:rPr>
                  </w:pP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有机废气处理装置</w:t>
                  </w:r>
                  <w:r>
                    <w:rPr>
                      <w:rFonts w:hint="eastAsia"/>
                      <w:bCs/>
                      <w:color w:val="auto"/>
                      <w:sz w:val="21"/>
                      <w:szCs w:val="21"/>
                    </w:rPr>
                    <w:t>降为</w:t>
                  </w:r>
                  <w:r>
                    <w:rPr>
                      <w:rFonts w:hint="eastAsia"/>
                      <w:bCs/>
                      <w:color w:val="auto"/>
                      <w:sz w:val="21"/>
                      <w:szCs w:val="21"/>
                      <w:lang w:val="en-US" w:eastAsia="zh-CN"/>
                    </w:rPr>
                    <w:t>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非甲烷总烃</w:t>
                  </w:r>
                </w:p>
              </w:tc>
              <w:tc>
                <w:tcPr>
                  <w:tcW w:w="925" w:type="dxa"/>
                  <w:vAlign w:val="center"/>
                </w:tcPr>
                <w:p>
                  <w:pPr>
                    <w:jc w:val="center"/>
                    <w:rPr>
                      <w:rFonts w:hint="default"/>
                      <w:bCs/>
                      <w:color w:val="auto"/>
                      <w:sz w:val="21"/>
                      <w:szCs w:val="21"/>
                      <w:lang w:val="en-US" w:eastAsia="zh-CN"/>
                    </w:rPr>
                  </w:pPr>
                  <w:r>
                    <w:rPr>
                      <w:rFonts w:hint="eastAsia"/>
                      <w:bCs/>
                      <w:color w:val="auto"/>
                      <w:sz w:val="21"/>
                      <w:szCs w:val="21"/>
                      <w:lang w:val="en-US" w:eastAsia="zh-CN"/>
                    </w:rPr>
                    <w:t>0.01</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0.499</w:t>
                  </w:r>
                </w:p>
              </w:tc>
              <w:tc>
                <w:tcPr>
                  <w:tcW w:w="66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w:t>
                  </w:r>
                </w:p>
              </w:tc>
              <w:tc>
                <w:tcPr>
                  <w:tcW w:w="68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Merge w:val="restart"/>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08</w:t>
                  </w: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除尘装置</w:t>
                  </w:r>
                  <w:r>
                    <w:rPr>
                      <w:rFonts w:hint="eastAsia"/>
                      <w:bCs/>
                      <w:color w:val="auto"/>
                      <w:sz w:val="21"/>
                      <w:szCs w:val="21"/>
                    </w:rPr>
                    <w:t>效率降为</w:t>
                  </w:r>
                  <w:r>
                    <w:rPr>
                      <w:rFonts w:hint="eastAsia"/>
                      <w:bCs/>
                      <w:color w:val="auto"/>
                      <w:sz w:val="21"/>
                      <w:szCs w:val="21"/>
                      <w:lang w:val="en-US" w:eastAsia="zh-CN"/>
                    </w:rPr>
                    <w:t>80%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颗粒物</w:t>
                  </w:r>
                </w:p>
              </w:tc>
              <w:tc>
                <w:tcPr>
                  <w:tcW w:w="925"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2.037</w:t>
                  </w:r>
                </w:p>
              </w:tc>
              <w:tc>
                <w:tcPr>
                  <w:tcW w:w="1047"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101.85</w:t>
                  </w:r>
                </w:p>
              </w:tc>
              <w:tc>
                <w:tcPr>
                  <w:tcW w:w="66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w:t>
                  </w:r>
                </w:p>
              </w:tc>
              <w:tc>
                <w:tcPr>
                  <w:tcW w:w="68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w:t>
                  </w:r>
                </w:p>
              </w:tc>
              <w:tc>
                <w:tcPr>
                  <w:tcW w:w="861" w:type="dxa"/>
                  <w:vMerge w:val="continue"/>
                  <w:vAlign w:val="center"/>
                </w:tcPr>
                <w:p>
                  <w:pPr>
                    <w:jc w:val="center"/>
                    <w:rPr>
                      <w:rFonts w:hint="eastAsia"/>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86" w:type="dxa"/>
                  <w:vMerge w:val="continue"/>
                  <w:vAlign w:val="center"/>
                </w:tcPr>
                <w:p>
                  <w:pPr>
                    <w:jc w:val="center"/>
                    <w:rPr>
                      <w:rFonts w:hint="eastAsia"/>
                      <w:bCs/>
                      <w:color w:val="auto"/>
                      <w:sz w:val="21"/>
                      <w:szCs w:val="21"/>
                    </w:rPr>
                  </w:pPr>
                </w:p>
              </w:tc>
              <w:tc>
                <w:tcPr>
                  <w:tcW w:w="145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有机废气处理装置</w:t>
                  </w:r>
                  <w:r>
                    <w:rPr>
                      <w:rFonts w:hint="eastAsia"/>
                      <w:bCs/>
                      <w:color w:val="auto"/>
                      <w:sz w:val="21"/>
                      <w:szCs w:val="21"/>
                    </w:rPr>
                    <w:t>降为</w:t>
                  </w:r>
                  <w:r>
                    <w:rPr>
                      <w:rFonts w:hint="eastAsia"/>
                      <w:bCs/>
                      <w:color w:val="auto"/>
                      <w:sz w:val="21"/>
                      <w:szCs w:val="21"/>
                      <w:lang w:val="en-US" w:eastAsia="zh-CN"/>
                    </w:rPr>
                    <w:t>0</w:t>
                  </w:r>
                </w:p>
              </w:tc>
              <w:tc>
                <w:tcPr>
                  <w:tcW w:w="858"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非甲烷总烃</w:t>
                  </w:r>
                </w:p>
              </w:tc>
              <w:tc>
                <w:tcPr>
                  <w:tcW w:w="925" w:type="dxa"/>
                  <w:vAlign w:val="center"/>
                </w:tcPr>
                <w:p>
                  <w:pPr>
                    <w:jc w:val="center"/>
                    <w:rPr>
                      <w:rFonts w:hint="default"/>
                      <w:bCs/>
                      <w:color w:val="auto"/>
                      <w:sz w:val="21"/>
                      <w:szCs w:val="21"/>
                      <w:lang w:val="en-US" w:eastAsia="zh-CN"/>
                    </w:rPr>
                  </w:pPr>
                  <w:r>
                    <w:rPr>
                      <w:rFonts w:hint="eastAsia"/>
                      <w:bCs/>
                      <w:color w:val="auto"/>
                      <w:sz w:val="21"/>
                      <w:szCs w:val="21"/>
                      <w:lang w:val="en-US" w:eastAsia="zh-CN"/>
                    </w:rPr>
                    <w:t>0.0399</w:t>
                  </w:r>
                </w:p>
              </w:tc>
              <w:tc>
                <w:tcPr>
                  <w:tcW w:w="1047" w:type="dxa"/>
                  <w:vAlign w:val="center"/>
                </w:tcPr>
                <w:p>
                  <w:pPr>
                    <w:jc w:val="center"/>
                    <w:rPr>
                      <w:rFonts w:hint="default"/>
                      <w:bCs/>
                      <w:color w:val="auto"/>
                      <w:sz w:val="21"/>
                      <w:szCs w:val="21"/>
                      <w:lang w:val="en-US" w:eastAsia="zh-CN"/>
                    </w:rPr>
                  </w:pPr>
                  <w:r>
                    <w:rPr>
                      <w:rFonts w:hint="eastAsia"/>
                      <w:bCs/>
                      <w:color w:val="auto"/>
                      <w:sz w:val="21"/>
                      <w:szCs w:val="21"/>
                      <w:lang w:val="en-US" w:eastAsia="zh-CN"/>
                    </w:rPr>
                    <w:t>1.995</w:t>
                  </w:r>
                </w:p>
              </w:tc>
              <w:tc>
                <w:tcPr>
                  <w:tcW w:w="66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w:t>
                  </w:r>
                </w:p>
              </w:tc>
              <w:tc>
                <w:tcPr>
                  <w:tcW w:w="680"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w:t>
                  </w:r>
                </w:p>
              </w:tc>
              <w:tc>
                <w:tcPr>
                  <w:tcW w:w="861" w:type="dxa"/>
                  <w:vMerge w:val="continue"/>
                  <w:vAlign w:val="center"/>
                </w:tcPr>
                <w:p>
                  <w:pPr>
                    <w:jc w:val="center"/>
                    <w:rPr>
                      <w:rFonts w:hint="eastAsia"/>
                      <w:bCs/>
                      <w:color w:val="FF0000"/>
                      <w:sz w:val="21"/>
                      <w:szCs w:val="21"/>
                    </w:rPr>
                  </w:pPr>
                </w:p>
              </w:tc>
            </w:tr>
          </w:tbl>
          <w:p>
            <w:pPr>
              <w:spacing w:line="240" w:lineRule="auto"/>
              <w:ind w:firstLine="482" w:firstLineChars="200"/>
              <w:rPr>
                <w:rFonts w:hint="eastAsia" w:ascii="Times New Roman" w:hAnsi="Times New Roman" w:eastAsia="宋体" w:cs="Times New Roman"/>
                <w:b/>
                <w:bCs/>
                <w:color w:val="FF0000"/>
                <w:szCs w:val="24"/>
              </w:rPr>
            </w:pPr>
          </w:p>
          <w:p>
            <w:pPr>
              <w:spacing w:line="360" w:lineRule="auto"/>
              <w:ind w:firstLine="482" w:firstLineChars="200"/>
              <w:rPr>
                <w:rFonts w:hint="eastAsia" w:ascii="Times New Roman" w:hAnsi="Times New Roman" w:eastAsia="宋体" w:cs="Times New Roman"/>
                <w:color w:val="auto"/>
                <w:szCs w:val="24"/>
              </w:rPr>
            </w:pPr>
            <w:r>
              <w:rPr>
                <w:rFonts w:hint="eastAsia" w:ascii="Times New Roman" w:hAnsi="Times New Roman" w:eastAsia="宋体" w:cs="Times New Roman"/>
                <w:b/>
                <w:bCs/>
                <w:color w:val="auto"/>
                <w:szCs w:val="24"/>
              </w:rPr>
              <w:t>应对措施：</w:t>
            </w:r>
            <w:r>
              <w:rPr>
                <w:rFonts w:hint="eastAsia" w:ascii="Times New Roman" w:hAnsi="Times New Roman" w:eastAsia="宋体" w:cs="Times New Roman"/>
                <w:color w:val="auto"/>
                <w:szCs w:val="24"/>
              </w:rPr>
              <w:t>为防止生产废气非正常工况排放，企业必须加强废气处理设施的管理，定期检修，确保废气处理设施正常运行，在废气处理设备停止运行或出现故障时，产生废气的各工序也必须相应停止生产。为杜绝废气非正常排放，应采取以下措施确保废气达标排放：</w:t>
            </w:r>
            <w:r>
              <w:rPr>
                <w:rFonts w:hint="eastAsia" w:ascii="Times New Roman" w:hAnsi="Times New Roman" w:eastAsia="宋体" w:cs="Times New Roman"/>
                <w:color w:val="auto"/>
                <w:szCs w:val="24"/>
              </w:rPr>
              <w:fldChar w:fldCharType="begin"/>
            </w:r>
            <w:r>
              <w:rPr>
                <w:rFonts w:hint="eastAsia" w:ascii="Times New Roman" w:hAnsi="Times New Roman" w:eastAsia="宋体" w:cs="Times New Roman"/>
                <w:color w:val="auto"/>
                <w:szCs w:val="24"/>
              </w:rPr>
              <w:instrText xml:space="preserve"> = 1 \* GB3 </w:instrText>
            </w:r>
            <w:r>
              <w:rPr>
                <w:rFonts w:hint="eastAsia" w:ascii="Times New Roman" w:hAnsi="Times New Roman" w:eastAsia="宋体" w:cs="Times New Roman"/>
                <w:color w:val="auto"/>
                <w:szCs w:val="24"/>
              </w:rPr>
              <w:fldChar w:fldCharType="separate"/>
            </w:r>
            <w:r>
              <w:rPr>
                <w:rFonts w:hint="eastAsia" w:ascii="Times New Roman" w:hAnsi="Times New Roman" w:eastAsia="宋体" w:cs="Times New Roman"/>
                <w:color w:val="auto"/>
                <w:szCs w:val="24"/>
              </w:rPr>
              <w:t>①</w:t>
            </w:r>
            <w:r>
              <w:rPr>
                <w:rFonts w:hint="eastAsia" w:ascii="Times New Roman" w:hAnsi="Times New Roman" w:eastAsia="宋体" w:cs="Times New Roman"/>
                <w:color w:val="auto"/>
                <w:szCs w:val="24"/>
              </w:rPr>
              <w:fldChar w:fldCharType="end"/>
            </w:r>
            <w:r>
              <w:rPr>
                <w:rFonts w:hint="eastAsia" w:ascii="Times New Roman" w:hAnsi="Times New Roman" w:eastAsia="宋体" w:cs="Times New Roman"/>
                <w:color w:val="auto"/>
                <w:szCs w:val="24"/>
              </w:rPr>
              <w:t>安排专人负责环保设备的日常维护和管理，每个固定时间检查、汇报情况，及时发现废气处理设备的隐患，确保废气处理系统正常运行；②建立健全的环保管理机构，对环保管理人员和技术人员进行岗位培训，委托具有专业资质的检测单位对项目排放的各类污染物进行定期检测；③应定期维护、检修废气净化装置，以保持废气处理装置的净化能力和净化容量。④生产加工前，废气处理设备开启，关闭生产设备一段时间后再关闭废气处理设备，不存在废气突然排放的情况。</w:t>
            </w:r>
          </w:p>
          <w:p>
            <w:pPr>
              <w:pStyle w:val="14"/>
              <w:keepNext w:val="0"/>
              <w:keepLines w:val="0"/>
              <w:pageBreakBefore w:val="0"/>
              <w:widowControl/>
              <w:kinsoku/>
              <w:wordWrap/>
              <w:overflowPunct/>
              <w:topLinePunct w:val="0"/>
              <w:autoSpaceDE/>
              <w:autoSpaceDN/>
              <w:bidi w:val="0"/>
              <w:adjustRightInd/>
              <w:snapToGrid w:val="0"/>
              <w:spacing w:line="100" w:lineRule="exact"/>
              <w:ind w:right="113"/>
              <w:textAlignment w:val="auto"/>
              <w:rPr>
                <w:rFonts w:hint="eastAsia"/>
                <w:color w:val="FF0000"/>
              </w:rPr>
            </w:pPr>
          </w:p>
          <w:p>
            <w:pPr>
              <w:spacing w:line="360" w:lineRule="auto"/>
              <w:ind w:firstLine="480" w:firstLineChars="200"/>
              <w:rPr>
                <w:color w:val="auto"/>
                <w:szCs w:val="24"/>
              </w:rPr>
            </w:pPr>
            <w:r>
              <w:rPr>
                <w:color w:val="auto"/>
                <w:szCs w:val="24"/>
              </w:rPr>
              <w:t>（</w:t>
            </w:r>
            <w:r>
              <w:rPr>
                <w:rFonts w:hint="eastAsia"/>
                <w:color w:val="auto"/>
                <w:szCs w:val="24"/>
              </w:rPr>
              <w:t>3</w:t>
            </w:r>
            <w:r>
              <w:rPr>
                <w:color w:val="auto"/>
                <w:szCs w:val="24"/>
              </w:rPr>
              <w:t>）</w:t>
            </w:r>
            <w:r>
              <w:rPr>
                <w:rFonts w:hint="eastAsia"/>
                <w:color w:val="auto"/>
                <w:szCs w:val="24"/>
              </w:rPr>
              <w:t>废气排放口基本情况</w:t>
            </w:r>
          </w:p>
          <w:p>
            <w:pPr>
              <w:spacing w:line="360" w:lineRule="auto"/>
              <w:ind w:firstLine="480" w:firstLineChars="200"/>
              <w:rPr>
                <w:rFonts w:hint="eastAsia"/>
                <w:color w:val="auto"/>
                <w:szCs w:val="24"/>
              </w:rPr>
            </w:pPr>
            <w:r>
              <w:rPr>
                <w:rFonts w:hint="eastAsia"/>
                <w:color w:val="auto"/>
                <w:szCs w:val="24"/>
              </w:rPr>
              <w:t>废气排放口见表4-</w:t>
            </w:r>
            <w:r>
              <w:rPr>
                <w:rFonts w:hint="eastAsia"/>
                <w:color w:val="auto"/>
                <w:szCs w:val="24"/>
                <w:lang w:val="en-US" w:eastAsia="zh-CN"/>
              </w:rPr>
              <w:t>8</w:t>
            </w:r>
            <w:r>
              <w:rPr>
                <w:rFonts w:hint="eastAsia"/>
                <w:color w:val="auto"/>
                <w:szCs w:val="24"/>
              </w:rPr>
              <w:t>。</w:t>
            </w:r>
          </w:p>
          <w:p>
            <w:pPr>
              <w:tabs>
                <w:tab w:val="left" w:pos="677"/>
              </w:tabs>
              <w:spacing w:line="460" w:lineRule="exact"/>
              <w:jc w:val="center"/>
              <w:rPr>
                <w:rFonts w:hint="eastAsia" w:ascii="Times New Roman" w:hAnsi="Times New Roman" w:eastAsia="宋体" w:cs="Times New Roman"/>
                <w:b/>
                <w:color w:val="auto"/>
              </w:rPr>
            </w:pPr>
            <w:r>
              <w:rPr>
                <w:rFonts w:hint="eastAsia" w:ascii="Times New Roman" w:hAnsi="Times New Roman" w:eastAsia="宋体" w:cs="Times New Roman"/>
                <w:b/>
                <w:color w:val="auto"/>
              </w:rPr>
              <w:t>表4-</w:t>
            </w:r>
            <w:r>
              <w:rPr>
                <w:rFonts w:hint="eastAsia" w:cs="Times New Roman"/>
                <w:b/>
                <w:color w:val="auto"/>
                <w:lang w:val="en-US" w:eastAsia="zh-CN"/>
              </w:rPr>
              <w:t>8</w:t>
            </w:r>
            <w:r>
              <w:rPr>
                <w:rFonts w:hint="eastAsia" w:ascii="Times New Roman" w:hAnsi="Times New Roman" w:eastAsia="宋体" w:cs="Times New Roman"/>
                <w:b/>
                <w:color w:val="auto"/>
              </w:rPr>
              <w:t xml:space="preserve">  废气排放口基本情况</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3"/>
              <w:gridCol w:w="1586"/>
              <w:gridCol w:w="1462"/>
              <w:gridCol w:w="689"/>
              <w:gridCol w:w="774"/>
              <w:gridCol w:w="641"/>
              <w:gridCol w:w="1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13" w:type="dxa"/>
                  <w:vMerge w:val="restart"/>
                  <w:vAlign w:val="center"/>
                </w:tcPr>
                <w:p>
                  <w:pPr>
                    <w:jc w:val="center"/>
                    <w:rPr>
                      <w:b/>
                      <w:color w:val="auto"/>
                      <w:sz w:val="21"/>
                      <w:szCs w:val="21"/>
                    </w:rPr>
                  </w:pPr>
                  <w:r>
                    <w:rPr>
                      <w:rFonts w:hint="eastAsia"/>
                      <w:b/>
                      <w:color w:val="auto"/>
                      <w:sz w:val="21"/>
                      <w:szCs w:val="21"/>
                    </w:rPr>
                    <w:t>排气筒编号</w:t>
                  </w:r>
                </w:p>
              </w:tc>
              <w:tc>
                <w:tcPr>
                  <w:tcW w:w="3048" w:type="dxa"/>
                  <w:gridSpan w:val="2"/>
                  <w:tcBorders>
                    <w:right w:val="single" w:color="auto" w:sz="4" w:space="0"/>
                  </w:tcBorders>
                  <w:vAlign w:val="center"/>
                </w:tcPr>
                <w:p>
                  <w:pPr>
                    <w:jc w:val="center"/>
                    <w:rPr>
                      <w:b/>
                      <w:color w:val="auto"/>
                      <w:sz w:val="21"/>
                      <w:szCs w:val="21"/>
                    </w:rPr>
                  </w:pPr>
                  <w:r>
                    <w:rPr>
                      <w:rFonts w:hint="eastAsia"/>
                      <w:b/>
                      <w:color w:val="auto"/>
                      <w:sz w:val="21"/>
                      <w:szCs w:val="21"/>
                    </w:rPr>
                    <w:t>地理</w:t>
                  </w:r>
                  <w:r>
                    <w:rPr>
                      <w:b/>
                      <w:color w:val="auto"/>
                      <w:sz w:val="21"/>
                      <w:szCs w:val="21"/>
                    </w:rPr>
                    <w:t>坐标</w:t>
                  </w:r>
                </w:p>
              </w:tc>
              <w:tc>
                <w:tcPr>
                  <w:tcW w:w="689" w:type="dxa"/>
                  <w:vMerge w:val="restart"/>
                  <w:tcBorders>
                    <w:left w:val="single" w:color="auto" w:sz="4" w:space="0"/>
                  </w:tcBorders>
                  <w:vAlign w:val="center"/>
                </w:tcPr>
                <w:p>
                  <w:pPr>
                    <w:jc w:val="center"/>
                    <w:rPr>
                      <w:b/>
                      <w:color w:val="auto"/>
                      <w:sz w:val="21"/>
                      <w:szCs w:val="21"/>
                    </w:rPr>
                  </w:pPr>
                  <w:r>
                    <w:rPr>
                      <w:rFonts w:hint="eastAsia"/>
                      <w:b/>
                      <w:color w:val="auto"/>
                      <w:sz w:val="21"/>
                      <w:szCs w:val="21"/>
                    </w:rPr>
                    <w:t>高度</w:t>
                  </w:r>
                </w:p>
              </w:tc>
              <w:tc>
                <w:tcPr>
                  <w:tcW w:w="774" w:type="dxa"/>
                  <w:vMerge w:val="restart"/>
                  <w:tcBorders>
                    <w:left w:val="single" w:color="auto" w:sz="4" w:space="0"/>
                  </w:tcBorders>
                  <w:vAlign w:val="center"/>
                </w:tcPr>
                <w:p>
                  <w:pPr>
                    <w:jc w:val="center"/>
                    <w:rPr>
                      <w:b/>
                      <w:color w:val="auto"/>
                      <w:sz w:val="21"/>
                      <w:szCs w:val="21"/>
                    </w:rPr>
                  </w:pPr>
                  <w:r>
                    <w:rPr>
                      <w:b/>
                      <w:color w:val="auto"/>
                      <w:sz w:val="21"/>
                      <w:szCs w:val="21"/>
                    </w:rPr>
                    <w:t>内径</w:t>
                  </w:r>
                </w:p>
              </w:tc>
              <w:tc>
                <w:tcPr>
                  <w:tcW w:w="641" w:type="dxa"/>
                  <w:vMerge w:val="restart"/>
                  <w:tcBorders>
                    <w:left w:val="single" w:color="auto" w:sz="4" w:space="0"/>
                  </w:tcBorders>
                  <w:vAlign w:val="center"/>
                </w:tcPr>
                <w:p>
                  <w:pPr>
                    <w:jc w:val="center"/>
                    <w:rPr>
                      <w:b/>
                      <w:color w:val="auto"/>
                      <w:sz w:val="21"/>
                      <w:szCs w:val="21"/>
                    </w:rPr>
                  </w:pPr>
                  <w:r>
                    <w:rPr>
                      <w:b/>
                      <w:color w:val="auto"/>
                      <w:sz w:val="21"/>
                      <w:szCs w:val="21"/>
                    </w:rPr>
                    <w:t>温度</w:t>
                  </w:r>
                </w:p>
              </w:tc>
              <w:tc>
                <w:tcPr>
                  <w:tcW w:w="1305" w:type="dxa"/>
                  <w:vMerge w:val="restart"/>
                  <w:tcBorders>
                    <w:left w:val="single" w:color="auto" w:sz="6" w:space="0"/>
                  </w:tcBorders>
                  <w:vAlign w:val="center"/>
                </w:tcPr>
                <w:p>
                  <w:pPr>
                    <w:jc w:val="center"/>
                    <w:rPr>
                      <w:b/>
                      <w:color w:val="auto"/>
                      <w:sz w:val="21"/>
                      <w:szCs w:val="21"/>
                    </w:rPr>
                  </w:pPr>
                  <w:r>
                    <w:rPr>
                      <w:b/>
                      <w:color w:val="auto"/>
                      <w:sz w:val="21"/>
                      <w:szCs w:val="21"/>
                    </w:rPr>
                    <w:t>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13" w:type="dxa"/>
                  <w:vMerge w:val="continue"/>
                  <w:vAlign w:val="center"/>
                </w:tcPr>
                <w:p>
                  <w:pPr>
                    <w:jc w:val="center"/>
                    <w:rPr>
                      <w:b/>
                      <w:color w:val="auto"/>
                      <w:sz w:val="21"/>
                      <w:szCs w:val="21"/>
                    </w:rPr>
                  </w:pPr>
                </w:p>
              </w:tc>
              <w:tc>
                <w:tcPr>
                  <w:tcW w:w="1586" w:type="dxa"/>
                  <w:tcBorders>
                    <w:right w:val="single" w:color="auto" w:sz="6" w:space="0"/>
                  </w:tcBorders>
                  <w:vAlign w:val="center"/>
                </w:tcPr>
                <w:p>
                  <w:pPr>
                    <w:jc w:val="center"/>
                    <w:rPr>
                      <w:color w:val="auto"/>
                      <w:sz w:val="21"/>
                      <w:szCs w:val="21"/>
                    </w:rPr>
                  </w:pPr>
                  <w:r>
                    <w:rPr>
                      <w:color w:val="auto"/>
                      <w:sz w:val="21"/>
                      <w:szCs w:val="21"/>
                    </w:rPr>
                    <w:t>东经</w:t>
                  </w:r>
                </w:p>
              </w:tc>
              <w:tc>
                <w:tcPr>
                  <w:tcW w:w="1462" w:type="dxa"/>
                  <w:tcBorders>
                    <w:left w:val="single" w:color="auto" w:sz="6" w:space="0"/>
                    <w:right w:val="single" w:color="auto" w:sz="4" w:space="0"/>
                  </w:tcBorders>
                  <w:vAlign w:val="center"/>
                </w:tcPr>
                <w:p>
                  <w:pPr>
                    <w:jc w:val="center"/>
                    <w:rPr>
                      <w:color w:val="auto"/>
                      <w:sz w:val="21"/>
                      <w:szCs w:val="21"/>
                    </w:rPr>
                  </w:pPr>
                  <w:r>
                    <w:rPr>
                      <w:color w:val="auto"/>
                      <w:sz w:val="21"/>
                      <w:szCs w:val="21"/>
                    </w:rPr>
                    <w:t>北纬</w:t>
                  </w:r>
                </w:p>
              </w:tc>
              <w:tc>
                <w:tcPr>
                  <w:tcW w:w="689" w:type="dxa"/>
                  <w:vMerge w:val="continue"/>
                  <w:tcBorders>
                    <w:left w:val="single" w:color="auto" w:sz="4" w:space="0"/>
                  </w:tcBorders>
                  <w:vAlign w:val="center"/>
                </w:tcPr>
                <w:p>
                  <w:pPr>
                    <w:jc w:val="center"/>
                    <w:rPr>
                      <w:b/>
                      <w:color w:val="auto"/>
                      <w:sz w:val="21"/>
                      <w:szCs w:val="21"/>
                    </w:rPr>
                  </w:pPr>
                </w:p>
              </w:tc>
              <w:tc>
                <w:tcPr>
                  <w:tcW w:w="774" w:type="dxa"/>
                  <w:vMerge w:val="continue"/>
                  <w:tcBorders>
                    <w:left w:val="single" w:color="auto" w:sz="4" w:space="0"/>
                  </w:tcBorders>
                  <w:vAlign w:val="center"/>
                </w:tcPr>
                <w:p>
                  <w:pPr>
                    <w:jc w:val="center"/>
                    <w:rPr>
                      <w:b/>
                      <w:color w:val="auto"/>
                      <w:sz w:val="21"/>
                      <w:szCs w:val="21"/>
                    </w:rPr>
                  </w:pPr>
                </w:p>
              </w:tc>
              <w:tc>
                <w:tcPr>
                  <w:tcW w:w="641" w:type="dxa"/>
                  <w:vMerge w:val="continue"/>
                  <w:tcBorders>
                    <w:left w:val="single" w:color="auto" w:sz="4" w:space="0"/>
                  </w:tcBorders>
                  <w:vAlign w:val="center"/>
                </w:tcPr>
                <w:p>
                  <w:pPr>
                    <w:jc w:val="center"/>
                    <w:rPr>
                      <w:b/>
                      <w:color w:val="auto"/>
                      <w:sz w:val="21"/>
                      <w:szCs w:val="21"/>
                    </w:rPr>
                  </w:pPr>
                </w:p>
              </w:tc>
              <w:tc>
                <w:tcPr>
                  <w:tcW w:w="1305" w:type="dxa"/>
                  <w:vMerge w:val="continue"/>
                  <w:tcBorders>
                    <w:left w:val="single" w:color="auto" w:sz="6" w:space="0"/>
                  </w:tcBorders>
                  <w:vAlign w:val="center"/>
                </w:tcPr>
                <w:p>
                  <w:pPr>
                    <w:jc w:val="center"/>
                    <w:rPr>
                      <w:b/>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default"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04</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120°11′39.78</w:t>
                  </w:r>
                  <w:r>
                    <w:rPr>
                      <w:rFonts w:hint="eastAsia"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30°37′54.47</w:t>
                  </w:r>
                  <w:r>
                    <w:rPr>
                      <w:rFonts w:hint="eastAsia" w:cs="Times New Roman"/>
                      <w:color w:val="auto"/>
                      <w:sz w:val="21"/>
                      <w:szCs w:val="21"/>
                      <w:lang w:val="en-US" w:eastAsia="zh-CN"/>
                    </w:rPr>
                    <w:t>3</w:t>
                  </w:r>
                  <w:r>
                    <w:rPr>
                      <w:rFonts w:hint="default" w:ascii="Times New Roman" w:hAnsi="Times New Roman" w:cs="Times New Roman"/>
                      <w:color w:val="auto"/>
                      <w:sz w:val="21"/>
                      <w:szCs w:val="21"/>
                    </w:rPr>
                    <w:t>″</w:t>
                  </w:r>
                </w:p>
              </w:tc>
              <w:tc>
                <w:tcPr>
                  <w:tcW w:w="689" w:type="dxa"/>
                  <w:tcBorders>
                    <w:left w:val="single" w:color="auto" w:sz="4" w:space="0"/>
                  </w:tcBorders>
                  <w:vAlign w:val="center"/>
                </w:tcPr>
                <w:p>
                  <w:pPr>
                    <w:jc w:val="center"/>
                    <w:rPr>
                      <w:color w:val="auto"/>
                      <w:sz w:val="21"/>
                      <w:szCs w:val="21"/>
                    </w:rPr>
                  </w:pPr>
                  <w:r>
                    <w:rPr>
                      <w:rFonts w:hint="eastAsia"/>
                      <w:color w:val="auto"/>
                      <w:sz w:val="21"/>
                      <w:szCs w:val="21"/>
                    </w:rPr>
                    <w:t>15m</w:t>
                  </w:r>
                </w:p>
              </w:tc>
              <w:tc>
                <w:tcPr>
                  <w:tcW w:w="774" w:type="dxa"/>
                  <w:tcBorders>
                    <w:left w:val="single" w:color="auto" w:sz="4" w:space="0"/>
                  </w:tcBorders>
                  <w:vAlign w:val="center"/>
                </w:tcPr>
                <w:p>
                  <w:pPr>
                    <w:jc w:val="center"/>
                    <w:rPr>
                      <w:color w:val="auto"/>
                      <w:sz w:val="21"/>
                      <w:szCs w:val="21"/>
                    </w:rPr>
                  </w:pPr>
                  <w:r>
                    <w:rPr>
                      <w:rFonts w:hint="eastAsia"/>
                      <w:color w:val="auto"/>
                      <w:sz w:val="21"/>
                      <w:szCs w:val="21"/>
                    </w:rPr>
                    <w:t>0.</w:t>
                  </w:r>
                  <w:r>
                    <w:rPr>
                      <w:rFonts w:hint="eastAsia"/>
                      <w:color w:val="auto"/>
                      <w:sz w:val="21"/>
                      <w:szCs w:val="21"/>
                      <w:lang w:val="en-US" w:eastAsia="zh-CN"/>
                    </w:rPr>
                    <w:t>7</w:t>
                  </w:r>
                  <w:r>
                    <w:rPr>
                      <w:rFonts w:hint="eastAsia"/>
                      <w:color w:val="auto"/>
                      <w:sz w:val="21"/>
                      <w:szCs w:val="21"/>
                    </w:rPr>
                    <w:t>m</w:t>
                  </w:r>
                </w:p>
              </w:tc>
              <w:tc>
                <w:tcPr>
                  <w:tcW w:w="641" w:type="dxa"/>
                  <w:tcBorders>
                    <w:left w:val="single" w:color="auto" w:sz="4" w:space="0"/>
                  </w:tcBorders>
                  <w:vAlign w:val="center"/>
                </w:tcPr>
                <w:p>
                  <w:pPr>
                    <w:jc w:val="center"/>
                    <w:rPr>
                      <w:color w:val="auto"/>
                      <w:sz w:val="21"/>
                      <w:szCs w:val="21"/>
                    </w:rPr>
                  </w:pPr>
                  <w:r>
                    <w:rPr>
                      <w:rFonts w:hint="eastAsia"/>
                      <w:color w:val="auto"/>
                      <w:sz w:val="21"/>
                      <w:szCs w:val="21"/>
                    </w:rPr>
                    <w:t>20℃</w:t>
                  </w:r>
                </w:p>
              </w:tc>
              <w:tc>
                <w:tcPr>
                  <w:tcW w:w="1305" w:type="dxa"/>
                  <w:tcBorders>
                    <w:left w:val="single" w:color="auto" w:sz="6" w:space="0"/>
                  </w:tcBorders>
                  <w:vAlign w:val="center"/>
                </w:tcPr>
                <w:p>
                  <w:pPr>
                    <w:jc w:val="center"/>
                    <w:rPr>
                      <w:color w:val="auto"/>
                      <w:sz w:val="21"/>
                      <w:szCs w:val="21"/>
                    </w:rPr>
                  </w:pPr>
                  <w:r>
                    <w:rPr>
                      <w:color w:val="auto"/>
                      <w:sz w:val="21"/>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default"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02</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120°11′41.569″</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30°37′54.144″</w:t>
                  </w:r>
                </w:p>
              </w:tc>
              <w:tc>
                <w:tcPr>
                  <w:tcW w:w="689" w:type="dxa"/>
                  <w:tcBorders>
                    <w:left w:val="single" w:color="auto" w:sz="4" w:space="0"/>
                  </w:tcBorders>
                  <w:vAlign w:val="center"/>
                </w:tcPr>
                <w:p>
                  <w:pPr>
                    <w:jc w:val="center"/>
                    <w:rPr>
                      <w:color w:val="auto"/>
                      <w:sz w:val="21"/>
                      <w:szCs w:val="21"/>
                    </w:rPr>
                  </w:pPr>
                  <w:r>
                    <w:rPr>
                      <w:rFonts w:hint="eastAsia"/>
                      <w:color w:val="auto"/>
                      <w:sz w:val="21"/>
                      <w:szCs w:val="21"/>
                    </w:rPr>
                    <w:t>15m</w:t>
                  </w:r>
                </w:p>
              </w:tc>
              <w:tc>
                <w:tcPr>
                  <w:tcW w:w="774" w:type="dxa"/>
                  <w:tcBorders>
                    <w:left w:val="single" w:color="auto" w:sz="4" w:space="0"/>
                  </w:tcBorders>
                  <w:vAlign w:val="center"/>
                </w:tcPr>
                <w:p>
                  <w:pPr>
                    <w:jc w:val="center"/>
                    <w:rPr>
                      <w:color w:val="auto"/>
                      <w:sz w:val="21"/>
                      <w:szCs w:val="21"/>
                    </w:rPr>
                  </w:pPr>
                  <w:r>
                    <w:rPr>
                      <w:rFonts w:hint="eastAsia"/>
                      <w:color w:val="auto"/>
                      <w:sz w:val="21"/>
                      <w:szCs w:val="21"/>
                    </w:rPr>
                    <w:t>0.</w:t>
                  </w:r>
                  <w:r>
                    <w:rPr>
                      <w:rFonts w:hint="eastAsia"/>
                      <w:color w:val="auto"/>
                      <w:sz w:val="21"/>
                      <w:szCs w:val="21"/>
                      <w:lang w:val="en-US" w:eastAsia="zh-CN"/>
                    </w:rPr>
                    <w:t>55</w:t>
                  </w:r>
                  <w:r>
                    <w:rPr>
                      <w:rFonts w:hint="eastAsia"/>
                      <w:color w:val="auto"/>
                      <w:sz w:val="21"/>
                      <w:szCs w:val="21"/>
                    </w:rPr>
                    <w:t>m</w:t>
                  </w:r>
                </w:p>
              </w:tc>
              <w:tc>
                <w:tcPr>
                  <w:tcW w:w="641" w:type="dxa"/>
                  <w:tcBorders>
                    <w:left w:val="single" w:color="auto" w:sz="4" w:space="0"/>
                  </w:tcBorders>
                  <w:vAlign w:val="center"/>
                </w:tcPr>
                <w:p>
                  <w:pPr>
                    <w:jc w:val="center"/>
                    <w:rPr>
                      <w:color w:val="auto"/>
                      <w:sz w:val="21"/>
                      <w:szCs w:val="21"/>
                    </w:rPr>
                  </w:pPr>
                  <w:r>
                    <w:rPr>
                      <w:rFonts w:hint="eastAsia"/>
                      <w:color w:val="auto"/>
                      <w:sz w:val="21"/>
                      <w:szCs w:val="21"/>
                      <w:lang w:val="en-US" w:eastAsia="zh-CN"/>
                    </w:rPr>
                    <w:t>2</w:t>
                  </w:r>
                  <w:r>
                    <w:rPr>
                      <w:rFonts w:hint="eastAsia"/>
                      <w:color w:val="auto"/>
                      <w:sz w:val="21"/>
                      <w:szCs w:val="21"/>
                    </w:rPr>
                    <w:t>0℃</w:t>
                  </w:r>
                </w:p>
              </w:tc>
              <w:tc>
                <w:tcPr>
                  <w:tcW w:w="1305" w:type="dxa"/>
                  <w:tcBorders>
                    <w:left w:val="single" w:color="auto" w:sz="6" w:space="0"/>
                  </w:tcBorders>
                  <w:vAlign w:val="center"/>
                </w:tcPr>
                <w:p>
                  <w:pPr>
                    <w:jc w:val="center"/>
                    <w:rPr>
                      <w:color w:val="auto"/>
                      <w:sz w:val="21"/>
                      <w:szCs w:val="21"/>
                    </w:rPr>
                  </w:pPr>
                  <w:r>
                    <w:rPr>
                      <w:color w:val="auto"/>
                      <w:sz w:val="21"/>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07</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120°11′39.329″</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30°37′54.579″</w:t>
                  </w:r>
                </w:p>
              </w:tc>
              <w:tc>
                <w:tcPr>
                  <w:tcW w:w="689"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15m</w:t>
                  </w:r>
                </w:p>
              </w:tc>
              <w:tc>
                <w:tcPr>
                  <w:tcW w:w="774"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0.</w:t>
                  </w:r>
                  <w:r>
                    <w:rPr>
                      <w:rFonts w:hint="eastAsia"/>
                      <w:color w:val="auto"/>
                      <w:sz w:val="21"/>
                      <w:szCs w:val="21"/>
                      <w:lang w:val="en-US" w:eastAsia="zh-CN"/>
                    </w:rPr>
                    <w:t>7</w:t>
                  </w:r>
                  <w:r>
                    <w:rPr>
                      <w:rFonts w:hint="eastAsia"/>
                      <w:color w:val="auto"/>
                      <w:sz w:val="21"/>
                      <w:szCs w:val="21"/>
                    </w:rPr>
                    <w:t>m</w:t>
                  </w:r>
                </w:p>
              </w:tc>
              <w:tc>
                <w:tcPr>
                  <w:tcW w:w="641"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20℃</w:t>
                  </w:r>
                </w:p>
              </w:tc>
              <w:tc>
                <w:tcPr>
                  <w:tcW w:w="1305" w:type="dxa"/>
                  <w:tcBorders>
                    <w:left w:val="single" w:color="auto" w:sz="6" w:space="0"/>
                  </w:tcBorders>
                  <w:vAlign w:val="center"/>
                </w:tcPr>
                <w:p>
                  <w:pPr>
                    <w:jc w:val="center"/>
                    <w:rPr>
                      <w:rFonts w:ascii="Times New Roman" w:hAnsi="Times New Roman" w:eastAsia="宋体" w:cs="Times New Roman"/>
                      <w:color w:val="auto"/>
                      <w:kern w:val="2"/>
                      <w:sz w:val="21"/>
                      <w:szCs w:val="21"/>
                      <w:lang w:val="en-US" w:eastAsia="zh-CN" w:bidi="ar-SA"/>
                    </w:rPr>
                  </w:pPr>
                  <w:r>
                    <w:rPr>
                      <w:color w:val="auto"/>
                      <w:sz w:val="21"/>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06</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120°11′41.280″</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30°37′54.221″</w:t>
                  </w:r>
                </w:p>
              </w:tc>
              <w:tc>
                <w:tcPr>
                  <w:tcW w:w="689"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15m</w:t>
                  </w:r>
                </w:p>
              </w:tc>
              <w:tc>
                <w:tcPr>
                  <w:tcW w:w="774"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0.</w:t>
                  </w:r>
                  <w:r>
                    <w:rPr>
                      <w:rFonts w:hint="eastAsia"/>
                      <w:color w:val="auto"/>
                      <w:sz w:val="21"/>
                      <w:szCs w:val="21"/>
                      <w:lang w:val="en-US" w:eastAsia="zh-CN"/>
                    </w:rPr>
                    <w:t>55</w:t>
                  </w:r>
                  <w:r>
                    <w:rPr>
                      <w:rFonts w:hint="eastAsia"/>
                      <w:color w:val="auto"/>
                      <w:sz w:val="21"/>
                      <w:szCs w:val="21"/>
                    </w:rPr>
                    <w:t>m</w:t>
                  </w:r>
                </w:p>
              </w:tc>
              <w:tc>
                <w:tcPr>
                  <w:tcW w:w="641"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w:t>
                  </w:r>
                  <w:r>
                    <w:rPr>
                      <w:rFonts w:hint="eastAsia"/>
                      <w:color w:val="auto"/>
                      <w:sz w:val="21"/>
                      <w:szCs w:val="21"/>
                    </w:rPr>
                    <w:t>0℃</w:t>
                  </w:r>
                </w:p>
              </w:tc>
              <w:tc>
                <w:tcPr>
                  <w:tcW w:w="1305" w:type="dxa"/>
                  <w:tcBorders>
                    <w:left w:val="single" w:color="auto" w:sz="6" w:space="0"/>
                  </w:tcBorders>
                  <w:vAlign w:val="center"/>
                </w:tcPr>
                <w:p>
                  <w:pPr>
                    <w:jc w:val="center"/>
                    <w:rPr>
                      <w:rFonts w:ascii="Times New Roman" w:hAnsi="Times New Roman" w:eastAsia="宋体" w:cs="Times New Roman"/>
                      <w:color w:val="auto"/>
                      <w:kern w:val="2"/>
                      <w:sz w:val="21"/>
                      <w:szCs w:val="21"/>
                      <w:lang w:val="en-US" w:eastAsia="zh-CN" w:bidi="ar-SA"/>
                    </w:rPr>
                  </w:pPr>
                  <w:r>
                    <w:rPr>
                      <w:color w:val="auto"/>
                      <w:sz w:val="21"/>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01</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120°11′39.464″</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30°37′53.912″</w:t>
                  </w:r>
                </w:p>
              </w:tc>
              <w:tc>
                <w:tcPr>
                  <w:tcW w:w="689" w:type="dxa"/>
                  <w:tcBorders>
                    <w:left w:val="single" w:color="auto" w:sz="4" w:space="0"/>
                  </w:tcBorders>
                  <w:vAlign w:val="center"/>
                </w:tcPr>
                <w:p>
                  <w:pPr>
                    <w:jc w:val="center"/>
                    <w:rPr>
                      <w:rFonts w:hint="eastAsia"/>
                      <w:color w:val="auto"/>
                      <w:sz w:val="21"/>
                      <w:szCs w:val="21"/>
                    </w:rPr>
                  </w:pPr>
                  <w:r>
                    <w:rPr>
                      <w:rFonts w:hint="eastAsia"/>
                      <w:color w:val="auto"/>
                      <w:sz w:val="21"/>
                      <w:szCs w:val="21"/>
                    </w:rPr>
                    <w:t>15m</w:t>
                  </w:r>
                </w:p>
              </w:tc>
              <w:tc>
                <w:tcPr>
                  <w:tcW w:w="774" w:type="dxa"/>
                  <w:tcBorders>
                    <w:left w:val="single" w:color="auto" w:sz="4" w:space="0"/>
                  </w:tcBorders>
                  <w:vAlign w:val="center"/>
                </w:tcPr>
                <w:p>
                  <w:pPr>
                    <w:jc w:val="center"/>
                    <w:rPr>
                      <w:rFonts w:hint="default" w:eastAsia="宋体"/>
                      <w:color w:val="auto"/>
                      <w:sz w:val="21"/>
                      <w:szCs w:val="21"/>
                      <w:lang w:val="en-US" w:eastAsia="zh-CN"/>
                    </w:rPr>
                  </w:pPr>
                  <w:r>
                    <w:rPr>
                      <w:rFonts w:hint="eastAsia"/>
                      <w:color w:val="auto"/>
                      <w:sz w:val="21"/>
                      <w:szCs w:val="21"/>
                      <w:lang w:val="en-US" w:eastAsia="zh-CN"/>
                    </w:rPr>
                    <w:t>0.5m</w:t>
                  </w:r>
                </w:p>
              </w:tc>
              <w:tc>
                <w:tcPr>
                  <w:tcW w:w="641" w:type="dxa"/>
                  <w:tcBorders>
                    <w:left w:val="single" w:color="auto" w:sz="4" w:space="0"/>
                  </w:tcBorders>
                  <w:vAlign w:val="center"/>
                </w:tcPr>
                <w:p>
                  <w:pPr>
                    <w:jc w:val="center"/>
                    <w:rPr>
                      <w:rFonts w:hint="eastAsia"/>
                      <w:color w:val="auto"/>
                      <w:sz w:val="21"/>
                      <w:szCs w:val="21"/>
                      <w:lang w:val="en-US" w:eastAsia="zh-CN"/>
                    </w:rPr>
                  </w:pPr>
                  <w:r>
                    <w:rPr>
                      <w:rFonts w:hint="eastAsia"/>
                      <w:color w:val="auto"/>
                      <w:sz w:val="21"/>
                      <w:szCs w:val="21"/>
                      <w:lang w:val="en-US" w:eastAsia="zh-CN"/>
                    </w:rPr>
                    <w:t>2</w:t>
                  </w:r>
                  <w:r>
                    <w:rPr>
                      <w:rFonts w:hint="eastAsia"/>
                      <w:color w:val="auto"/>
                      <w:sz w:val="21"/>
                      <w:szCs w:val="21"/>
                    </w:rPr>
                    <w:t>0℃</w:t>
                  </w:r>
                </w:p>
              </w:tc>
              <w:tc>
                <w:tcPr>
                  <w:tcW w:w="1305" w:type="dxa"/>
                  <w:tcBorders>
                    <w:left w:val="single" w:color="auto" w:sz="6" w:space="0"/>
                  </w:tcBorders>
                  <w:vAlign w:val="center"/>
                </w:tcPr>
                <w:p>
                  <w:pPr>
                    <w:jc w:val="center"/>
                    <w:rPr>
                      <w:rFonts w:ascii="Times New Roman" w:hAnsi="Times New Roman" w:eastAsia="宋体" w:cs="Times New Roman"/>
                      <w:color w:val="auto"/>
                      <w:kern w:val="2"/>
                      <w:sz w:val="21"/>
                      <w:szCs w:val="21"/>
                      <w:lang w:val="en-US" w:eastAsia="zh-CN" w:bidi="ar-SA"/>
                    </w:rPr>
                  </w:pPr>
                  <w:r>
                    <w:rPr>
                      <w:color w:val="auto"/>
                      <w:sz w:val="21"/>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05</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120°11′42.400″</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30°37′57.794″</w:t>
                  </w:r>
                </w:p>
              </w:tc>
              <w:tc>
                <w:tcPr>
                  <w:tcW w:w="689"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15m</w:t>
                  </w:r>
                </w:p>
              </w:tc>
              <w:tc>
                <w:tcPr>
                  <w:tcW w:w="774"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0.5m</w:t>
                  </w:r>
                </w:p>
              </w:tc>
              <w:tc>
                <w:tcPr>
                  <w:tcW w:w="641"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w:t>
                  </w:r>
                  <w:r>
                    <w:rPr>
                      <w:rFonts w:hint="eastAsia"/>
                      <w:color w:val="auto"/>
                      <w:sz w:val="21"/>
                      <w:szCs w:val="21"/>
                    </w:rPr>
                    <w:t>0℃</w:t>
                  </w:r>
                </w:p>
              </w:tc>
              <w:tc>
                <w:tcPr>
                  <w:tcW w:w="1305" w:type="dxa"/>
                  <w:tcBorders>
                    <w:left w:val="single" w:color="auto" w:sz="6" w:space="0"/>
                  </w:tcBorders>
                  <w:vAlign w:val="center"/>
                </w:tcPr>
                <w:p>
                  <w:pPr>
                    <w:jc w:val="center"/>
                    <w:rPr>
                      <w:rFonts w:ascii="Times New Roman" w:hAnsi="Times New Roman" w:eastAsia="宋体" w:cs="Times New Roman"/>
                      <w:color w:val="auto"/>
                      <w:kern w:val="2"/>
                      <w:sz w:val="21"/>
                      <w:szCs w:val="21"/>
                      <w:lang w:val="en-US" w:eastAsia="zh-CN" w:bidi="ar-SA"/>
                    </w:rPr>
                  </w:pPr>
                  <w:r>
                    <w:rPr>
                      <w:color w:val="auto"/>
                      <w:sz w:val="21"/>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03</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120°11′39.648″</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30°37′53.893″</w:t>
                  </w:r>
                </w:p>
              </w:tc>
              <w:tc>
                <w:tcPr>
                  <w:tcW w:w="689"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15m</w:t>
                  </w:r>
                </w:p>
              </w:tc>
              <w:tc>
                <w:tcPr>
                  <w:tcW w:w="774"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0.5m</w:t>
                  </w:r>
                </w:p>
              </w:tc>
              <w:tc>
                <w:tcPr>
                  <w:tcW w:w="641" w:type="dxa"/>
                  <w:tcBorders>
                    <w:left w:val="single" w:color="auto" w:sz="4" w:space="0"/>
                  </w:tcBorders>
                  <w:vAlign w:val="center"/>
                </w:tcPr>
                <w:p>
                  <w:pPr>
                    <w:jc w:val="center"/>
                    <w:rPr>
                      <w:rFonts w:hint="eastAsia"/>
                      <w:color w:val="auto"/>
                      <w:sz w:val="21"/>
                      <w:szCs w:val="21"/>
                      <w:lang w:val="en-US" w:eastAsia="zh-CN"/>
                    </w:rPr>
                  </w:pPr>
                  <w:r>
                    <w:rPr>
                      <w:rFonts w:hint="eastAsia"/>
                      <w:color w:val="auto"/>
                      <w:sz w:val="21"/>
                      <w:szCs w:val="21"/>
                      <w:lang w:val="en-US" w:eastAsia="zh-CN"/>
                    </w:rPr>
                    <w:t>4</w:t>
                  </w:r>
                  <w:r>
                    <w:rPr>
                      <w:rFonts w:hint="eastAsia"/>
                      <w:color w:val="auto"/>
                      <w:sz w:val="21"/>
                      <w:szCs w:val="21"/>
                    </w:rPr>
                    <w:t>0℃</w:t>
                  </w:r>
                </w:p>
              </w:tc>
              <w:tc>
                <w:tcPr>
                  <w:tcW w:w="1305" w:type="dxa"/>
                  <w:tcBorders>
                    <w:left w:val="single" w:color="auto" w:sz="6" w:space="0"/>
                  </w:tcBorders>
                  <w:vAlign w:val="center"/>
                </w:tcPr>
                <w:p>
                  <w:pPr>
                    <w:jc w:val="center"/>
                    <w:rPr>
                      <w:rFonts w:ascii="Times New Roman" w:hAnsi="Times New Roman" w:eastAsia="宋体" w:cs="Times New Roman"/>
                      <w:color w:val="auto"/>
                      <w:kern w:val="2"/>
                      <w:sz w:val="21"/>
                      <w:szCs w:val="21"/>
                      <w:lang w:val="en-US" w:eastAsia="zh-CN" w:bidi="ar-SA"/>
                    </w:rPr>
                  </w:pPr>
                  <w:r>
                    <w:rPr>
                      <w:color w:val="auto"/>
                      <w:sz w:val="21"/>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13"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08</w:t>
                  </w:r>
                </w:p>
              </w:tc>
              <w:tc>
                <w:tcPr>
                  <w:tcW w:w="1586" w:type="dxa"/>
                  <w:tcBorders>
                    <w:right w:val="single" w:color="auto" w:sz="6" w:space="0"/>
                  </w:tcBorders>
                  <w:vAlign w:val="center"/>
                </w:tcPr>
                <w:p>
                  <w:pPr>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120°11′41.482″</w:t>
                  </w:r>
                </w:p>
              </w:tc>
              <w:tc>
                <w:tcPr>
                  <w:tcW w:w="1462" w:type="dxa"/>
                  <w:tcBorders>
                    <w:left w:val="single" w:color="auto" w:sz="6" w:space="0"/>
                    <w:right w:val="single" w:color="auto" w:sz="4" w:space="0"/>
                  </w:tcBorders>
                  <w:vAlign w:val="center"/>
                </w:tcPr>
                <w:p>
                  <w:pPr>
                    <w:jc w:val="center"/>
                    <w:rPr>
                      <w:color w:val="auto"/>
                      <w:sz w:val="21"/>
                      <w:szCs w:val="21"/>
                    </w:rPr>
                  </w:pPr>
                  <w:r>
                    <w:rPr>
                      <w:rFonts w:hint="default" w:ascii="Times New Roman" w:hAnsi="Times New Roman" w:cs="Times New Roman"/>
                      <w:color w:val="auto"/>
                      <w:sz w:val="21"/>
                      <w:szCs w:val="21"/>
                    </w:rPr>
                    <w:t>30°37′54.743″</w:t>
                  </w:r>
                </w:p>
              </w:tc>
              <w:tc>
                <w:tcPr>
                  <w:tcW w:w="689"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15m</w:t>
                  </w:r>
                </w:p>
              </w:tc>
              <w:tc>
                <w:tcPr>
                  <w:tcW w:w="774" w:type="dxa"/>
                  <w:tcBorders>
                    <w:left w:val="single" w:color="auto" w:sz="4" w:space="0"/>
                  </w:tcBorders>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0.55m</w:t>
                  </w:r>
                </w:p>
              </w:tc>
              <w:tc>
                <w:tcPr>
                  <w:tcW w:w="641" w:type="dxa"/>
                  <w:tcBorders>
                    <w:left w:val="single" w:color="auto" w:sz="4" w:space="0"/>
                  </w:tcBorders>
                  <w:vAlign w:val="center"/>
                </w:tcPr>
                <w:p>
                  <w:pPr>
                    <w:jc w:val="center"/>
                    <w:rPr>
                      <w:rFonts w:hint="eastAsia"/>
                      <w:color w:val="auto"/>
                      <w:sz w:val="21"/>
                      <w:szCs w:val="21"/>
                      <w:lang w:val="en-US" w:eastAsia="zh-CN"/>
                    </w:rPr>
                  </w:pPr>
                  <w:r>
                    <w:rPr>
                      <w:rFonts w:hint="eastAsia"/>
                      <w:color w:val="auto"/>
                      <w:sz w:val="21"/>
                      <w:szCs w:val="21"/>
                      <w:lang w:val="en-US" w:eastAsia="zh-CN"/>
                    </w:rPr>
                    <w:t>4</w:t>
                  </w:r>
                  <w:r>
                    <w:rPr>
                      <w:rFonts w:hint="eastAsia"/>
                      <w:color w:val="auto"/>
                      <w:sz w:val="21"/>
                      <w:szCs w:val="21"/>
                    </w:rPr>
                    <w:t>0℃</w:t>
                  </w:r>
                </w:p>
              </w:tc>
              <w:tc>
                <w:tcPr>
                  <w:tcW w:w="1305" w:type="dxa"/>
                  <w:tcBorders>
                    <w:left w:val="single" w:color="auto" w:sz="6" w:space="0"/>
                  </w:tcBorders>
                  <w:vAlign w:val="center"/>
                </w:tcPr>
                <w:p>
                  <w:pPr>
                    <w:jc w:val="center"/>
                    <w:rPr>
                      <w:rFonts w:ascii="Times New Roman" w:hAnsi="Times New Roman" w:eastAsia="宋体" w:cs="Times New Roman"/>
                      <w:color w:val="auto"/>
                      <w:kern w:val="2"/>
                      <w:sz w:val="21"/>
                      <w:szCs w:val="21"/>
                      <w:lang w:val="en-US" w:eastAsia="zh-CN" w:bidi="ar-SA"/>
                    </w:rPr>
                  </w:pPr>
                  <w:r>
                    <w:rPr>
                      <w:color w:val="auto"/>
                      <w:sz w:val="21"/>
                      <w:szCs w:val="21"/>
                    </w:rPr>
                    <w:t>一般排放口</w:t>
                  </w:r>
                </w:p>
              </w:tc>
            </w:tr>
          </w:tbl>
          <w:p>
            <w:pPr>
              <w:keepNext w:val="0"/>
              <w:keepLines w:val="0"/>
              <w:pageBreakBefore w:val="0"/>
              <w:widowControl w:val="0"/>
              <w:kinsoku/>
              <w:wordWrap/>
              <w:overflowPunct/>
              <w:topLinePunct w:val="0"/>
              <w:autoSpaceDE/>
              <w:autoSpaceDN/>
              <w:bidi w:val="0"/>
              <w:adjustRightInd/>
              <w:snapToGrid/>
              <w:spacing w:line="200" w:lineRule="exact"/>
              <w:textAlignment w:val="auto"/>
              <w:rPr>
                <w:color w:val="FF0000"/>
              </w:rPr>
            </w:pPr>
          </w:p>
          <w:p>
            <w:pPr>
              <w:spacing w:line="360" w:lineRule="auto"/>
              <w:ind w:left="480" w:leftChars="200"/>
              <w:rPr>
                <w:color w:val="auto"/>
                <w:szCs w:val="24"/>
              </w:rPr>
            </w:pPr>
            <w:r>
              <w:rPr>
                <w:color w:val="auto"/>
                <w:szCs w:val="24"/>
              </w:rPr>
              <w:t>（</w:t>
            </w:r>
            <w:r>
              <w:rPr>
                <w:rFonts w:hint="eastAsia"/>
                <w:color w:val="auto"/>
                <w:szCs w:val="24"/>
              </w:rPr>
              <w:t>4</w:t>
            </w:r>
            <w:r>
              <w:rPr>
                <w:color w:val="auto"/>
                <w:szCs w:val="24"/>
              </w:rPr>
              <w:t>）</w:t>
            </w:r>
            <w:r>
              <w:rPr>
                <w:rFonts w:hint="eastAsia"/>
                <w:color w:val="auto"/>
                <w:szCs w:val="24"/>
              </w:rPr>
              <w:t>废气达标排放情况分析</w:t>
            </w:r>
          </w:p>
          <w:p>
            <w:pPr>
              <w:spacing w:line="360" w:lineRule="auto"/>
              <w:ind w:firstLine="480" w:firstLineChars="200"/>
              <w:rPr>
                <w:color w:val="auto"/>
                <w:szCs w:val="24"/>
              </w:rPr>
            </w:pPr>
            <w:r>
              <w:rPr>
                <w:rFonts w:hint="eastAsia"/>
                <w:color w:val="auto"/>
                <w:szCs w:val="24"/>
              </w:rPr>
              <w:t>废气达标排放情况见表4-</w:t>
            </w:r>
            <w:r>
              <w:rPr>
                <w:rFonts w:hint="eastAsia"/>
                <w:color w:val="auto"/>
                <w:szCs w:val="24"/>
                <w:lang w:val="en-US" w:eastAsia="zh-CN"/>
              </w:rPr>
              <w:t>9</w:t>
            </w:r>
            <w:r>
              <w:rPr>
                <w:rFonts w:hint="eastAsia"/>
                <w:color w:val="auto"/>
                <w:szCs w:val="24"/>
              </w:rPr>
              <w:t>。</w:t>
            </w:r>
          </w:p>
          <w:p>
            <w:pPr>
              <w:tabs>
                <w:tab w:val="left" w:pos="677"/>
              </w:tabs>
              <w:spacing w:line="460" w:lineRule="exact"/>
              <w:jc w:val="center"/>
              <w:rPr>
                <w:rFonts w:hint="eastAsia" w:ascii="Times New Roman" w:hAnsi="Times New Roman" w:eastAsia="宋体" w:cs="Times New Roman"/>
                <w:b/>
                <w:color w:val="auto"/>
              </w:rPr>
            </w:pPr>
            <w:r>
              <w:rPr>
                <w:rFonts w:hint="eastAsia" w:ascii="Times New Roman" w:hAnsi="Times New Roman" w:eastAsia="宋体" w:cs="Times New Roman"/>
                <w:b/>
                <w:color w:val="auto"/>
              </w:rPr>
              <w:t>表4-</w:t>
            </w:r>
            <w:r>
              <w:rPr>
                <w:rFonts w:hint="eastAsia" w:cs="Times New Roman"/>
                <w:b/>
                <w:color w:val="auto"/>
                <w:lang w:val="en-US" w:eastAsia="zh-CN"/>
              </w:rPr>
              <w:t>9</w:t>
            </w:r>
            <w:r>
              <w:rPr>
                <w:rFonts w:hint="eastAsia" w:ascii="Times New Roman" w:hAnsi="Times New Roman" w:eastAsia="宋体" w:cs="Times New Roman"/>
                <w:b/>
                <w:color w:val="auto"/>
              </w:rPr>
              <w:t xml:space="preserve">  废气排放口基本情况</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2"/>
              <w:gridCol w:w="991"/>
              <w:gridCol w:w="854"/>
              <w:gridCol w:w="801"/>
              <w:gridCol w:w="862"/>
              <w:gridCol w:w="819"/>
              <w:gridCol w:w="1510"/>
              <w:gridCol w:w="6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restart"/>
                  <w:vAlign w:val="center"/>
                </w:tcPr>
                <w:p>
                  <w:pPr>
                    <w:jc w:val="center"/>
                    <w:rPr>
                      <w:b/>
                      <w:color w:val="auto"/>
                      <w:sz w:val="21"/>
                      <w:szCs w:val="21"/>
                    </w:rPr>
                  </w:pPr>
                  <w:r>
                    <w:rPr>
                      <w:rFonts w:hint="eastAsia"/>
                      <w:b/>
                      <w:color w:val="auto"/>
                      <w:sz w:val="21"/>
                      <w:szCs w:val="21"/>
                    </w:rPr>
                    <w:t>排气筒编号</w:t>
                  </w:r>
                </w:p>
              </w:tc>
              <w:tc>
                <w:tcPr>
                  <w:tcW w:w="991" w:type="dxa"/>
                  <w:vMerge w:val="restart"/>
                  <w:tcBorders>
                    <w:right w:val="single" w:color="auto" w:sz="4" w:space="0"/>
                  </w:tcBorders>
                  <w:vAlign w:val="center"/>
                </w:tcPr>
                <w:p>
                  <w:pPr>
                    <w:jc w:val="center"/>
                    <w:rPr>
                      <w:b/>
                      <w:color w:val="auto"/>
                      <w:sz w:val="21"/>
                      <w:szCs w:val="21"/>
                    </w:rPr>
                  </w:pPr>
                  <w:r>
                    <w:rPr>
                      <w:rFonts w:hint="eastAsia"/>
                      <w:b/>
                      <w:color w:val="auto"/>
                      <w:sz w:val="21"/>
                      <w:szCs w:val="21"/>
                    </w:rPr>
                    <w:t>污染物名称</w:t>
                  </w:r>
                </w:p>
              </w:tc>
              <w:tc>
                <w:tcPr>
                  <w:tcW w:w="1655" w:type="dxa"/>
                  <w:gridSpan w:val="2"/>
                  <w:tcBorders>
                    <w:right w:val="single" w:color="auto" w:sz="4" w:space="0"/>
                  </w:tcBorders>
                  <w:vAlign w:val="center"/>
                </w:tcPr>
                <w:p>
                  <w:pPr>
                    <w:jc w:val="center"/>
                    <w:rPr>
                      <w:b/>
                      <w:color w:val="auto"/>
                      <w:sz w:val="21"/>
                      <w:szCs w:val="21"/>
                    </w:rPr>
                  </w:pPr>
                  <w:r>
                    <w:rPr>
                      <w:rFonts w:hint="eastAsia"/>
                      <w:b/>
                      <w:color w:val="auto"/>
                      <w:sz w:val="21"/>
                      <w:szCs w:val="21"/>
                    </w:rPr>
                    <w:t>排放情况</w:t>
                  </w:r>
                </w:p>
              </w:tc>
              <w:tc>
                <w:tcPr>
                  <w:tcW w:w="1681" w:type="dxa"/>
                  <w:gridSpan w:val="2"/>
                  <w:tcBorders>
                    <w:left w:val="single" w:color="auto" w:sz="4" w:space="0"/>
                  </w:tcBorders>
                  <w:vAlign w:val="center"/>
                </w:tcPr>
                <w:p>
                  <w:pPr>
                    <w:jc w:val="center"/>
                    <w:rPr>
                      <w:b/>
                      <w:color w:val="auto"/>
                      <w:sz w:val="21"/>
                      <w:szCs w:val="21"/>
                    </w:rPr>
                  </w:pPr>
                  <w:r>
                    <w:rPr>
                      <w:rFonts w:hint="eastAsia"/>
                      <w:b/>
                      <w:color w:val="auto"/>
                      <w:sz w:val="21"/>
                      <w:szCs w:val="21"/>
                    </w:rPr>
                    <w:t>标准值</w:t>
                  </w:r>
                </w:p>
              </w:tc>
              <w:tc>
                <w:tcPr>
                  <w:tcW w:w="1510" w:type="dxa"/>
                  <w:vMerge w:val="restart"/>
                  <w:tcBorders>
                    <w:left w:val="single" w:color="auto" w:sz="4" w:space="0"/>
                  </w:tcBorders>
                  <w:vAlign w:val="center"/>
                </w:tcPr>
                <w:p>
                  <w:pPr>
                    <w:jc w:val="center"/>
                    <w:rPr>
                      <w:b/>
                      <w:color w:val="auto"/>
                      <w:sz w:val="21"/>
                      <w:szCs w:val="21"/>
                    </w:rPr>
                  </w:pPr>
                  <w:r>
                    <w:rPr>
                      <w:rFonts w:hint="eastAsia"/>
                      <w:b/>
                      <w:color w:val="auto"/>
                      <w:sz w:val="21"/>
                      <w:szCs w:val="21"/>
                    </w:rPr>
                    <w:t>执行标准</w:t>
                  </w:r>
                </w:p>
              </w:tc>
              <w:tc>
                <w:tcPr>
                  <w:tcW w:w="651" w:type="dxa"/>
                  <w:vMerge w:val="restart"/>
                  <w:tcBorders>
                    <w:left w:val="single" w:color="auto" w:sz="6" w:space="0"/>
                  </w:tcBorders>
                  <w:vAlign w:val="center"/>
                </w:tcPr>
                <w:p>
                  <w:pPr>
                    <w:jc w:val="center"/>
                    <w:rPr>
                      <w:b/>
                      <w:color w:val="auto"/>
                      <w:sz w:val="21"/>
                      <w:szCs w:val="21"/>
                    </w:rPr>
                  </w:pPr>
                  <w:r>
                    <w:rPr>
                      <w:rFonts w:hint="eastAsia"/>
                      <w:b/>
                      <w:color w:val="auto"/>
                      <w:sz w:val="21"/>
                      <w:szCs w:val="21"/>
                    </w:rPr>
                    <w:t>是否达标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continue"/>
                  <w:vAlign w:val="center"/>
                </w:tcPr>
                <w:p>
                  <w:pPr>
                    <w:jc w:val="center"/>
                    <w:rPr>
                      <w:b/>
                      <w:color w:val="auto"/>
                      <w:sz w:val="21"/>
                      <w:szCs w:val="21"/>
                    </w:rPr>
                  </w:pPr>
                </w:p>
              </w:tc>
              <w:tc>
                <w:tcPr>
                  <w:tcW w:w="991" w:type="dxa"/>
                  <w:vMerge w:val="continue"/>
                  <w:tcBorders>
                    <w:right w:val="single" w:color="auto" w:sz="4" w:space="0"/>
                  </w:tcBorders>
                  <w:vAlign w:val="center"/>
                </w:tcPr>
                <w:p>
                  <w:pPr>
                    <w:jc w:val="center"/>
                    <w:rPr>
                      <w:b/>
                      <w:color w:val="auto"/>
                      <w:sz w:val="21"/>
                      <w:szCs w:val="21"/>
                    </w:rPr>
                  </w:pPr>
                </w:p>
              </w:tc>
              <w:tc>
                <w:tcPr>
                  <w:tcW w:w="854" w:type="dxa"/>
                  <w:tcBorders>
                    <w:right w:val="single" w:color="auto" w:sz="4" w:space="0"/>
                  </w:tcBorders>
                  <w:vAlign w:val="center"/>
                </w:tcPr>
                <w:p>
                  <w:pPr>
                    <w:jc w:val="center"/>
                    <w:rPr>
                      <w:b/>
                      <w:color w:val="auto"/>
                      <w:sz w:val="21"/>
                      <w:szCs w:val="21"/>
                    </w:rPr>
                  </w:pPr>
                  <w:r>
                    <w:rPr>
                      <w:rFonts w:hint="eastAsia"/>
                      <w:b/>
                      <w:color w:val="auto"/>
                      <w:sz w:val="21"/>
                      <w:szCs w:val="21"/>
                    </w:rPr>
                    <w:t>排放速率kg/h</w:t>
                  </w:r>
                </w:p>
              </w:tc>
              <w:tc>
                <w:tcPr>
                  <w:tcW w:w="801" w:type="dxa"/>
                  <w:tcBorders>
                    <w:right w:val="single" w:color="auto" w:sz="4" w:space="0"/>
                  </w:tcBorders>
                  <w:vAlign w:val="center"/>
                </w:tcPr>
                <w:p>
                  <w:pPr>
                    <w:jc w:val="center"/>
                    <w:rPr>
                      <w:b/>
                      <w:color w:val="auto"/>
                      <w:sz w:val="21"/>
                      <w:szCs w:val="21"/>
                    </w:rPr>
                  </w:pPr>
                  <w:r>
                    <w:rPr>
                      <w:rFonts w:hint="eastAsia"/>
                      <w:b/>
                      <w:color w:val="auto"/>
                      <w:sz w:val="21"/>
                      <w:szCs w:val="21"/>
                    </w:rPr>
                    <w:t>排放浓度mg/m</w:t>
                  </w:r>
                  <w:r>
                    <w:rPr>
                      <w:rFonts w:hint="eastAsia"/>
                      <w:b/>
                      <w:color w:val="auto"/>
                      <w:sz w:val="21"/>
                      <w:szCs w:val="21"/>
                      <w:vertAlign w:val="superscript"/>
                    </w:rPr>
                    <w:t>3</w:t>
                  </w:r>
                </w:p>
              </w:tc>
              <w:tc>
                <w:tcPr>
                  <w:tcW w:w="862" w:type="dxa"/>
                  <w:tcBorders>
                    <w:left w:val="single" w:color="auto" w:sz="4" w:space="0"/>
                  </w:tcBorders>
                  <w:vAlign w:val="center"/>
                </w:tcPr>
                <w:p>
                  <w:pPr>
                    <w:jc w:val="center"/>
                    <w:rPr>
                      <w:b/>
                      <w:color w:val="auto"/>
                      <w:sz w:val="21"/>
                      <w:szCs w:val="21"/>
                    </w:rPr>
                  </w:pPr>
                  <w:r>
                    <w:rPr>
                      <w:rFonts w:hint="eastAsia"/>
                      <w:b/>
                      <w:color w:val="auto"/>
                      <w:sz w:val="21"/>
                      <w:szCs w:val="21"/>
                    </w:rPr>
                    <w:t>排放速率kg/h</w:t>
                  </w:r>
                </w:p>
              </w:tc>
              <w:tc>
                <w:tcPr>
                  <w:tcW w:w="819" w:type="dxa"/>
                  <w:tcBorders>
                    <w:left w:val="single" w:color="auto" w:sz="4" w:space="0"/>
                  </w:tcBorders>
                  <w:vAlign w:val="center"/>
                </w:tcPr>
                <w:p>
                  <w:pPr>
                    <w:jc w:val="center"/>
                    <w:rPr>
                      <w:b/>
                      <w:color w:val="auto"/>
                      <w:sz w:val="21"/>
                      <w:szCs w:val="21"/>
                    </w:rPr>
                  </w:pPr>
                  <w:r>
                    <w:rPr>
                      <w:rFonts w:hint="eastAsia"/>
                      <w:b/>
                      <w:color w:val="auto"/>
                      <w:sz w:val="21"/>
                      <w:szCs w:val="21"/>
                    </w:rPr>
                    <w:t>排放浓度mg/m</w:t>
                  </w:r>
                  <w:r>
                    <w:rPr>
                      <w:rFonts w:hint="eastAsia"/>
                      <w:b/>
                      <w:color w:val="auto"/>
                      <w:sz w:val="21"/>
                      <w:szCs w:val="21"/>
                      <w:vertAlign w:val="superscript"/>
                    </w:rPr>
                    <w:t>3</w:t>
                  </w:r>
                </w:p>
              </w:tc>
              <w:tc>
                <w:tcPr>
                  <w:tcW w:w="1510" w:type="dxa"/>
                  <w:vMerge w:val="continue"/>
                  <w:tcBorders>
                    <w:left w:val="single" w:color="auto" w:sz="4" w:space="0"/>
                  </w:tcBorders>
                  <w:vAlign w:val="center"/>
                </w:tcPr>
                <w:p>
                  <w:pPr>
                    <w:jc w:val="center"/>
                    <w:rPr>
                      <w:b/>
                      <w:color w:val="FF0000"/>
                      <w:sz w:val="21"/>
                      <w:szCs w:val="21"/>
                    </w:rPr>
                  </w:pPr>
                </w:p>
              </w:tc>
              <w:tc>
                <w:tcPr>
                  <w:tcW w:w="651" w:type="dxa"/>
                  <w:vMerge w:val="continue"/>
                  <w:tcBorders>
                    <w:left w:val="single" w:color="auto" w:sz="6" w:space="0"/>
                  </w:tcBorders>
                  <w:vAlign w:val="center"/>
                </w:tcPr>
                <w:p>
                  <w:pPr>
                    <w:jc w:val="center"/>
                    <w:rPr>
                      <w:b/>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04</w:t>
                  </w:r>
                </w:p>
              </w:tc>
              <w:tc>
                <w:tcPr>
                  <w:tcW w:w="991" w:type="dxa"/>
                  <w:tcBorders>
                    <w:right w:val="single" w:color="auto" w:sz="4" w:space="0"/>
                  </w:tcBorders>
                  <w:vAlign w:val="center"/>
                </w:tcPr>
                <w:p>
                  <w:pPr>
                    <w:jc w:val="center"/>
                    <w:rPr>
                      <w:rFonts w:hint="eastAsia" w:eastAsia="宋体"/>
                      <w:b/>
                      <w:color w:val="auto"/>
                      <w:sz w:val="21"/>
                      <w:szCs w:val="21"/>
                      <w:lang w:eastAsia="zh-CN"/>
                    </w:rPr>
                  </w:pPr>
                  <w:r>
                    <w:rPr>
                      <w:rFonts w:hint="eastAsia"/>
                      <w:bCs/>
                      <w:color w:val="auto"/>
                      <w:sz w:val="21"/>
                      <w:szCs w:val="21"/>
                      <w:lang w:val="en-US" w:eastAsia="zh-CN"/>
                    </w:rPr>
                    <w:t>颗粒物</w:t>
                  </w:r>
                </w:p>
              </w:tc>
              <w:tc>
                <w:tcPr>
                  <w:tcW w:w="854" w:type="dxa"/>
                  <w:tcBorders>
                    <w:right w:val="single" w:color="auto" w:sz="4" w:space="0"/>
                  </w:tcBorders>
                  <w:vAlign w:val="center"/>
                </w:tcPr>
                <w:p>
                  <w:pPr>
                    <w:jc w:val="center"/>
                    <w:rPr>
                      <w:rFonts w:hint="default" w:eastAsia="宋体"/>
                      <w:bCs/>
                      <w:color w:val="auto"/>
                      <w:sz w:val="21"/>
                      <w:szCs w:val="21"/>
                      <w:lang w:val="en-US" w:eastAsia="zh-CN"/>
                    </w:rPr>
                  </w:pPr>
                  <w:r>
                    <w:rPr>
                      <w:rFonts w:hint="eastAsia"/>
                      <w:bCs/>
                      <w:color w:val="auto"/>
                      <w:sz w:val="21"/>
                      <w:szCs w:val="21"/>
                      <w:lang w:val="en-US" w:eastAsia="zh-CN"/>
                    </w:rPr>
                    <w:t>0.078</w:t>
                  </w:r>
                </w:p>
              </w:tc>
              <w:tc>
                <w:tcPr>
                  <w:tcW w:w="801" w:type="dxa"/>
                  <w:tcBorders>
                    <w:right w:val="single" w:color="auto" w:sz="4" w:space="0"/>
                  </w:tcBorders>
                  <w:vAlign w:val="center"/>
                </w:tcPr>
                <w:p>
                  <w:pPr>
                    <w:jc w:val="center"/>
                    <w:rPr>
                      <w:rFonts w:hint="default" w:eastAsia="宋体"/>
                      <w:bCs/>
                      <w:color w:val="auto"/>
                      <w:sz w:val="21"/>
                      <w:szCs w:val="21"/>
                      <w:lang w:val="en-US" w:eastAsia="zh-CN"/>
                    </w:rPr>
                  </w:pPr>
                  <w:r>
                    <w:rPr>
                      <w:rFonts w:hint="eastAsia"/>
                      <w:bCs/>
                      <w:color w:val="auto"/>
                      <w:sz w:val="21"/>
                      <w:szCs w:val="21"/>
                      <w:lang w:val="en-US" w:eastAsia="zh-CN"/>
                    </w:rPr>
                    <w:t>1.95</w:t>
                  </w:r>
                </w:p>
              </w:tc>
              <w:tc>
                <w:tcPr>
                  <w:tcW w:w="862" w:type="dxa"/>
                  <w:tcBorders>
                    <w:left w:val="single" w:color="auto" w:sz="4" w:space="0"/>
                  </w:tcBorders>
                  <w:vAlign w:val="center"/>
                </w:tcPr>
                <w:p>
                  <w:pPr>
                    <w:jc w:val="center"/>
                    <w:rPr>
                      <w:rFonts w:hint="default" w:eastAsia="宋体"/>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default" w:eastAsia="宋体"/>
                      <w:bCs/>
                      <w:color w:val="auto"/>
                      <w:sz w:val="21"/>
                      <w:szCs w:val="21"/>
                      <w:lang w:val="en-US" w:eastAsia="zh-CN"/>
                    </w:rPr>
                  </w:pPr>
                  <w:r>
                    <w:rPr>
                      <w:rFonts w:hint="eastAsia"/>
                      <w:bCs/>
                      <w:color w:val="auto"/>
                      <w:sz w:val="21"/>
                      <w:szCs w:val="21"/>
                      <w:lang w:val="en-US" w:eastAsia="zh-CN"/>
                    </w:rPr>
                    <w:t>30</w:t>
                  </w:r>
                </w:p>
              </w:tc>
              <w:tc>
                <w:tcPr>
                  <w:tcW w:w="1510" w:type="dxa"/>
                  <w:vMerge w:val="restart"/>
                  <w:tcBorders>
                    <w:left w:val="single" w:color="auto" w:sz="4" w:space="0"/>
                  </w:tcBorders>
                  <w:vAlign w:val="center"/>
                </w:tcPr>
                <w:p>
                  <w:pPr>
                    <w:jc w:val="center"/>
                    <w:rPr>
                      <w:rFonts w:hint="eastAsia"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rPr>
                    <w:t>工业涂装工序大气污染物排放标准</w:t>
                  </w:r>
                </w:p>
              </w:tc>
              <w:tc>
                <w:tcPr>
                  <w:tcW w:w="651" w:type="dxa"/>
                  <w:tcBorders>
                    <w:left w:val="single" w:color="auto" w:sz="6" w:space="0"/>
                  </w:tcBorders>
                  <w:vAlign w:val="center"/>
                </w:tcPr>
                <w:p>
                  <w:pPr>
                    <w:jc w:val="center"/>
                    <w:rPr>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02</w:t>
                  </w:r>
                </w:p>
              </w:tc>
              <w:tc>
                <w:tcPr>
                  <w:tcW w:w="991" w:type="dxa"/>
                  <w:tcBorders>
                    <w:right w:val="single" w:color="auto" w:sz="4" w:space="0"/>
                  </w:tcBorders>
                  <w:vAlign w:val="center"/>
                </w:tcPr>
                <w:p>
                  <w:pPr>
                    <w:jc w:val="center"/>
                    <w:rPr>
                      <w:rFonts w:hint="eastAsia"/>
                      <w:bCs/>
                      <w:color w:val="auto"/>
                      <w:sz w:val="21"/>
                      <w:szCs w:val="21"/>
                      <w:lang w:val="en-US" w:eastAsia="zh-CN"/>
                    </w:rPr>
                  </w:pPr>
                  <w:r>
                    <w:rPr>
                      <w:rFonts w:hint="eastAsia"/>
                      <w:bCs/>
                      <w:color w:val="auto"/>
                      <w:sz w:val="21"/>
                      <w:szCs w:val="21"/>
                      <w:lang w:val="en-US" w:eastAsia="zh-CN"/>
                    </w:rPr>
                    <w:t>颗粒物</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0.078</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3.901</w:t>
                  </w:r>
                </w:p>
              </w:tc>
              <w:tc>
                <w:tcPr>
                  <w:tcW w:w="862" w:type="dxa"/>
                  <w:tcBorders>
                    <w:lef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30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07</w:t>
                  </w:r>
                </w:p>
              </w:tc>
              <w:tc>
                <w:tcPr>
                  <w:tcW w:w="991" w:type="dxa"/>
                  <w:tcBorders>
                    <w:right w:val="single" w:color="auto" w:sz="4" w:space="0"/>
                  </w:tcBorders>
                  <w:vAlign w:val="center"/>
                </w:tcPr>
                <w:p>
                  <w:pPr>
                    <w:jc w:val="center"/>
                    <w:rPr>
                      <w:rFonts w:hint="eastAsia"/>
                      <w:bCs/>
                      <w:color w:val="auto"/>
                      <w:sz w:val="21"/>
                      <w:szCs w:val="21"/>
                      <w:lang w:val="en-US" w:eastAsia="zh-CN"/>
                    </w:rPr>
                  </w:pPr>
                  <w:r>
                    <w:rPr>
                      <w:rFonts w:hint="eastAsia"/>
                      <w:bCs/>
                      <w:color w:val="auto"/>
                      <w:sz w:val="21"/>
                      <w:szCs w:val="21"/>
                      <w:lang w:val="en-US" w:eastAsia="zh-CN"/>
                    </w:rPr>
                    <w:t>颗粒物</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0.3121</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7.802</w:t>
                  </w:r>
                </w:p>
              </w:tc>
              <w:tc>
                <w:tcPr>
                  <w:tcW w:w="862" w:type="dxa"/>
                  <w:tcBorders>
                    <w:lef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30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06</w:t>
                  </w:r>
                </w:p>
              </w:tc>
              <w:tc>
                <w:tcPr>
                  <w:tcW w:w="991" w:type="dxa"/>
                  <w:tcBorders>
                    <w:right w:val="single" w:color="auto" w:sz="4" w:space="0"/>
                  </w:tcBorders>
                  <w:vAlign w:val="center"/>
                </w:tcPr>
                <w:p>
                  <w:pPr>
                    <w:jc w:val="center"/>
                    <w:rPr>
                      <w:rFonts w:hint="eastAsia"/>
                      <w:bCs/>
                      <w:color w:val="auto"/>
                      <w:sz w:val="21"/>
                      <w:szCs w:val="21"/>
                      <w:lang w:val="en-US" w:eastAsia="zh-CN"/>
                    </w:rPr>
                  </w:pPr>
                  <w:r>
                    <w:rPr>
                      <w:rFonts w:hint="eastAsia"/>
                      <w:bCs/>
                      <w:color w:val="auto"/>
                      <w:sz w:val="21"/>
                      <w:szCs w:val="21"/>
                      <w:lang w:val="en-US" w:eastAsia="zh-CN"/>
                    </w:rPr>
                    <w:t>颗粒物</w:t>
                  </w:r>
                </w:p>
              </w:tc>
              <w:tc>
                <w:tcPr>
                  <w:tcW w:w="854" w:type="dxa"/>
                  <w:tcBorders>
                    <w:right w:val="single" w:color="auto" w:sz="4" w:space="0"/>
                  </w:tcBorders>
                  <w:vAlign w:val="center"/>
                </w:tcPr>
                <w:p>
                  <w:pPr>
                    <w:jc w:val="center"/>
                    <w:rPr>
                      <w:rFonts w:hint="eastAsia"/>
                      <w:bCs/>
                      <w:color w:val="auto"/>
                      <w:sz w:val="21"/>
                      <w:szCs w:val="21"/>
                      <w:lang w:val="en-US" w:eastAsia="zh-CN"/>
                    </w:rPr>
                  </w:pPr>
                  <w:r>
                    <w:rPr>
                      <w:rFonts w:hint="eastAsia"/>
                      <w:bCs/>
                      <w:color w:val="auto"/>
                      <w:sz w:val="21"/>
                      <w:szCs w:val="21"/>
                      <w:lang w:val="en-US" w:eastAsia="zh-CN"/>
                    </w:rPr>
                    <w:t>0.3121</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15.604</w:t>
                  </w:r>
                </w:p>
              </w:tc>
              <w:tc>
                <w:tcPr>
                  <w:tcW w:w="862" w:type="dxa"/>
                  <w:tcBorders>
                    <w:lef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30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01</w:t>
                  </w:r>
                </w:p>
              </w:tc>
              <w:tc>
                <w:tcPr>
                  <w:tcW w:w="99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二甲苯</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0.0525</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3.5</w:t>
                  </w:r>
                </w:p>
              </w:tc>
              <w:tc>
                <w:tcPr>
                  <w:tcW w:w="862"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40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restart"/>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05</w:t>
                  </w:r>
                </w:p>
              </w:tc>
              <w:tc>
                <w:tcPr>
                  <w:tcW w:w="99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二甲苯</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0.12</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8</w:t>
                  </w:r>
                </w:p>
              </w:tc>
              <w:tc>
                <w:tcPr>
                  <w:tcW w:w="862"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40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continue"/>
                  <w:vAlign w:val="center"/>
                </w:tcPr>
                <w:p>
                  <w:pPr>
                    <w:jc w:val="center"/>
                    <w:rPr>
                      <w:rFonts w:hint="eastAsia"/>
                      <w:bCs/>
                      <w:color w:val="auto"/>
                      <w:sz w:val="21"/>
                      <w:szCs w:val="21"/>
                    </w:rPr>
                  </w:pPr>
                </w:p>
              </w:tc>
              <w:tc>
                <w:tcPr>
                  <w:tcW w:w="99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颗粒物</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0.108</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7.2</w:t>
                  </w:r>
                </w:p>
              </w:tc>
              <w:tc>
                <w:tcPr>
                  <w:tcW w:w="862"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30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restart"/>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rPr>
                    <w:t>DA0</w:t>
                  </w:r>
                  <w:r>
                    <w:rPr>
                      <w:rFonts w:hint="eastAsia"/>
                      <w:bCs/>
                      <w:color w:val="auto"/>
                      <w:sz w:val="21"/>
                      <w:szCs w:val="21"/>
                      <w:lang w:val="en-US" w:eastAsia="zh-CN"/>
                    </w:rPr>
                    <w:t>03</w:t>
                  </w:r>
                </w:p>
              </w:tc>
              <w:tc>
                <w:tcPr>
                  <w:tcW w:w="99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颗粒物</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0.0509</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2.546</w:t>
                  </w:r>
                </w:p>
              </w:tc>
              <w:tc>
                <w:tcPr>
                  <w:tcW w:w="862"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eastAsia"/>
                      <w:bCs/>
                      <w:color w:val="auto"/>
                      <w:sz w:val="21"/>
                      <w:szCs w:val="21"/>
                      <w:lang w:val="en-US" w:eastAsia="zh-CN"/>
                    </w:rPr>
                  </w:pPr>
                  <w:r>
                    <w:rPr>
                      <w:rFonts w:hint="eastAsia"/>
                      <w:bCs/>
                      <w:color w:val="auto"/>
                      <w:sz w:val="21"/>
                      <w:szCs w:val="21"/>
                      <w:lang w:val="en-US" w:eastAsia="zh-CN"/>
                    </w:rPr>
                    <w:t>30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continue"/>
                  <w:vAlign w:val="center"/>
                </w:tcPr>
                <w:p>
                  <w:pPr>
                    <w:jc w:val="center"/>
                    <w:rPr>
                      <w:rFonts w:hint="eastAsia"/>
                      <w:bCs/>
                      <w:color w:val="auto"/>
                      <w:sz w:val="21"/>
                      <w:szCs w:val="21"/>
                    </w:rPr>
                  </w:pPr>
                </w:p>
              </w:tc>
              <w:tc>
                <w:tcPr>
                  <w:tcW w:w="99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非甲烷总烃</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0.0035</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0.175</w:t>
                  </w:r>
                </w:p>
              </w:tc>
              <w:tc>
                <w:tcPr>
                  <w:tcW w:w="862"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80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restart"/>
                  <w:vAlign w:val="center"/>
                </w:tcPr>
                <w:p>
                  <w:pPr>
                    <w:jc w:val="center"/>
                    <w:rPr>
                      <w:rFonts w:hint="eastAsia"/>
                      <w:bCs/>
                      <w:color w:val="auto"/>
                      <w:sz w:val="21"/>
                      <w:szCs w:val="21"/>
                    </w:rPr>
                  </w:pPr>
                  <w:r>
                    <w:rPr>
                      <w:rFonts w:hint="eastAsia"/>
                      <w:bCs/>
                      <w:color w:val="auto"/>
                      <w:sz w:val="21"/>
                      <w:szCs w:val="21"/>
                    </w:rPr>
                    <w:t>DA0</w:t>
                  </w:r>
                  <w:r>
                    <w:rPr>
                      <w:rFonts w:hint="eastAsia"/>
                      <w:bCs/>
                      <w:color w:val="auto"/>
                      <w:sz w:val="21"/>
                      <w:szCs w:val="21"/>
                      <w:lang w:val="en-US" w:eastAsia="zh-CN"/>
                    </w:rPr>
                    <w:t>08</w:t>
                  </w:r>
                </w:p>
              </w:tc>
              <w:tc>
                <w:tcPr>
                  <w:tcW w:w="991" w:type="dxa"/>
                  <w:tcBorders>
                    <w:righ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颗粒物</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0.2037</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10.185</w:t>
                  </w:r>
                </w:p>
              </w:tc>
              <w:tc>
                <w:tcPr>
                  <w:tcW w:w="862"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eastAsia"/>
                      <w:bCs/>
                      <w:color w:val="auto"/>
                      <w:sz w:val="21"/>
                      <w:szCs w:val="21"/>
                      <w:lang w:val="en-US" w:eastAsia="zh-CN"/>
                    </w:rPr>
                  </w:pPr>
                  <w:r>
                    <w:rPr>
                      <w:rFonts w:hint="eastAsia"/>
                      <w:bCs/>
                      <w:color w:val="auto"/>
                      <w:sz w:val="21"/>
                      <w:szCs w:val="21"/>
                      <w:lang w:val="en-US" w:eastAsia="zh-CN"/>
                    </w:rPr>
                    <w:t>30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2" w:type="dxa"/>
                  <w:vMerge w:val="continue"/>
                  <w:vAlign w:val="center"/>
                </w:tcPr>
                <w:p>
                  <w:pPr>
                    <w:jc w:val="center"/>
                    <w:rPr>
                      <w:rFonts w:hint="eastAsia"/>
                      <w:bCs/>
                      <w:color w:val="auto"/>
                      <w:sz w:val="21"/>
                      <w:szCs w:val="21"/>
                    </w:rPr>
                  </w:pPr>
                </w:p>
              </w:tc>
              <w:tc>
                <w:tcPr>
                  <w:tcW w:w="991" w:type="dxa"/>
                  <w:tcBorders>
                    <w:right w:val="single" w:color="auto" w:sz="4" w:space="0"/>
                  </w:tcBorders>
                  <w:vAlign w:val="center"/>
                </w:tcPr>
                <w:p>
                  <w:pPr>
                    <w:jc w:val="center"/>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非甲烷总烃</w:t>
                  </w:r>
                </w:p>
              </w:tc>
              <w:tc>
                <w:tcPr>
                  <w:tcW w:w="854"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0.014</w:t>
                  </w:r>
                </w:p>
              </w:tc>
              <w:tc>
                <w:tcPr>
                  <w:tcW w:w="801" w:type="dxa"/>
                  <w:tcBorders>
                    <w:righ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0.698</w:t>
                  </w:r>
                </w:p>
              </w:tc>
              <w:tc>
                <w:tcPr>
                  <w:tcW w:w="862"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w:t>
                  </w:r>
                </w:p>
              </w:tc>
              <w:tc>
                <w:tcPr>
                  <w:tcW w:w="819" w:type="dxa"/>
                  <w:tcBorders>
                    <w:left w:val="single" w:color="auto" w:sz="4" w:space="0"/>
                  </w:tcBorders>
                  <w:vAlign w:val="center"/>
                </w:tcPr>
                <w:p>
                  <w:pPr>
                    <w:jc w:val="center"/>
                    <w:rPr>
                      <w:rFonts w:hint="default"/>
                      <w:bCs/>
                      <w:color w:val="auto"/>
                      <w:sz w:val="21"/>
                      <w:szCs w:val="21"/>
                      <w:lang w:val="en-US" w:eastAsia="zh-CN"/>
                    </w:rPr>
                  </w:pPr>
                  <w:r>
                    <w:rPr>
                      <w:rFonts w:hint="eastAsia"/>
                      <w:bCs/>
                      <w:color w:val="auto"/>
                      <w:sz w:val="21"/>
                      <w:szCs w:val="21"/>
                      <w:lang w:val="en-US" w:eastAsia="zh-CN"/>
                    </w:rPr>
                    <w:t>80</w:t>
                  </w:r>
                </w:p>
              </w:tc>
              <w:tc>
                <w:tcPr>
                  <w:tcW w:w="1510" w:type="dxa"/>
                  <w:vMerge w:val="continue"/>
                  <w:tcBorders>
                    <w:left w:val="single" w:color="auto" w:sz="4" w:space="0"/>
                  </w:tcBorders>
                  <w:vAlign w:val="center"/>
                </w:tcPr>
                <w:p>
                  <w:pPr>
                    <w:jc w:val="center"/>
                    <w:rPr>
                      <w:rFonts w:hint="eastAsia" w:ascii="Times New Roman" w:hAnsi="Times New Roman" w:eastAsia="宋体" w:cs="Times New Roman"/>
                      <w:bCs/>
                      <w:color w:val="auto"/>
                      <w:sz w:val="21"/>
                      <w:szCs w:val="21"/>
                      <w:lang w:val="en-US" w:eastAsia="zh-CN"/>
                    </w:rPr>
                  </w:pPr>
                </w:p>
              </w:tc>
              <w:tc>
                <w:tcPr>
                  <w:tcW w:w="651" w:type="dxa"/>
                  <w:tcBorders>
                    <w:left w:val="single" w:color="auto" w:sz="6" w:space="0"/>
                  </w:tcBorders>
                  <w:vAlign w:val="center"/>
                </w:tcPr>
                <w:p>
                  <w:pPr>
                    <w:jc w:val="center"/>
                    <w:rPr>
                      <w:rFonts w:hint="eastAsia"/>
                      <w:bCs/>
                      <w:color w:val="auto"/>
                      <w:sz w:val="21"/>
                      <w:szCs w:val="21"/>
                    </w:rPr>
                  </w:pPr>
                  <w:r>
                    <w:rPr>
                      <w:rFonts w:hint="eastAsia"/>
                      <w:bCs/>
                      <w:color w:val="auto"/>
                      <w:sz w:val="21"/>
                      <w:szCs w:val="21"/>
                    </w:rPr>
                    <w:t>达标</w:t>
                  </w:r>
                </w:p>
              </w:tc>
            </w:tr>
          </w:tbl>
          <w:p>
            <w:pPr>
              <w:spacing w:line="240" w:lineRule="auto"/>
              <w:ind w:firstLine="480" w:firstLineChars="200"/>
              <w:rPr>
                <w:rFonts w:hint="eastAsia"/>
                <w:color w:val="FF0000"/>
                <w:szCs w:val="24"/>
                <w:lang w:val="en-US" w:eastAsia="zh-CN"/>
              </w:rPr>
            </w:pPr>
          </w:p>
          <w:p>
            <w:pPr>
              <w:spacing w:line="360" w:lineRule="auto"/>
              <w:ind w:firstLine="480" w:firstLineChars="200"/>
              <w:rPr>
                <w:color w:val="auto"/>
                <w:szCs w:val="24"/>
              </w:rPr>
            </w:pPr>
            <w:r>
              <w:rPr>
                <w:rFonts w:hint="eastAsia"/>
                <w:color w:val="auto"/>
                <w:szCs w:val="24"/>
                <w:lang w:val="en-US" w:eastAsia="zh-CN"/>
              </w:rPr>
              <w:t>颗粒物、二甲苯、非甲烷总烃、臭气浓度</w:t>
            </w:r>
            <w:r>
              <w:rPr>
                <w:rFonts w:hint="eastAsia"/>
                <w:color w:val="auto"/>
                <w:szCs w:val="24"/>
              </w:rPr>
              <w:t>无组织排放</w:t>
            </w:r>
            <w:r>
              <w:rPr>
                <w:rFonts w:hint="eastAsia"/>
                <w:color w:val="auto"/>
                <w:szCs w:val="24"/>
                <w:lang w:val="en-US" w:eastAsia="zh-CN"/>
              </w:rPr>
              <w:t>达到</w:t>
            </w:r>
            <w:r>
              <w:rPr>
                <w:rFonts w:hint="eastAsia"/>
                <w:color w:val="auto"/>
                <w:szCs w:val="24"/>
              </w:rPr>
              <w:t>《工业涂装工序大气污染物排放标准》（DB33/2146-2018）表6企业边界大气污染物浓度限值。</w:t>
            </w:r>
          </w:p>
          <w:p>
            <w:pPr>
              <w:pStyle w:val="40"/>
              <w:spacing w:line="240" w:lineRule="auto"/>
              <w:rPr>
                <w:color w:val="FF0000"/>
                <w:szCs w:val="24"/>
              </w:rPr>
            </w:pPr>
          </w:p>
          <w:p>
            <w:pPr>
              <w:spacing w:line="360" w:lineRule="auto"/>
              <w:ind w:left="480" w:leftChars="200"/>
              <w:rPr>
                <w:color w:val="auto"/>
                <w:szCs w:val="24"/>
              </w:rPr>
            </w:pPr>
            <w:r>
              <w:rPr>
                <w:color w:val="auto"/>
                <w:szCs w:val="24"/>
              </w:rPr>
              <w:t>（</w:t>
            </w:r>
            <w:r>
              <w:rPr>
                <w:rFonts w:hint="eastAsia"/>
                <w:color w:val="auto"/>
                <w:szCs w:val="24"/>
              </w:rPr>
              <w:t>5</w:t>
            </w:r>
            <w:r>
              <w:rPr>
                <w:color w:val="auto"/>
                <w:szCs w:val="24"/>
              </w:rPr>
              <w:t>）</w:t>
            </w:r>
            <w:r>
              <w:rPr>
                <w:rFonts w:hint="eastAsia"/>
                <w:color w:val="auto"/>
                <w:szCs w:val="24"/>
              </w:rPr>
              <w:t>废气处理技术可行性分析</w:t>
            </w:r>
          </w:p>
          <w:p>
            <w:pPr>
              <w:spacing w:line="360" w:lineRule="auto"/>
              <w:ind w:firstLine="480" w:firstLineChars="200"/>
              <w:rPr>
                <w:rFonts w:hint="default" w:eastAsia="宋体"/>
                <w:color w:val="FF0000"/>
                <w:szCs w:val="24"/>
                <w:lang w:val="en-US" w:eastAsia="zh-CN"/>
              </w:rPr>
            </w:pPr>
            <w:r>
              <w:rPr>
                <w:rFonts w:hint="eastAsia"/>
                <w:color w:val="auto"/>
                <w:szCs w:val="24"/>
              </w:rPr>
              <w:t>根据《排污许可证申请与核发技术规范 铁路、船舶、航空航天和其他运输设备制造业》（HJ1124-2020）</w:t>
            </w:r>
            <w:r>
              <w:rPr>
                <w:rFonts w:hint="eastAsia"/>
                <w:color w:val="auto"/>
                <w:szCs w:val="24"/>
                <w:lang w:val="en-US" w:eastAsia="zh-CN"/>
              </w:rPr>
              <w:t>附录C中的污染防治推荐</w:t>
            </w:r>
            <w:r>
              <w:rPr>
                <w:rFonts w:hint="eastAsia"/>
                <w:color w:val="auto"/>
                <w:szCs w:val="24"/>
              </w:rPr>
              <w:t>可行技术参考表，</w:t>
            </w:r>
            <w:r>
              <w:rPr>
                <w:rFonts w:hint="eastAsia"/>
                <w:color w:val="auto"/>
                <w:szCs w:val="24"/>
                <w:lang w:val="en-US" w:eastAsia="zh-CN"/>
              </w:rPr>
              <w:t>抛丸、粉末喷涂废气</w:t>
            </w:r>
            <w:r>
              <w:rPr>
                <w:rFonts w:hint="eastAsia"/>
                <w:color w:val="auto"/>
                <w:szCs w:val="24"/>
              </w:rPr>
              <w:t>选用</w:t>
            </w:r>
            <w:r>
              <w:rPr>
                <w:rFonts w:hint="eastAsia"/>
                <w:color w:val="auto"/>
                <w:szCs w:val="24"/>
                <w:lang w:val="en-US" w:eastAsia="zh-CN"/>
              </w:rPr>
              <w:t>袋式除尘</w:t>
            </w:r>
            <w:r>
              <w:rPr>
                <w:rFonts w:hint="eastAsia"/>
                <w:color w:val="auto"/>
                <w:szCs w:val="24"/>
              </w:rPr>
              <w:t>，</w:t>
            </w:r>
            <w:r>
              <w:rPr>
                <w:rFonts w:hint="eastAsia"/>
                <w:color w:val="auto"/>
                <w:szCs w:val="24"/>
                <w:lang w:val="en-US" w:eastAsia="zh-CN"/>
              </w:rPr>
              <w:t>固化及喷漆废气选用活性炭吸附及吸附/浓缩+催化燃烧均</w:t>
            </w:r>
            <w:r>
              <w:rPr>
                <w:rFonts w:hint="eastAsia"/>
                <w:color w:val="auto"/>
                <w:szCs w:val="24"/>
              </w:rPr>
              <w:t>属于技术规范中推荐的可行技术。</w:t>
            </w:r>
          </w:p>
          <w:p>
            <w:pPr>
              <w:pStyle w:val="40"/>
              <w:spacing w:line="240" w:lineRule="auto"/>
              <w:rPr>
                <w:color w:val="auto"/>
              </w:rPr>
            </w:pPr>
          </w:p>
          <w:p>
            <w:pPr>
              <w:spacing w:line="360" w:lineRule="auto"/>
              <w:ind w:firstLine="480" w:firstLineChars="200"/>
              <w:rPr>
                <w:color w:val="auto"/>
                <w:szCs w:val="24"/>
              </w:rPr>
            </w:pPr>
            <w:r>
              <w:rPr>
                <w:color w:val="auto"/>
                <w:szCs w:val="24"/>
              </w:rPr>
              <w:t>（</w:t>
            </w:r>
            <w:r>
              <w:rPr>
                <w:rFonts w:hint="eastAsia"/>
                <w:color w:val="auto"/>
                <w:szCs w:val="24"/>
              </w:rPr>
              <w:t>6</w:t>
            </w:r>
            <w:r>
              <w:rPr>
                <w:color w:val="auto"/>
                <w:szCs w:val="24"/>
              </w:rPr>
              <w:t>）废气监测计划</w:t>
            </w:r>
          </w:p>
          <w:p>
            <w:pPr>
              <w:spacing w:line="360" w:lineRule="auto"/>
              <w:ind w:firstLine="480" w:firstLineChars="200"/>
              <w:rPr>
                <w:rFonts w:hint="eastAsia"/>
                <w:color w:val="auto"/>
                <w:szCs w:val="24"/>
              </w:rPr>
            </w:pPr>
            <w:r>
              <w:rPr>
                <w:rFonts w:hint="eastAsia"/>
                <w:color w:val="auto"/>
                <w:szCs w:val="24"/>
              </w:rPr>
              <w:t>本项目对照排污许可证分类管理名录，项目属于登记管理，为了进一步保障厂界大气环境质量，</w:t>
            </w:r>
            <w:r>
              <w:rPr>
                <w:color w:val="auto"/>
              </w:rPr>
              <w:t>根据《排污单位自行监测技术指南总则》</w:t>
            </w:r>
            <w:r>
              <w:rPr>
                <w:rFonts w:hint="eastAsia"/>
                <w:color w:val="auto"/>
              </w:rPr>
              <w:t>（</w:t>
            </w:r>
            <w:r>
              <w:rPr>
                <w:color w:val="auto"/>
              </w:rPr>
              <w:t>HJ819-2017</w:t>
            </w:r>
            <w:r>
              <w:rPr>
                <w:rFonts w:hint="eastAsia"/>
                <w:color w:val="auto"/>
              </w:rPr>
              <w:t>）</w:t>
            </w:r>
            <w:r>
              <w:rPr>
                <w:color w:val="auto"/>
              </w:rPr>
              <w:t>、</w:t>
            </w:r>
            <w:r>
              <w:rPr>
                <w:rFonts w:hint="eastAsia"/>
                <w:color w:val="auto"/>
                <w:szCs w:val="24"/>
              </w:rPr>
              <w:t>《排污许可证申请与核发技术规范 铁路、船舶、航空航天和其他运输设备制造业》（HJ1124-2020）等要求</w:t>
            </w:r>
            <w:r>
              <w:rPr>
                <w:rFonts w:hint="eastAsia"/>
                <w:color w:val="auto"/>
                <w:szCs w:val="24"/>
                <w:lang w:eastAsia="zh-CN"/>
              </w:rPr>
              <w:t>，</w:t>
            </w:r>
            <w:r>
              <w:rPr>
                <w:rFonts w:hint="eastAsia"/>
                <w:color w:val="auto"/>
                <w:szCs w:val="24"/>
              </w:rPr>
              <w:t>本项目废气监测计划详见表4-</w:t>
            </w:r>
            <w:r>
              <w:rPr>
                <w:rFonts w:hint="eastAsia"/>
                <w:color w:val="auto"/>
                <w:szCs w:val="24"/>
                <w:lang w:val="en-US" w:eastAsia="zh-CN"/>
              </w:rPr>
              <w:t>10</w:t>
            </w:r>
            <w:r>
              <w:rPr>
                <w:rFonts w:hint="eastAsia"/>
                <w:color w:val="auto"/>
                <w:szCs w:val="24"/>
              </w:rPr>
              <w:t>。</w:t>
            </w:r>
          </w:p>
          <w:p>
            <w:pPr>
              <w:tabs>
                <w:tab w:val="left" w:pos="677"/>
              </w:tabs>
              <w:spacing w:line="460" w:lineRule="exact"/>
              <w:jc w:val="center"/>
              <w:rPr>
                <w:rFonts w:hint="eastAsia" w:ascii="Times New Roman" w:hAnsi="Times New Roman" w:eastAsia="宋体" w:cs="Times New Roman"/>
                <w:b/>
                <w:color w:val="auto"/>
              </w:rPr>
            </w:pPr>
            <w:r>
              <w:rPr>
                <w:rFonts w:hint="eastAsia" w:ascii="Times New Roman" w:hAnsi="Times New Roman" w:eastAsia="宋体" w:cs="Times New Roman"/>
                <w:b/>
                <w:color w:val="auto"/>
              </w:rPr>
              <w:t>表4-</w:t>
            </w:r>
            <w:r>
              <w:rPr>
                <w:rFonts w:hint="eastAsia" w:cs="Times New Roman"/>
                <w:b/>
                <w:color w:val="auto"/>
                <w:lang w:val="en-US" w:eastAsia="zh-CN"/>
              </w:rPr>
              <w:t>10</w:t>
            </w:r>
            <w:r>
              <w:rPr>
                <w:rFonts w:hint="eastAsia" w:ascii="Times New Roman" w:hAnsi="Times New Roman" w:eastAsia="宋体" w:cs="Times New Roman"/>
                <w:b/>
                <w:color w:val="auto"/>
              </w:rPr>
              <w:t xml:space="preserve">  项目废气监测计划表</w:t>
            </w:r>
          </w:p>
          <w:tbl>
            <w:tblPr>
              <w:tblStyle w:val="29"/>
              <w:tblW w:w="73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5"/>
              <w:gridCol w:w="923"/>
              <w:gridCol w:w="2174"/>
              <w:gridCol w:w="870"/>
              <w:gridCol w:w="27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Align w:val="center"/>
                </w:tcPr>
                <w:p>
                  <w:pPr>
                    <w:jc w:val="center"/>
                    <w:rPr>
                      <w:rFonts w:hint="eastAsia" w:eastAsia="宋体"/>
                      <w:b/>
                      <w:bCs w:val="0"/>
                      <w:color w:val="auto"/>
                      <w:sz w:val="21"/>
                      <w:szCs w:val="21"/>
                      <w:lang w:val="en-US" w:eastAsia="zh-CN"/>
                    </w:rPr>
                  </w:pPr>
                  <w:r>
                    <w:rPr>
                      <w:rFonts w:hint="eastAsia" w:eastAsia="宋体"/>
                      <w:b/>
                      <w:bCs w:val="0"/>
                      <w:color w:val="auto"/>
                      <w:sz w:val="21"/>
                      <w:szCs w:val="21"/>
                      <w:lang w:val="en-US" w:eastAsia="zh-CN"/>
                    </w:rPr>
                    <w:t>排放形式</w:t>
                  </w:r>
                </w:p>
              </w:tc>
              <w:tc>
                <w:tcPr>
                  <w:tcW w:w="955" w:type="dxa"/>
                  <w:tcBorders>
                    <w:right w:val="single" w:color="auto" w:sz="6" w:space="0"/>
                  </w:tcBorders>
                  <w:vAlign w:val="center"/>
                </w:tcPr>
                <w:p>
                  <w:pPr>
                    <w:jc w:val="center"/>
                    <w:rPr>
                      <w:rFonts w:hint="eastAsia" w:eastAsia="宋体"/>
                      <w:b/>
                      <w:bCs w:val="0"/>
                      <w:color w:val="auto"/>
                      <w:sz w:val="21"/>
                      <w:szCs w:val="21"/>
                      <w:lang w:val="en-US" w:eastAsia="zh-CN"/>
                    </w:rPr>
                  </w:pPr>
                  <w:r>
                    <w:rPr>
                      <w:rFonts w:hint="eastAsia" w:eastAsia="宋体"/>
                      <w:b/>
                      <w:bCs w:val="0"/>
                      <w:color w:val="auto"/>
                      <w:sz w:val="21"/>
                      <w:szCs w:val="21"/>
                      <w:lang w:val="en-US" w:eastAsia="zh-CN"/>
                    </w:rPr>
                    <w:t>监测点位</w:t>
                  </w:r>
                </w:p>
              </w:tc>
              <w:tc>
                <w:tcPr>
                  <w:tcW w:w="2263" w:type="dxa"/>
                  <w:tcBorders>
                    <w:left w:val="single" w:color="auto" w:sz="6" w:space="0"/>
                  </w:tcBorders>
                  <w:vAlign w:val="center"/>
                </w:tcPr>
                <w:p>
                  <w:pPr>
                    <w:jc w:val="center"/>
                    <w:rPr>
                      <w:rFonts w:hint="eastAsia" w:eastAsia="宋体"/>
                      <w:b/>
                      <w:bCs w:val="0"/>
                      <w:color w:val="auto"/>
                      <w:sz w:val="21"/>
                      <w:szCs w:val="21"/>
                      <w:lang w:val="en-US" w:eastAsia="zh-CN"/>
                    </w:rPr>
                  </w:pPr>
                  <w:r>
                    <w:rPr>
                      <w:rFonts w:hint="eastAsia" w:eastAsia="宋体"/>
                      <w:b/>
                      <w:bCs w:val="0"/>
                      <w:color w:val="auto"/>
                      <w:sz w:val="21"/>
                      <w:szCs w:val="21"/>
                      <w:lang w:val="en-US" w:eastAsia="zh-CN"/>
                    </w:rPr>
                    <w:t>监测指标</w:t>
                  </w:r>
                </w:p>
              </w:tc>
              <w:tc>
                <w:tcPr>
                  <w:tcW w:w="900" w:type="dxa"/>
                  <w:tcBorders>
                    <w:left w:val="single" w:color="auto" w:sz="6" w:space="0"/>
                  </w:tcBorders>
                  <w:vAlign w:val="center"/>
                </w:tcPr>
                <w:p>
                  <w:pPr>
                    <w:jc w:val="center"/>
                    <w:rPr>
                      <w:rFonts w:hint="eastAsia" w:eastAsia="宋体"/>
                      <w:b/>
                      <w:bCs w:val="0"/>
                      <w:color w:val="auto"/>
                      <w:sz w:val="21"/>
                      <w:szCs w:val="21"/>
                      <w:lang w:val="en-US" w:eastAsia="zh-CN"/>
                    </w:rPr>
                  </w:pPr>
                  <w:r>
                    <w:rPr>
                      <w:rFonts w:hint="eastAsia" w:eastAsia="宋体"/>
                      <w:b/>
                      <w:bCs w:val="0"/>
                      <w:color w:val="auto"/>
                      <w:sz w:val="21"/>
                      <w:szCs w:val="21"/>
                      <w:lang w:val="en-US" w:eastAsia="zh-CN"/>
                    </w:rPr>
                    <w:t>监测频率</w:t>
                  </w:r>
                </w:p>
              </w:tc>
              <w:tc>
                <w:tcPr>
                  <w:tcW w:w="2852" w:type="dxa"/>
                  <w:tcBorders>
                    <w:left w:val="single" w:color="auto" w:sz="4" w:space="0"/>
                  </w:tcBorders>
                  <w:vAlign w:val="center"/>
                </w:tcPr>
                <w:p>
                  <w:pPr>
                    <w:jc w:val="center"/>
                    <w:rPr>
                      <w:rFonts w:hint="eastAsia" w:eastAsia="宋体"/>
                      <w:b/>
                      <w:bCs w:val="0"/>
                      <w:color w:val="auto"/>
                      <w:sz w:val="21"/>
                      <w:szCs w:val="21"/>
                      <w:lang w:val="en-US" w:eastAsia="zh-CN"/>
                    </w:rPr>
                  </w:pPr>
                  <w:r>
                    <w:rPr>
                      <w:rFonts w:hint="eastAsia" w:eastAsia="宋体"/>
                      <w:b/>
                      <w:bCs w:val="0"/>
                      <w:color w:val="auto"/>
                      <w:sz w:val="21"/>
                      <w:szCs w:val="21"/>
                      <w:lang w:val="en-US" w:eastAsia="zh-CN"/>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restart"/>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有组织</w:t>
                  </w:r>
                </w:p>
              </w:tc>
              <w:tc>
                <w:tcPr>
                  <w:tcW w:w="955" w:type="dxa"/>
                  <w:tcBorders>
                    <w:right w:val="single" w:color="auto" w:sz="6" w:space="0"/>
                  </w:tcBorders>
                  <w:vAlign w:val="center"/>
                </w:tcPr>
                <w:p>
                  <w:pPr>
                    <w:jc w:val="center"/>
                    <w:rPr>
                      <w:rFonts w:hint="eastAsia"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04</w:t>
                  </w:r>
                </w:p>
              </w:tc>
              <w:tc>
                <w:tcPr>
                  <w:tcW w:w="2263"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颗粒物</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restart"/>
                  <w:tcBorders>
                    <w:left w:val="single" w:color="auto" w:sz="4"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《工业涂装工序大气污染物排放标准》及《湖州市人民政府办公室关于印发湖州市大气环境质量限期达标规划的通知》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tcBorders>
                    <w:right w:val="single" w:color="auto" w:sz="6" w:space="0"/>
                  </w:tcBorders>
                  <w:vAlign w:val="center"/>
                </w:tcPr>
                <w:p>
                  <w:pPr>
                    <w:jc w:val="center"/>
                    <w:rPr>
                      <w:rFonts w:hint="eastAsia"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02</w:t>
                  </w:r>
                </w:p>
              </w:tc>
              <w:tc>
                <w:tcPr>
                  <w:tcW w:w="2263"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颗粒物</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continue"/>
                  <w:tcBorders>
                    <w:left w:val="single" w:color="auto" w:sz="4" w:space="0"/>
                  </w:tcBorders>
                  <w:vAlign w:val="center"/>
                </w:tcPr>
                <w:p>
                  <w:pPr>
                    <w:jc w:val="center"/>
                    <w:rPr>
                      <w:rFonts w:hint="eastAsia" w:eastAsia="宋体"/>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tcBorders>
                    <w:right w:val="single" w:color="auto" w:sz="6" w:space="0"/>
                  </w:tcBorders>
                  <w:vAlign w:val="center"/>
                </w:tcPr>
                <w:p>
                  <w:pPr>
                    <w:jc w:val="center"/>
                    <w:rPr>
                      <w:rFonts w:hint="eastAsia"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07</w:t>
                  </w:r>
                </w:p>
              </w:tc>
              <w:tc>
                <w:tcPr>
                  <w:tcW w:w="2263"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颗粒物</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continue"/>
                  <w:tcBorders>
                    <w:left w:val="single" w:color="auto" w:sz="4" w:space="0"/>
                  </w:tcBorders>
                  <w:vAlign w:val="center"/>
                </w:tcPr>
                <w:p>
                  <w:pPr>
                    <w:jc w:val="center"/>
                    <w:rPr>
                      <w:rFonts w:hint="eastAsia" w:eastAsia="宋体"/>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tcBorders>
                    <w:right w:val="single" w:color="auto" w:sz="6" w:space="0"/>
                  </w:tcBorders>
                  <w:vAlign w:val="center"/>
                </w:tcPr>
                <w:p>
                  <w:pPr>
                    <w:jc w:val="center"/>
                    <w:rPr>
                      <w:rFonts w:hint="eastAsia"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06</w:t>
                  </w:r>
                </w:p>
              </w:tc>
              <w:tc>
                <w:tcPr>
                  <w:tcW w:w="2263"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颗粒物</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continue"/>
                  <w:tcBorders>
                    <w:left w:val="single" w:color="auto" w:sz="4" w:space="0"/>
                  </w:tcBorders>
                  <w:vAlign w:val="center"/>
                </w:tcPr>
                <w:p>
                  <w:pPr>
                    <w:jc w:val="center"/>
                    <w:rPr>
                      <w:rFonts w:hint="eastAsia" w:eastAsia="宋体"/>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tcBorders>
                    <w:right w:val="single" w:color="auto" w:sz="6" w:space="0"/>
                  </w:tcBorders>
                  <w:vAlign w:val="center"/>
                </w:tcPr>
                <w:p>
                  <w:pPr>
                    <w:jc w:val="center"/>
                    <w:rPr>
                      <w:rFonts w:hint="eastAsia"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01</w:t>
                  </w:r>
                </w:p>
              </w:tc>
              <w:tc>
                <w:tcPr>
                  <w:tcW w:w="2263" w:type="dxa"/>
                  <w:tcBorders>
                    <w:left w:val="single" w:color="auto" w:sz="6" w:space="0"/>
                  </w:tcBorders>
                  <w:vAlign w:val="center"/>
                </w:tcPr>
                <w:p>
                  <w:pPr>
                    <w:jc w:val="center"/>
                    <w:rPr>
                      <w:rFonts w:hint="default" w:eastAsia="宋体"/>
                      <w:bCs/>
                      <w:color w:val="auto"/>
                      <w:sz w:val="21"/>
                      <w:szCs w:val="21"/>
                      <w:lang w:val="en-US" w:eastAsia="zh-CN"/>
                    </w:rPr>
                  </w:pPr>
                  <w:r>
                    <w:rPr>
                      <w:rFonts w:hint="eastAsia" w:eastAsia="宋体"/>
                      <w:bCs/>
                      <w:color w:val="auto"/>
                      <w:sz w:val="21"/>
                      <w:szCs w:val="21"/>
                      <w:lang w:val="en-US" w:eastAsia="zh-CN"/>
                    </w:rPr>
                    <w:t>二甲苯、非甲烷总烃、臭气浓度</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continue"/>
                  <w:tcBorders>
                    <w:left w:val="single" w:color="auto" w:sz="4" w:space="0"/>
                  </w:tcBorders>
                  <w:vAlign w:val="center"/>
                </w:tcPr>
                <w:p>
                  <w:pPr>
                    <w:jc w:val="center"/>
                    <w:rPr>
                      <w:rFonts w:hint="eastAsia" w:eastAsia="宋体"/>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tcBorders>
                    <w:right w:val="single" w:color="auto" w:sz="6" w:space="0"/>
                  </w:tcBorders>
                  <w:vAlign w:val="center"/>
                </w:tcPr>
                <w:p>
                  <w:pPr>
                    <w:jc w:val="center"/>
                    <w:rPr>
                      <w:rFonts w:hint="eastAsia" w:eastAsia="宋体"/>
                      <w:bCs/>
                      <w:color w:val="auto"/>
                      <w:sz w:val="21"/>
                      <w:szCs w:val="21"/>
                      <w:lang w:val="en-US" w:eastAsia="zh-CN"/>
                    </w:rPr>
                  </w:pPr>
                  <w:r>
                    <w:rPr>
                      <w:rFonts w:hint="eastAsia"/>
                      <w:bCs/>
                      <w:color w:val="auto"/>
                      <w:sz w:val="21"/>
                      <w:szCs w:val="21"/>
                    </w:rPr>
                    <w:t>DA0</w:t>
                  </w:r>
                  <w:r>
                    <w:rPr>
                      <w:rFonts w:hint="eastAsia"/>
                      <w:bCs/>
                      <w:color w:val="auto"/>
                      <w:sz w:val="21"/>
                      <w:szCs w:val="21"/>
                      <w:lang w:val="en-US" w:eastAsia="zh-CN"/>
                    </w:rPr>
                    <w:t>05</w:t>
                  </w:r>
                </w:p>
              </w:tc>
              <w:tc>
                <w:tcPr>
                  <w:tcW w:w="2263" w:type="dxa"/>
                  <w:tcBorders>
                    <w:left w:val="single" w:color="auto" w:sz="6" w:space="0"/>
                  </w:tcBorders>
                  <w:vAlign w:val="center"/>
                </w:tcPr>
                <w:p>
                  <w:pPr>
                    <w:jc w:val="center"/>
                    <w:rPr>
                      <w:rFonts w:hint="default" w:eastAsia="宋体"/>
                      <w:bCs/>
                      <w:color w:val="auto"/>
                      <w:sz w:val="21"/>
                      <w:szCs w:val="21"/>
                      <w:lang w:val="en-US" w:eastAsia="zh-CN"/>
                    </w:rPr>
                  </w:pPr>
                  <w:r>
                    <w:rPr>
                      <w:rFonts w:hint="eastAsia" w:eastAsia="宋体"/>
                      <w:bCs/>
                      <w:color w:val="auto"/>
                      <w:sz w:val="21"/>
                      <w:szCs w:val="21"/>
                      <w:lang w:val="en-US" w:eastAsia="zh-CN"/>
                    </w:rPr>
                    <w:t>颗粒物、二甲苯、非甲烷总烃、臭气浓度</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continue"/>
                  <w:tcBorders>
                    <w:left w:val="single" w:color="auto" w:sz="4" w:space="0"/>
                  </w:tcBorders>
                  <w:vAlign w:val="center"/>
                </w:tcPr>
                <w:p>
                  <w:pPr>
                    <w:jc w:val="center"/>
                    <w:rPr>
                      <w:rFonts w:hint="eastAsia" w:eastAsia="宋体"/>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vMerge w:val="restart"/>
                  <w:tcBorders>
                    <w:righ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DA003</w:t>
                  </w:r>
                </w:p>
              </w:tc>
              <w:tc>
                <w:tcPr>
                  <w:tcW w:w="2263" w:type="dxa"/>
                  <w:vMerge w:val="restart"/>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颗粒物、非甲烷总烃、臭气浓度</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continue"/>
                  <w:tcBorders>
                    <w:left w:val="single" w:color="auto" w:sz="4" w:space="0"/>
                  </w:tcBorders>
                  <w:vAlign w:val="center"/>
                </w:tcPr>
                <w:p>
                  <w:pPr>
                    <w:jc w:val="center"/>
                    <w:rPr>
                      <w:rFonts w:hint="eastAsia" w:eastAsia="宋体"/>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vMerge w:val="restart"/>
                  <w:tcBorders>
                    <w:righ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DA008</w:t>
                  </w:r>
                </w:p>
              </w:tc>
              <w:tc>
                <w:tcPr>
                  <w:tcW w:w="2263"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颗粒物、非甲烷总烃、臭气浓度</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vMerge w:val="continue"/>
                  <w:tcBorders>
                    <w:left w:val="single" w:color="auto" w:sz="4" w:space="0"/>
                  </w:tcBorders>
                  <w:vAlign w:val="center"/>
                </w:tcPr>
                <w:p>
                  <w:pPr>
                    <w:jc w:val="center"/>
                    <w:rPr>
                      <w:rFonts w:hint="eastAsia" w:eastAsia="宋体"/>
                      <w:bCs/>
                      <w:color w:val="auto"/>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restart"/>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无组织</w:t>
                  </w:r>
                </w:p>
              </w:tc>
              <w:tc>
                <w:tcPr>
                  <w:tcW w:w="955" w:type="dxa"/>
                  <w:vMerge w:val="restart"/>
                  <w:tcBorders>
                    <w:righ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厂界</w:t>
                  </w:r>
                </w:p>
              </w:tc>
              <w:tc>
                <w:tcPr>
                  <w:tcW w:w="2263" w:type="dxa"/>
                  <w:tcBorders>
                    <w:left w:val="single" w:color="auto" w:sz="6" w:space="0"/>
                  </w:tcBorders>
                  <w:vAlign w:val="center"/>
                </w:tcPr>
                <w:p>
                  <w:pPr>
                    <w:jc w:val="center"/>
                    <w:rPr>
                      <w:rFonts w:hint="default" w:eastAsia="宋体"/>
                      <w:bCs/>
                      <w:color w:val="auto"/>
                      <w:sz w:val="21"/>
                      <w:szCs w:val="21"/>
                      <w:lang w:val="en-US" w:eastAsia="zh-CN"/>
                    </w:rPr>
                  </w:pPr>
                  <w:r>
                    <w:rPr>
                      <w:rFonts w:hint="eastAsia" w:eastAsia="宋体"/>
                      <w:bCs/>
                      <w:color w:val="auto"/>
                      <w:sz w:val="21"/>
                      <w:szCs w:val="21"/>
                      <w:lang w:val="en-US" w:eastAsia="zh-CN"/>
                    </w:rPr>
                    <w:t>非甲烷总烃、臭气浓度</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tcBorders>
                    <w:left w:val="single" w:color="auto" w:sz="4"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《工业涂装工序大气污染物排放标准》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vMerge w:val="continue"/>
                  <w:tcBorders>
                    <w:right w:val="single" w:color="auto" w:sz="6" w:space="0"/>
                  </w:tcBorders>
                  <w:vAlign w:val="center"/>
                </w:tcPr>
                <w:p>
                  <w:pPr>
                    <w:jc w:val="center"/>
                    <w:rPr>
                      <w:rFonts w:hint="eastAsia" w:eastAsia="宋体"/>
                      <w:bCs/>
                      <w:color w:val="auto"/>
                      <w:sz w:val="21"/>
                      <w:szCs w:val="21"/>
                      <w:lang w:val="en-US" w:eastAsia="zh-CN"/>
                    </w:rPr>
                  </w:pPr>
                </w:p>
              </w:tc>
              <w:tc>
                <w:tcPr>
                  <w:tcW w:w="2263"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颗粒物</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tcBorders>
                    <w:left w:val="single" w:color="auto" w:sz="4"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《大气污染物综合排放标准》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5" w:type="dxa"/>
                  <w:vMerge w:val="continue"/>
                  <w:vAlign w:val="center"/>
                </w:tcPr>
                <w:p>
                  <w:pPr>
                    <w:jc w:val="center"/>
                    <w:rPr>
                      <w:rFonts w:hint="eastAsia" w:eastAsia="宋体"/>
                      <w:bCs/>
                      <w:color w:val="auto"/>
                      <w:sz w:val="21"/>
                      <w:szCs w:val="21"/>
                      <w:lang w:val="en-US" w:eastAsia="zh-CN"/>
                    </w:rPr>
                  </w:pPr>
                </w:p>
              </w:tc>
              <w:tc>
                <w:tcPr>
                  <w:tcW w:w="955" w:type="dxa"/>
                  <w:tcBorders>
                    <w:righ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厂区</w:t>
                  </w:r>
                </w:p>
              </w:tc>
              <w:tc>
                <w:tcPr>
                  <w:tcW w:w="2263"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非甲烷总烃</w:t>
                  </w:r>
                </w:p>
              </w:tc>
              <w:tc>
                <w:tcPr>
                  <w:tcW w:w="900" w:type="dxa"/>
                  <w:tcBorders>
                    <w:left w:val="single" w:color="auto" w:sz="6"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1次/年</w:t>
                  </w:r>
                </w:p>
              </w:tc>
              <w:tc>
                <w:tcPr>
                  <w:tcW w:w="2852" w:type="dxa"/>
                  <w:tcBorders>
                    <w:left w:val="single" w:color="auto" w:sz="4" w:space="0"/>
                  </w:tcBorders>
                  <w:vAlign w:val="center"/>
                </w:tcPr>
                <w:p>
                  <w:pPr>
                    <w:jc w:val="center"/>
                    <w:rPr>
                      <w:rFonts w:hint="eastAsia" w:eastAsia="宋体"/>
                      <w:bCs/>
                      <w:color w:val="auto"/>
                      <w:sz w:val="21"/>
                      <w:szCs w:val="21"/>
                      <w:lang w:val="en-US" w:eastAsia="zh-CN"/>
                    </w:rPr>
                  </w:pPr>
                  <w:r>
                    <w:rPr>
                      <w:rFonts w:hint="eastAsia" w:eastAsia="宋体"/>
                      <w:bCs/>
                      <w:color w:val="auto"/>
                      <w:sz w:val="21"/>
                      <w:szCs w:val="21"/>
                      <w:lang w:val="en-US" w:eastAsia="zh-CN"/>
                    </w:rPr>
                    <w:t>《挥发性有机物无组织排放控制标准》</w:t>
                  </w:r>
                </w:p>
              </w:tc>
            </w:tr>
          </w:tbl>
          <w:p>
            <w:pPr>
              <w:pStyle w:val="14"/>
              <w:rPr>
                <w:rFonts w:hint="eastAsia"/>
                <w:color w:val="FF0000"/>
                <w:szCs w:val="24"/>
              </w:rPr>
            </w:pPr>
          </w:p>
          <w:p>
            <w:pPr>
              <w:spacing w:line="360" w:lineRule="auto"/>
              <w:ind w:firstLine="480" w:firstLineChars="200"/>
              <w:rPr>
                <w:color w:val="auto"/>
                <w:szCs w:val="24"/>
              </w:rPr>
            </w:pPr>
            <w:r>
              <w:rPr>
                <w:rFonts w:hint="eastAsia"/>
                <w:color w:val="auto"/>
                <w:szCs w:val="24"/>
              </w:rPr>
              <w:t>（7）废气排放影响分析</w:t>
            </w:r>
          </w:p>
          <w:p>
            <w:pPr>
              <w:spacing w:line="360" w:lineRule="auto"/>
              <w:ind w:firstLine="480" w:firstLineChars="200"/>
              <w:rPr>
                <w:color w:val="auto"/>
                <w:szCs w:val="24"/>
              </w:rPr>
            </w:pPr>
            <w:r>
              <w:rPr>
                <w:rFonts w:hint="eastAsia"/>
                <w:color w:val="auto"/>
                <w:szCs w:val="24"/>
              </w:rPr>
              <w:t>综上，各废气经采取有效措施收集处理后，少量废气排放对周围环境等影响均可控，当地环境空气质量仍能维持在《环境空气质量标准》（GB3095-2012）中的二级水平。</w:t>
            </w:r>
          </w:p>
          <w:p>
            <w:pPr>
              <w:tabs>
                <w:tab w:val="left" w:pos="4288"/>
              </w:tabs>
              <w:spacing w:line="360" w:lineRule="auto"/>
              <w:ind w:firstLine="480" w:firstLineChars="200"/>
              <w:outlineLvl w:val="2"/>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pStyle w:val="40"/>
              <w:spacing w:line="360" w:lineRule="auto"/>
              <w:rPr>
                <w:color w:val="FF0000"/>
              </w:rPr>
            </w:pPr>
          </w:p>
          <w:p>
            <w:pPr>
              <w:tabs>
                <w:tab w:val="left" w:pos="4288"/>
              </w:tabs>
              <w:spacing w:line="360" w:lineRule="auto"/>
              <w:ind w:firstLine="480" w:firstLineChars="200"/>
              <w:outlineLvl w:val="2"/>
              <w:rPr>
                <w:rFonts w:hint="default"/>
                <w:color w:val="FF0000"/>
              </w:rPr>
            </w:pPr>
          </w:p>
        </w:tc>
      </w:tr>
    </w:tbl>
    <w:p>
      <w:pPr>
        <w:pStyle w:val="38"/>
        <w:rPr>
          <w:rFonts w:hint="default" w:ascii="Times New Roman" w:hAnsi="Times New Roman" w:cs="Times New Roman"/>
          <w:color w:val="FF0000"/>
        </w:rPr>
      </w:pPr>
    </w:p>
    <w:p>
      <w:pPr>
        <w:rPr>
          <w:rFonts w:hint="default"/>
        </w:rPr>
      </w:pPr>
      <w:r>
        <w:rPr>
          <w:rFonts w:hint="default"/>
        </w:rPr>
        <w:br w:type="page"/>
      </w:r>
    </w:p>
    <w:p>
      <w:pPr>
        <w:rPr>
          <w:rFonts w:hint="eastAsia"/>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tbl>
      <w:tblPr>
        <w:tblStyle w:val="29"/>
        <w:tblW w:w="13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
        <w:gridCol w:w="13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0" w:hRule="atLeast"/>
          <w:jc w:val="center"/>
        </w:trPr>
        <w:tc>
          <w:tcPr>
            <w:tcW w:w="676" w:type="dxa"/>
            <w:vAlign w:val="center"/>
          </w:tcPr>
          <w:p>
            <w:pPr>
              <w:jc w:val="center"/>
              <w:rPr>
                <w:b/>
                <w:color w:val="FF0000"/>
                <w:szCs w:val="24"/>
              </w:rPr>
            </w:pPr>
            <w:r>
              <w:rPr>
                <w:b/>
                <w:color w:val="auto"/>
                <w:szCs w:val="24"/>
              </w:rPr>
              <w:t>营运期环境影响和保护措施</w:t>
            </w:r>
          </w:p>
        </w:tc>
        <w:tc>
          <w:tcPr>
            <w:tcW w:w="13216" w:type="dxa"/>
          </w:tcPr>
          <w:p>
            <w:pPr>
              <w:spacing w:line="360" w:lineRule="auto"/>
              <w:ind w:firstLine="480" w:firstLineChars="200"/>
              <w:rPr>
                <w:color w:val="auto"/>
                <w:szCs w:val="24"/>
              </w:rPr>
            </w:pPr>
            <w:r>
              <w:rPr>
                <w:rFonts w:hint="eastAsia"/>
                <w:color w:val="auto"/>
                <w:szCs w:val="24"/>
              </w:rPr>
              <w:t>（8）废气源强汇总</w:t>
            </w:r>
          </w:p>
          <w:p>
            <w:pPr>
              <w:tabs>
                <w:tab w:val="left" w:pos="677"/>
              </w:tabs>
              <w:spacing w:line="460" w:lineRule="exact"/>
              <w:jc w:val="center"/>
              <w:rPr>
                <w:rFonts w:hint="eastAsia" w:ascii="Times New Roman" w:hAnsi="Times New Roman" w:eastAsia="宋体" w:cs="Times New Roman"/>
                <w:b/>
                <w:color w:val="auto"/>
              </w:rPr>
            </w:pPr>
            <w:r>
              <w:rPr>
                <w:rFonts w:hint="eastAsia" w:ascii="Times New Roman" w:hAnsi="Times New Roman" w:eastAsia="宋体" w:cs="Times New Roman"/>
                <w:b/>
                <w:color w:val="auto"/>
              </w:rPr>
              <w:t>表4-</w:t>
            </w:r>
            <w:r>
              <w:rPr>
                <w:rFonts w:hint="eastAsia" w:cs="Times New Roman"/>
                <w:b/>
                <w:color w:val="auto"/>
                <w:lang w:val="en-US" w:eastAsia="zh-CN"/>
              </w:rPr>
              <w:t>11</w:t>
            </w:r>
            <w:r>
              <w:rPr>
                <w:rFonts w:hint="eastAsia" w:ascii="Times New Roman" w:hAnsi="Times New Roman" w:eastAsia="宋体" w:cs="Times New Roman"/>
                <w:b/>
                <w:color w:val="auto"/>
              </w:rPr>
              <w:t xml:space="preserve">  废气污染源强核算结果及相关参数一览表</w:t>
            </w:r>
          </w:p>
          <w:tbl>
            <w:tblPr>
              <w:tblStyle w:val="29"/>
              <w:tblW w:w="130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964"/>
              <w:gridCol w:w="1025"/>
              <w:gridCol w:w="987"/>
              <w:gridCol w:w="854"/>
              <w:gridCol w:w="1018"/>
              <w:gridCol w:w="992"/>
              <w:gridCol w:w="853"/>
              <w:gridCol w:w="745"/>
              <w:gridCol w:w="977"/>
              <w:gridCol w:w="945"/>
              <w:gridCol w:w="867"/>
              <w:gridCol w:w="1176"/>
              <w:gridCol w:w="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b/>
                      <w:color w:val="auto"/>
                      <w:sz w:val="21"/>
                      <w:szCs w:val="21"/>
                    </w:rPr>
                  </w:pPr>
                  <w:r>
                    <w:rPr>
                      <w:b/>
                      <w:color w:val="auto"/>
                      <w:sz w:val="21"/>
                      <w:szCs w:val="21"/>
                    </w:rPr>
                    <w:t>工序/生产线</w:t>
                  </w: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污染源</w:t>
                  </w:r>
                </w:p>
              </w:tc>
              <w:tc>
                <w:tcPr>
                  <w:tcW w:w="1025"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污染物</w:t>
                  </w:r>
                </w:p>
              </w:tc>
              <w:tc>
                <w:tcPr>
                  <w:tcW w:w="3851" w:type="dxa"/>
                  <w:gridSpan w:val="4"/>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污染物产生</w:t>
                  </w:r>
                </w:p>
              </w:tc>
              <w:tc>
                <w:tcPr>
                  <w:tcW w:w="1598" w:type="dxa"/>
                  <w:gridSpan w:val="2"/>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治理措施</w:t>
                  </w:r>
                </w:p>
              </w:tc>
              <w:tc>
                <w:tcPr>
                  <w:tcW w:w="3965" w:type="dxa"/>
                  <w:gridSpan w:val="4"/>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污染物排放</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排放时间/h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b/>
                      <w:color w:val="auto"/>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p>
              </w:tc>
              <w:tc>
                <w:tcPr>
                  <w:tcW w:w="1025"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核算</w:t>
                  </w:r>
                </w:p>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方法</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废气</w:t>
                  </w:r>
                  <w:r>
                    <w:rPr>
                      <w:rFonts w:hint="eastAsia"/>
                      <w:b/>
                      <w:color w:val="auto"/>
                      <w:sz w:val="21"/>
                      <w:szCs w:val="21"/>
                    </w:rPr>
                    <w:t>产生</w:t>
                  </w:r>
                  <w:r>
                    <w:rPr>
                      <w:b/>
                      <w:color w:val="auto"/>
                      <w:sz w:val="21"/>
                      <w:szCs w:val="21"/>
                    </w:rPr>
                    <w:t>量/（m</w:t>
                  </w:r>
                  <w:r>
                    <w:rPr>
                      <w:b/>
                      <w:color w:val="auto"/>
                      <w:sz w:val="21"/>
                      <w:szCs w:val="21"/>
                      <w:vertAlign w:val="superscript"/>
                    </w:rPr>
                    <w:t>3</w:t>
                  </w:r>
                  <w:r>
                    <w:rPr>
                      <w:b/>
                      <w:color w:val="auto"/>
                      <w:sz w:val="21"/>
                      <w:szCs w:val="21"/>
                    </w:rPr>
                    <w:t>/h）</w:t>
                  </w:r>
                </w:p>
              </w:tc>
              <w:tc>
                <w:tcPr>
                  <w:tcW w:w="1018"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产生量/（t/a）</w:t>
                  </w:r>
                </w:p>
              </w:tc>
              <w:tc>
                <w:tcPr>
                  <w:tcW w:w="992"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产生浓度/（mg/m</w:t>
                  </w:r>
                  <w:r>
                    <w:rPr>
                      <w:b/>
                      <w:color w:val="auto"/>
                      <w:sz w:val="21"/>
                      <w:szCs w:val="21"/>
                      <w:vertAlign w:val="superscript"/>
                    </w:rPr>
                    <w:t>3</w:t>
                  </w:r>
                  <w:r>
                    <w:rPr>
                      <w:b/>
                      <w:color w:val="auto"/>
                      <w:sz w:val="21"/>
                      <w:szCs w:val="21"/>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工艺</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效率/%</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核算</w:t>
                  </w:r>
                </w:p>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方法</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废气排放量/（m</w:t>
                  </w:r>
                  <w:r>
                    <w:rPr>
                      <w:b/>
                      <w:color w:val="auto"/>
                      <w:sz w:val="21"/>
                      <w:szCs w:val="21"/>
                      <w:vertAlign w:val="superscript"/>
                    </w:rPr>
                    <w:t>3</w:t>
                  </w:r>
                  <w:r>
                    <w:rPr>
                      <w:b/>
                      <w:color w:val="auto"/>
                      <w:sz w:val="21"/>
                      <w:szCs w:val="21"/>
                    </w:rPr>
                    <w:t>/h）</w:t>
                  </w:r>
                </w:p>
              </w:tc>
              <w:tc>
                <w:tcPr>
                  <w:tcW w:w="867"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排放量/（t/a）</w:t>
                  </w:r>
                </w:p>
              </w:tc>
              <w:tc>
                <w:tcPr>
                  <w:tcW w:w="1176"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r>
                    <w:rPr>
                      <w:b/>
                      <w:color w:val="auto"/>
                      <w:sz w:val="21"/>
                      <w:szCs w:val="21"/>
                    </w:rPr>
                    <w:t>排放浓度/（mg/m</w:t>
                  </w:r>
                  <w:r>
                    <w:rPr>
                      <w:b/>
                      <w:color w:val="auto"/>
                      <w:sz w:val="21"/>
                      <w:szCs w:val="21"/>
                      <w:vertAlign w:val="superscript"/>
                    </w:rPr>
                    <w:t>3</w:t>
                  </w:r>
                  <w:r>
                    <w:rPr>
                      <w:b/>
                      <w:color w:val="auto"/>
                      <w:sz w:val="21"/>
                      <w:szCs w:val="21"/>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b/>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rFonts w:hint="eastAsia" w:eastAsia="宋体"/>
                      <w:color w:val="FF0000"/>
                      <w:sz w:val="21"/>
                      <w:szCs w:val="21"/>
                      <w:lang w:val="en-US" w:eastAsia="zh-CN"/>
                    </w:rPr>
                  </w:pPr>
                  <w:r>
                    <w:rPr>
                      <w:rFonts w:hint="eastAsia"/>
                      <w:color w:val="auto"/>
                      <w:sz w:val="21"/>
                      <w:szCs w:val="21"/>
                      <w:lang w:val="en-US" w:eastAsia="zh-CN"/>
                    </w:rPr>
                    <w:t>小管内壁抛丸</w:t>
                  </w: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color w:val="auto"/>
                      <w:sz w:val="21"/>
                      <w:szCs w:val="21"/>
                    </w:rPr>
                    <w:t>DA0</w:t>
                  </w:r>
                  <w:r>
                    <w:rPr>
                      <w:rFonts w:hint="eastAsia"/>
                      <w:color w:val="auto"/>
                      <w:sz w:val="21"/>
                      <w:szCs w:val="21"/>
                      <w:lang w:val="en-US" w:eastAsia="zh-CN"/>
                    </w:rPr>
                    <w:t>04</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eastAsia="宋体"/>
                      <w:color w:val="auto"/>
                      <w:sz w:val="21"/>
                      <w:szCs w:val="21"/>
                      <w:lang w:eastAsia="zh-CN"/>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lang w:val="en-US" w:eastAsia="zh-CN"/>
                    </w:rPr>
                    <w:t>40</w:t>
                  </w:r>
                  <w:r>
                    <w:rPr>
                      <w:rFonts w:hint="eastAsia"/>
                      <w:color w:val="auto"/>
                      <w:sz w:val="21"/>
                      <w:szCs w:val="21"/>
                    </w:rPr>
                    <w:t>0</w:t>
                  </w:r>
                  <w:r>
                    <w:rPr>
                      <w:color w:val="auto"/>
                      <w:sz w:val="21"/>
                      <w:szCs w:val="21"/>
                    </w:rPr>
                    <w:t>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eastAsia="宋体"/>
                      <w:color w:val="auto"/>
                      <w:sz w:val="21"/>
                      <w:szCs w:val="21"/>
                      <w:lang w:val="en-US" w:eastAsia="zh-CN"/>
                    </w:rPr>
                  </w:pPr>
                  <w:r>
                    <w:rPr>
                      <w:rFonts w:hint="eastAsia"/>
                      <w:bCs/>
                      <w:color w:val="auto"/>
                      <w:sz w:val="21"/>
                      <w:szCs w:val="21"/>
                      <w:lang w:val="en-US" w:eastAsia="zh-CN"/>
                    </w:rPr>
                    <w:t>9.362</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eastAsia="宋体"/>
                      <w:color w:val="auto"/>
                      <w:sz w:val="21"/>
                      <w:lang w:val="en-US" w:eastAsia="zh-CN"/>
                    </w:rPr>
                  </w:pPr>
                  <w:r>
                    <w:rPr>
                      <w:rFonts w:hint="eastAsia"/>
                      <w:color w:val="auto"/>
                      <w:sz w:val="21"/>
                      <w:lang w:val="en-US" w:eastAsia="zh-CN"/>
                    </w:rPr>
                    <w:t>97.5</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布袋除尘</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98</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lang w:val="en-US" w:eastAsia="zh-CN"/>
                    </w:rPr>
                    <w:t>40</w:t>
                  </w:r>
                  <w:r>
                    <w:rPr>
                      <w:rFonts w:hint="eastAsia"/>
                      <w:color w:val="auto"/>
                      <w:sz w:val="21"/>
                      <w:szCs w:val="21"/>
                    </w:rPr>
                    <w:t>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eastAsia="宋体"/>
                      <w:color w:val="auto"/>
                      <w:sz w:val="21"/>
                      <w:szCs w:val="21"/>
                      <w:lang w:val="en-US" w:eastAsia="zh-CN"/>
                    </w:rPr>
                  </w:pPr>
                  <w:r>
                    <w:rPr>
                      <w:rFonts w:hint="eastAsia"/>
                      <w:color w:val="auto"/>
                      <w:sz w:val="21"/>
                      <w:szCs w:val="21"/>
                      <w:lang w:val="en-US" w:eastAsia="zh-CN"/>
                    </w:rPr>
                    <w:t>0.187</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eastAsia="宋体"/>
                      <w:color w:val="auto"/>
                      <w:sz w:val="21"/>
                      <w:szCs w:val="21"/>
                      <w:lang w:val="en-US" w:eastAsia="zh-CN"/>
                    </w:rPr>
                  </w:pPr>
                  <w:r>
                    <w:rPr>
                      <w:rFonts w:hint="eastAsia"/>
                      <w:bCs/>
                      <w:color w:val="auto"/>
                      <w:sz w:val="21"/>
                      <w:szCs w:val="21"/>
                      <w:lang w:val="en-US" w:eastAsia="zh-CN"/>
                    </w:rPr>
                    <w:t>1.95</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color w:val="auto"/>
                      <w:sz w:val="21"/>
                      <w:szCs w:val="21"/>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eastAsia="宋体"/>
                      <w:bCs/>
                      <w:color w:val="auto"/>
                      <w:sz w:val="21"/>
                      <w:szCs w:val="21"/>
                      <w:lang w:val="en-US" w:eastAsia="zh-CN"/>
                    </w:rPr>
                  </w:pPr>
                  <w:r>
                    <w:rPr>
                      <w:rFonts w:hint="eastAsia"/>
                      <w:bCs/>
                      <w:color w:val="auto"/>
                      <w:sz w:val="21"/>
                      <w:szCs w:val="21"/>
                      <w:lang w:val="en-US" w:eastAsia="zh-CN"/>
                    </w:rPr>
                    <w:t>0.493</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color w:val="auto"/>
                      <w:sz w:val="21"/>
                    </w:rPr>
                  </w:pPr>
                  <w:r>
                    <w:rPr>
                      <w:rFonts w:hint="eastAsia"/>
                      <w:color w:val="auto"/>
                      <w:sz w:val="21"/>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r>
                    <w:rPr>
                      <w:rFonts w:hint="eastAsia"/>
                      <w:color w:val="auto"/>
                      <w:sz w:val="21"/>
                      <w:szCs w:val="21"/>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eastAsia="宋体"/>
                      <w:color w:val="auto"/>
                      <w:sz w:val="21"/>
                      <w:szCs w:val="21"/>
                      <w:lang w:val="en-US" w:eastAsia="zh-CN"/>
                    </w:rPr>
                  </w:pPr>
                  <w:r>
                    <w:rPr>
                      <w:rFonts w:hint="eastAsia"/>
                      <w:bCs/>
                      <w:color w:val="auto"/>
                      <w:sz w:val="21"/>
                      <w:szCs w:val="21"/>
                      <w:lang w:val="en-US" w:eastAsia="zh-CN"/>
                    </w:rPr>
                    <w:t>0.493</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bCs/>
                      <w:color w:val="auto"/>
                      <w:sz w:val="21"/>
                      <w:szCs w:val="21"/>
                    </w:rPr>
                  </w:pPr>
                  <w:r>
                    <w:rPr>
                      <w:rFonts w:hint="eastAsia"/>
                      <w:bCs/>
                      <w:color w:val="auto"/>
                      <w:sz w:val="21"/>
                      <w:szCs w:val="21"/>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r>
                    <w:rPr>
                      <w:rFonts w:hint="eastAsia"/>
                      <w:color w:val="auto"/>
                      <w:sz w:val="21"/>
                      <w:szCs w:val="21"/>
                      <w:lang w:val="en-US" w:eastAsia="zh-CN"/>
                    </w:rPr>
                    <w:t>小管外壁抛丸</w:t>
                  </w: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color w:val="auto"/>
                      <w:sz w:val="21"/>
                      <w:szCs w:val="21"/>
                    </w:rPr>
                    <w:t>DA0</w:t>
                  </w:r>
                  <w:r>
                    <w:rPr>
                      <w:rFonts w:hint="eastAsia"/>
                      <w:color w:val="auto"/>
                      <w:sz w:val="21"/>
                      <w:szCs w:val="21"/>
                      <w:lang w:val="en-US" w:eastAsia="zh-CN"/>
                    </w:rPr>
                    <w:t>02</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20000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9.362</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eastAsia="宋体"/>
                      <w:color w:val="auto"/>
                      <w:sz w:val="21"/>
                      <w:lang w:val="en-US" w:eastAsia="zh-CN"/>
                    </w:rPr>
                  </w:pPr>
                  <w:r>
                    <w:rPr>
                      <w:rFonts w:hint="eastAsia"/>
                      <w:color w:val="auto"/>
                      <w:sz w:val="21"/>
                      <w:lang w:val="en-US" w:eastAsia="zh-CN"/>
                    </w:rPr>
                    <w:t>195</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lang w:val="en-US" w:eastAsia="zh-CN"/>
                    </w:rPr>
                    <w:t>布袋除尘</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lang w:val="en-US" w:eastAsia="zh-CN"/>
                    </w:rPr>
                    <w:t>98</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20</w:t>
                  </w:r>
                  <w:r>
                    <w:rPr>
                      <w:rFonts w:hint="eastAsia"/>
                      <w:color w:val="auto"/>
                      <w:sz w:val="21"/>
                      <w:szCs w:val="21"/>
                    </w:rPr>
                    <w:t>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eastAsia"/>
                      <w:bCs/>
                      <w:color w:val="auto"/>
                      <w:sz w:val="21"/>
                      <w:szCs w:val="21"/>
                      <w:lang w:val="en-US" w:eastAsia="zh-CN"/>
                    </w:rPr>
                  </w:pPr>
                  <w:r>
                    <w:rPr>
                      <w:rFonts w:hint="eastAsia"/>
                      <w:color w:val="auto"/>
                      <w:sz w:val="21"/>
                      <w:szCs w:val="21"/>
                      <w:lang w:val="en-US" w:eastAsia="zh-CN"/>
                    </w:rPr>
                    <w:t>0.187</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eastAsia="宋体"/>
                      <w:bCs/>
                      <w:color w:val="auto"/>
                      <w:sz w:val="21"/>
                      <w:szCs w:val="21"/>
                      <w:lang w:val="en-US" w:eastAsia="zh-CN"/>
                    </w:rPr>
                  </w:pPr>
                  <w:r>
                    <w:rPr>
                      <w:rFonts w:hint="eastAsia"/>
                      <w:bCs/>
                      <w:color w:val="auto"/>
                      <w:sz w:val="21"/>
                      <w:szCs w:val="21"/>
                      <w:lang w:val="en-US" w:eastAsia="zh-CN"/>
                    </w:rPr>
                    <w:t>3.901</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0.493</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eastAsia="宋体"/>
                      <w:color w:val="auto"/>
                      <w:sz w:val="21"/>
                      <w:lang w:val="en-US" w:eastAsia="zh-CN"/>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eastAsia"/>
                      <w:bCs/>
                      <w:color w:val="auto"/>
                      <w:sz w:val="21"/>
                      <w:szCs w:val="21"/>
                      <w:lang w:val="en-US" w:eastAsia="zh-CN"/>
                    </w:rPr>
                  </w:pPr>
                  <w:r>
                    <w:rPr>
                      <w:rFonts w:hint="eastAsia"/>
                      <w:bCs/>
                      <w:color w:val="auto"/>
                      <w:sz w:val="21"/>
                      <w:szCs w:val="21"/>
                      <w:lang w:val="en-US" w:eastAsia="zh-CN"/>
                    </w:rPr>
                    <w:t>0.493</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eastAsia="宋体"/>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r>
                    <w:rPr>
                      <w:rFonts w:hint="eastAsia"/>
                      <w:color w:val="auto"/>
                      <w:sz w:val="21"/>
                      <w:szCs w:val="21"/>
                      <w:lang w:val="en-US" w:eastAsia="zh-CN"/>
                    </w:rPr>
                    <w:t>大管内壁抛丸</w:t>
                  </w: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color w:val="auto"/>
                      <w:sz w:val="21"/>
                      <w:szCs w:val="21"/>
                    </w:rPr>
                    <w:t>DA0</w:t>
                  </w:r>
                  <w:r>
                    <w:rPr>
                      <w:rFonts w:hint="eastAsia"/>
                      <w:color w:val="auto"/>
                      <w:sz w:val="21"/>
                      <w:szCs w:val="21"/>
                      <w:lang w:val="en-US" w:eastAsia="zh-CN"/>
                    </w:rPr>
                    <w:t>07</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40</w:t>
                  </w:r>
                  <w:r>
                    <w:rPr>
                      <w:rFonts w:hint="eastAsia"/>
                      <w:color w:val="auto"/>
                      <w:sz w:val="21"/>
                      <w:szCs w:val="21"/>
                    </w:rPr>
                    <w:t>0</w:t>
                  </w:r>
                  <w:r>
                    <w:rPr>
                      <w:color w:val="auto"/>
                      <w:sz w:val="21"/>
                      <w:szCs w:val="21"/>
                    </w:rPr>
                    <w:t>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37.449</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eastAsia="宋体"/>
                      <w:color w:val="auto"/>
                      <w:sz w:val="21"/>
                      <w:lang w:val="en-US" w:eastAsia="zh-CN"/>
                    </w:rPr>
                  </w:pPr>
                  <w:r>
                    <w:rPr>
                      <w:rFonts w:hint="eastAsia"/>
                      <w:color w:val="auto"/>
                      <w:sz w:val="21"/>
                      <w:lang w:val="en-US" w:eastAsia="zh-CN"/>
                    </w:rPr>
                    <w:t>390.09</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布袋除尘</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98</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40</w:t>
                  </w:r>
                  <w:r>
                    <w:rPr>
                      <w:rFonts w:hint="eastAsia"/>
                      <w:color w:val="auto"/>
                      <w:sz w:val="21"/>
                      <w:szCs w:val="21"/>
                    </w:rPr>
                    <w:t>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0.749</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eastAsia="宋体"/>
                      <w:bCs/>
                      <w:color w:val="auto"/>
                      <w:sz w:val="21"/>
                      <w:szCs w:val="21"/>
                      <w:lang w:val="en-US" w:eastAsia="zh-CN"/>
                    </w:rPr>
                  </w:pPr>
                  <w:r>
                    <w:rPr>
                      <w:rFonts w:hint="eastAsia"/>
                      <w:bCs/>
                      <w:color w:val="auto"/>
                      <w:sz w:val="21"/>
                      <w:szCs w:val="21"/>
                      <w:lang w:val="en-US" w:eastAsia="zh-CN"/>
                    </w:rPr>
                    <w:t>7.802</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1.971</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eastAsia="宋体"/>
                      <w:color w:val="auto"/>
                      <w:sz w:val="21"/>
                      <w:lang w:val="en-US" w:eastAsia="zh-CN"/>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eastAsia"/>
                      <w:bCs/>
                      <w:color w:val="auto"/>
                      <w:sz w:val="21"/>
                      <w:szCs w:val="21"/>
                      <w:lang w:val="en-US" w:eastAsia="zh-CN"/>
                    </w:rPr>
                  </w:pPr>
                  <w:r>
                    <w:rPr>
                      <w:rFonts w:hint="eastAsia"/>
                      <w:bCs/>
                      <w:color w:val="auto"/>
                      <w:sz w:val="21"/>
                      <w:szCs w:val="21"/>
                      <w:lang w:val="en-US" w:eastAsia="zh-CN"/>
                    </w:rPr>
                    <w:t>1.971</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eastAsia="宋体"/>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rFonts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大管外壁抛丸</w:t>
                  </w: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color w:val="auto"/>
                      <w:sz w:val="21"/>
                      <w:szCs w:val="21"/>
                    </w:rPr>
                    <w:t>DA0</w:t>
                  </w:r>
                  <w:r>
                    <w:rPr>
                      <w:rFonts w:hint="eastAsia"/>
                      <w:color w:val="auto"/>
                      <w:sz w:val="21"/>
                      <w:szCs w:val="21"/>
                      <w:lang w:val="en-US" w:eastAsia="zh-CN"/>
                    </w:rPr>
                    <w:t>06</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20000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bCs/>
                      <w:color w:val="auto"/>
                      <w:sz w:val="21"/>
                      <w:szCs w:val="21"/>
                      <w:lang w:val="en-US" w:eastAsia="zh-CN"/>
                    </w:rPr>
                  </w:pPr>
                  <w:r>
                    <w:rPr>
                      <w:rFonts w:hint="eastAsia"/>
                      <w:bCs/>
                      <w:color w:val="auto"/>
                      <w:sz w:val="21"/>
                      <w:szCs w:val="21"/>
                      <w:lang w:val="en-US" w:eastAsia="zh-CN"/>
                    </w:rPr>
                    <w:t>37.449</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eastAsia="宋体"/>
                      <w:color w:val="auto"/>
                      <w:sz w:val="21"/>
                      <w:lang w:val="en-US" w:eastAsia="zh-CN"/>
                    </w:rPr>
                  </w:pPr>
                  <w:r>
                    <w:rPr>
                      <w:rFonts w:hint="eastAsia"/>
                      <w:color w:val="auto"/>
                      <w:sz w:val="21"/>
                      <w:lang w:val="en-US" w:eastAsia="zh-CN"/>
                    </w:rPr>
                    <w:t>780.19</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布袋除尘</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98</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20</w:t>
                  </w:r>
                  <w:r>
                    <w:rPr>
                      <w:rFonts w:hint="eastAsia"/>
                      <w:color w:val="auto"/>
                      <w:sz w:val="21"/>
                      <w:szCs w:val="21"/>
                    </w:rPr>
                    <w:t>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0.749</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eastAsia="宋体"/>
                      <w:bCs/>
                      <w:color w:val="auto"/>
                      <w:sz w:val="21"/>
                      <w:szCs w:val="21"/>
                      <w:lang w:val="en-US" w:eastAsia="zh-CN"/>
                    </w:rPr>
                  </w:pPr>
                  <w:r>
                    <w:rPr>
                      <w:rFonts w:hint="eastAsia"/>
                      <w:bCs/>
                      <w:color w:val="auto"/>
                      <w:sz w:val="21"/>
                      <w:szCs w:val="21"/>
                      <w:lang w:val="en-US" w:eastAsia="zh-CN"/>
                    </w:rPr>
                    <w:t>15.604</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bCs/>
                      <w:color w:val="auto"/>
                      <w:sz w:val="21"/>
                      <w:szCs w:val="21"/>
                      <w:lang w:val="en-US" w:eastAsia="zh-CN"/>
                    </w:rPr>
                  </w:pPr>
                  <w:r>
                    <w:rPr>
                      <w:rFonts w:hint="eastAsia"/>
                      <w:bCs/>
                      <w:color w:val="auto"/>
                      <w:sz w:val="21"/>
                      <w:szCs w:val="21"/>
                      <w:lang w:val="en-US" w:eastAsia="zh-CN"/>
                    </w:rPr>
                    <w:t>1.971</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eastAsia="宋体"/>
                      <w:color w:val="auto"/>
                      <w:sz w:val="21"/>
                      <w:lang w:val="en-US" w:eastAsia="zh-CN"/>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1.971</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eastAsia="宋体"/>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auto"/>
                      <w:sz w:val="21"/>
                      <w:szCs w:val="21"/>
                    </w:rPr>
                  </w:pPr>
                  <w:r>
                    <w:rPr>
                      <w:rFonts w:hint="eastAsia"/>
                      <w:color w:val="auto"/>
                      <w:sz w:val="21"/>
                      <w:szCs w:val="21"/>
                      <w:lang w:val="en-US" w:eastAsia="zh-CN"/>
                    </w:rPr>
                    <w:t>小管刷漆</w:t>
                  </w: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color w:val="auto"/>
                      <w:sz w:val="21"/>
                      <w:szCs w:val="21"/>
                    </w:rPr>
                    <w:t>DA0</w:t>
                  </w:r>
                  <w:r>
                    <w:rPr>
                      <w:rFonts w:hint="eastAsia"/>
                      <w:color w:val="auto"/>
                      <w:sz w:val="21"/>
                      <w:szCs w:val="21"/>
                      <w:lang w:val="en-US" w:eastAsia="zh-CN"/>
                    </w:rPr>
                    <w:t>01</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default"/>
                      <w:color w:val="auto"/>
                      <w:sz w:val="21"/>
                      <w:szCs w:val="21"/>
                      <w:lang w:val="en-US" w:eastAsia="zh-CN"/>
                    </w:rPr>
                  </w:pPr>
                  <w:r>
                    <w:rPr>
                      <w:rFonts w:hint="eastAsia"/>
                      <w:color w:val="auto"/>
                      <w:sz w:val="21"/>
                      <w:szCs w:val="21"/>
                      <w:lang w:val="en-US" w:eastAsia="zh-CN"/>
                    </w:rPr>
                    <w:t>二甲苯</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15000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0.36</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color w:val="auto"/>
                      <w:sz w:val="21"/>
                      <w:lang w:val="en-US" w:eastAsia="zh-CN"/>
                    </w:rPr>
                  </w:pPr>
                  <w:r>
                    <w:rPr>
                      <w:rFonts w:hint="eastAsia"/>
                      <w:color w:val="auto"/>
                      <w:sz w:val="21"/>
                      <w:lang w:val="en-US" w:eastAsia="zh-CN"/>
                    </w:rPr>
                    <w:t>10</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两级活性炭</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65</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15000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0.126</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3.5</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auto"/>
                      <w:sz w:val="21"/>
                      <w:szCs w:val="21"/>
                    </w:rPr>
                  </w:pPr>
                </w:p>
              </w:tc>
              <w:tc>
                <w:tcPr>
                  <w:tcW w:w="96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color w:val="auto"/>
                      <w:sz w:val="21"/>
                      <w:szCs w:val="21"/>
                      <w:lang w:val="en-US" w:eastAsia="zh-CN"/>
                    </w:rPr>
                  </w:pPr>
                  <w:r>
                    <w:rPr>
                      <w:rFonts w:hint="eastAsia"/>
                      <w:color w:val="auto"/>
                      <w:sz w:val="21"/>
                      <w:szCs w:val="21"/>
                      <w:lang w:val="en-US" w:eastAsia="zh-CN"/>
                    </w:rPr>
                    <w:t>二甲苯</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0.04</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color w:val="auto"/>
                      <w:sz w:val="21"/>
                      <w:lang w:val="en-US" w:eastAsia="zh-CN"/>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0.04</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大管喷漆</w:t>
                  </w: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DA005</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default"/>
                      <w:color w:val="auto"/>
                      <w:sz w:val="21"/>
                      <w:szCs w:val="21"/>
                      <w:lang w:val="en-US" w:eastAsia="zh-CN"/>
                    </w:rPr>
                  </w:pPr>
                  <w:r>
                    <w:rPr>
                      <w:rFonts w:hint="eastAsia"/>
                      <w:color w:val="auto"/>
                      <w:sz w:val="21"/>
                      <w:szCs w:val="21"/>
                      <w:lang w:val="en-US" w:eastAsia="zh-CN"/>
                    </w:rPr>
                    <w:t>二甲苯</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15000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1.44</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color w:val="auto"/>
                      <w:sz w:val="21"/>
                      <w:lang w:val="en-US" w:eastAsia="zh-CN"/>
                    </w:rPr>
                  </w:pPr>
                  <w:r>
                    <w:rPr>
                      <w:rFonts w:hint="eastAsia"/>
                      <w:color w:val="auto"/>
                      <w:sz w:val="21"/>
                      <w:lang w:val="en-US" w:eastAsia="zh-CN"/>
                    </w:rPr>
                    <w:t>40</w:t>
                  </w:r>
                </w:p>
              </w:tc>
              <w:tc>
                <w:tcPr>
                  <w:tcW w:w="853"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eastAsia="宋体"/>
                      <w:color w:val="auto"/>
                      <w:sz w:val="21"/>
                      <w:szCs w:val="21"/>
                      <w:lang w:val="en-US" w:eastAsia="zh-CN"/>
                    </w:rPr>
                    <w:t>水喷淋+活性炭吸脱附</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eastAsia="宋体"/>
                      <w:color w:val="auto"/>
                      <w:sz w:val="21"/>
                      <w:szCs w:val="21"/>
                      <w:lang w:val="en-US" w:eastAsia="zh-CN"/>
                    </w:rPr>
                    <w:t>80</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15000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0.288</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8</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default"/>
                      <w:color w:val="auto"/>
                      <w:sz w:val="21"/>
                      <w:szCs w:val="21"/>
                      <w:lang w:val="en-US" w:eastAsia="zh-CN"/>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15000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5.184</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color w:val="auto"/>
                      <w:sz w:val="21"/>
                      <w:lang w:val="en-US" w:eastAsia="zh-CN"/>
                    </w:rPr>
                  </w:pPr>
                  <w:r>
                    <w:rPr>
                      <w:rFonts w:hint="eastAsia"/>
                      <w:color w:val="auto"/>
                      <w:sz w:val="21"/>
                      <w:lang w:val="en-US" w:eastAsia="zh-CN"/>
                    </w:rPr>
                    <w:t>144</w:t>
                  </w:r>
                </w:p>
              </w:tc>
              <w:tc>
                <w:tcPr>
                  <w:tcW w:w="85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95</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15000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0.259</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7.2</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default"/>
                      <w:color w:val="auto"/>
                      <w:sz w:val="21"/>
                      <w:szCs w:val="21"/>
                      <w:lang w:val="en-US" w:eastAsia="zh-CN"/>
                    </w:rPr>
                  </w:pPr>
                  <w:r>
                    <w:rPr>
                      <w:rFonts w:hint="eastAsia"/>
                      <w:color w:val="auto"/>
                      <w:sz w:val="21"/>
                      <w:szCs w:val="21"/>
                      <w:lang w:val="en-US" w:eastAsia="zh-CN"/>
                    </w:rPr>
                    <w:t>二甲苯</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bCs/>
                      <w:color w:val="auto"/>
                      <w:sz w:val="21"/>
                      <w:szCs w:val="21"/>
                      <w:lang w:val="en-US" w:eastAsia="zh-CN"/>
                    </w:rPr>
                  </w:pPr>
                  <w:r>
                    <w:rPr>
                      <w:rFonts w:hint="eastAsia"/>
                      <w:bCs/>
                      <w:color w:val="auto"/>
                      <w:sz w:val="21"/>
                      <w:szCs w:val="21"/>
                      <w:lang w:val="en-US" w:eastAsia="zh-CN"/>
                    </w:rPr>
                    <w:t>0.16</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color w:val="auto"/>
                      <w:sz w:val="21"/>
                      <w:lang w:val="en-US" w:eastAsia="zh-CN"/>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0.16</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color w:val="auto"/>
                      <w:sz w:val="21"/>
                      <w:szCs w:val="21"/>
                      <w:lang w:val="en-US" w:eastAsia="zh-CN"/>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0.576</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0.576</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r>
                    <w:rPr>
                      <w:rFonts w:hint="eastAsia"/>
                      <w:color w:val="auto"/>
                      <w:sz w:val="21"/>
                      <w:szCs w:val="21"/>
                      <w:lang w:val="en-US" w:eastAsia="zh-CN"/>
                    </w:rPr>
                    <w:t>小管内壁喷塑</w:t>
                  </w: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default"/>
                      <w:color w:val="auto"/>
                      <w:sz w:val="21"/>
                      <w:szCs w:val="21"/>
                      <w:lang w:val="en-US" w:eastAsia="zh-CN"/>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6.3</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0.311</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default"/>
                      <w:color w:val="auto"/>
                      <w:sz w:val="21"/>
                      <w:szCs w:val="21"/>
                      <w:lang w:val="en-US" w:eastAsia="zh-CN"/>
                    </w:rPr>
                  </w:pPr>
                  <w:r>
                    <w:rPr>
                      <w:rFonts w:hint="eastAsia"/>
                      <w:color w:val="auto"/>
                      <w:sz w:val="21"/>
                      <w:szCs w:val="21"/>
                      <w:lang w:val="en-US" w:eastAsia="zh-CN"/>
                    </w:rPr>
                    <w:t>非甲烷总烃</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0.0252</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0.010</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r>
                    <w:rPr>
                      <w:rFonts w:hint="eastAsia"/>
                      <w:color w:val="auto"/>
                      <w:sz w:val="21"/>
                      <w:szCs w:val="21"/>
                      <w:lang w:val="en-US" w:eastAsia="zh-CN"/>
                    </w:rPr>
                    <w:t>小管外壁喷塑</w:t>
                  </w: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color w:val="auto"/>
                      <w:sz w:val="21"/>
                      <w:szCs w:val="21"/>
                    </w:rPr>
                    <w:t>DA0</w:t>
                  </w:r>
                  <w:r>
                    <w:rPr>
                      <w:rFonts w:hint="eastAsia"/>
                      <w:color w:val="auto"/>
                      <w:sz w:val="21"/>
                      <w:szCs w:val="21"/>
                      <w:lang w:val="en-US" w:eastAsia="zh-CN"/>
                    </w:rPr>
                    <w:t>03</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20000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6.111</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color w:val="auto"/>
                      <w:sz w:val="21"/>
                      <w:lang w:val="en-US" w:eastAsia="zh-CN"/>
                    </w:rPr>
                  </w:pPr>
                  <w:r>
                    <w:rPr>
                      <w:rFonts w:hint="eastAsia"/>
                      <w:color w:val="auto"/>
                      <w:sz w:val="21"/>
                      <w:lang w:val="en-US" w:eastAsia="zh-CN"/>
                    </w:rPr>
                    <w:t>127.3</w:t>
                  </w:r>
                </w:p>
              </w:tc>
              <w:tc>
                <w:tcPr>
                  <w:tcW w:w="853"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滤芯+布袋+两级活性炭</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98</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lang w:val="en-US" w:eastAsia="zh-CN"/>
                    </w:rPr>
                    <w:t>20000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0.122</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2.546</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非甲烷总烃</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20000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0.0239</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color w:val="auto"/>
                      <w:sz w:val="21"/>
                      <w:lang w:val="en-US" w:eastAsia="zh-CN"/>
                    </w:rPr>
                  </w:pPr>
                  <w:r>
                    <w:rPr>
                      <w:rFonts w:hint="eastAsia"/>
                      <w:color w:val="auto"/>
                      <w:sz w:val="21"/>
                      <w:lang w:val="en-US" w:eastAsia="zh-CN"/>
                    </w:rPr>
                    <w:t>0.499</w:t>
                  </w:r>
                </w:p>
              </w:tc>
              <w:tc>
                <w:tcPr>
                  <w:tcW w:w="85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65</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r>
                    <w:rPr>
                      <w:rFonts w:hint="eastAsia"/>
                      <w:color w:val="auto"/>
                      <w:sz w:val="21"/>
                      <w:szCs w:val="21"/>
                      <w:lang w:val="en-US" w:eastAsia="zh-CN"/>
                    </w:rPr>
                    <w:t>20000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0.008</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0.175</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eastAsia="宋体"/>
                      <w:color w:val="auto"/>
                      <w:sz w:val="21"/>
                      <w:szCs w:val="21"/>
                      <w:lang w:val="en-US" w:eastAsia="zh-CN"/>
                    </w:rPr>
                  </w:pPr>
                  <w:r>
                    <w:rPr>
                      <w:rFonts w:hint="eastAsia"/>
                      <w:color w:val="auto"/>
                      <w:sz w:val="21"/>
                      <w:szCs w:val="21"/>
                      <w:lang w:val="en-US" w:eastAsia="zh-CN"/>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bCs/>
                      <w:color w:val="auto"/>
                      <w:sz w:val="21"/>
                      <w:szCs w:val="21"/>
                      <w:lang w:val="en-US" w:eastAsia="zh-CN"/>
                    </w:rPr>
                  </w:pPr>
                  <w:r>
                    <w:rPr>
                      <w:rFonts w:hint="eastAsia"/>
                      <w:bCs/>
                      <w:color w:val="auto"/>
                      <w:sz w:val="21"/>
                      <w:szCs w:val="21"/>
                      <w:lang w:val="en-US" w:eastAsia="zh-CN"/>
                    </w:rPr>
                    <w:t>0.189</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bCs/>
                      <w:color w:val="auto"/>
                      <w:sz w:val="21"/>
                      <w:szCs w:val="21"/>
                      <w:lang w:val="en-US" w:eastAsia="zh-CN"/>
                    </w:rPr>
                  </w:pPr>
                  <w:r>
                    <w:rPr>
                      <w:rFonts w:hint="eastAsia"/>
                      <w:bCs/>
                      <w:color w:val="auto"/>
                      <w:sz w:val="21"/>
                      <w:szCs w:val="21"/>
                      <w:lang w:val="en-US" w:eastAsia="zh-CN"/>
                    </w:rPr>
                    <w:t>0.189</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非甲烷总烃</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default"/>
                      <w:color w:val="auto"/>
                      <w:sz w:val="21"/>
                      <w:szCs w:val="21"/>
                      <w:lang w:val="en-US" w:eastAsia="zh-CN"/>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0.001</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eastAsia"/>
                      <w:bCs/>
                      <w:color w:val="auto"/>
                      <w:sz w:val="21"/>
                      <w:szCs w:val="21"/>
                      <w:lang w:val="en-US" w:eastAsia="zh-CN"/>
                    </w:rPr>
                  </w:pPr>
                  <w:r>
                    <w:rPr>
                      <w:rFonts w:hint="eastAsia"/>
                      <w:bCs/>
                      <w:color w:val="auto"/>
                      <w:sz w:val="21"/>
                      <w:szCs w:val="21"/>
                      <w:lang w:val="en-US" w:eastAsia="zh-CN"/>
                    </w:rPr>
                    <w:t>0.001</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bCs/>
                      <w:color w:val="auto"/>
                      <w:sz w:val="21"/>
                      <w:szCs w:val="21"/>
                      <w:lang w:val="en-US" w:eastAsia="zh-CN"/>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rFonts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大管内壁喷塑</w:t>
                  </w: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25.2</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1.245</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非甲烷总烃</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0.1008</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0.039</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restart"/>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rFonts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大管外壁喷塑</w:t>
                  </w: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color w:val="auto"/>
                      <w:sz w:val="21"/>
                      <w:szCs w:val="21"/>
                    </w:rPr>
                    <w:t>DA0</w:t>
                  </w:r>
                  <w:r>
                    <w:rPr>
                      <w:rFonts w:hint="eastAsia"/>
                      <w:color w:val="auto"/>
                      <w:sz w:val="21"/>
                      <w:szCs w:val="21"/>
                      <w:lang w:val="en-US" w:eastAsia="zh-CN"/>
                    </w:rPr>
                    <w:t>08</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20000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24.444</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509.25</w:t>
                  </w:r>
                </w:p>
              </w:tc>
              <w:tc>
                <w:tcPr>
                  <w:tcW w:w="853"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滤芯+布袋+两级活性炭</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98</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20000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0.489</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10.185</w:t>
                  </w:r>
                </w:p>
              </w:tc>
              <w:tc>
                <w:tcPr>
                  <w:tcW w:w="783" w:type="dxa"/>
                  <w:vMerge w:val="restart"/>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rFonts w:hint="default" w:eastAsia="宋体"/>
                      <w:color w:val="auto"/>
                      <w:sz w:val="21"/>
                      <w:szCs w:val="21"/>
                      <w:lang w:val="en-US" w:eastAsia="zh-CN"/>
                    </w:rPr>
                  </w:pPr>
                  <w:r>
                    <w:rPr>
                      <w:rFonts w:hint="eastAsia"/>
                      <w:color w:val="auto"/>
                      <w:sz w:val="21"/>
                      <w:szCs w:val="21"/>
                      <w:lang w:val="en-US" w:eastAsia="zh-CN"/>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非甲烷总烃</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20000</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0.0958</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1.995</w:t>
                  </w:r>
                </w:p>
              </w:tc>
              <w:tc>
                <w:tcPr>
                  <w:tcW w:w="85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65</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20000</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0.034</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0.698</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restart"/>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无组织</w:t>
                  </w: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颗粒物</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0.756</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0.756</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851" w:type="dxa"/>
                  <w:vMerge w:val="continue"/>
                  <w:vAlign w:val="center"/>
                </w:tcPr>
                <w:p>
                  <w:pPr>
                    <w:keepNext w:val="0"/>
                    <w:keepLines w:val="0"/>
                    <w:pageBreakBefore w:val="0"/>
                    <w:widowControl w:val="0"/>
                    <w:kinsoku/>
                    <w:wordWrap/>
                    <w:overflowPunct/>
                    <w:topLinePunct w:val="0"/>
                    <w:autoSpaceDE/>
                    <w:autoSpaceDN/>
                    <w:bidi w:val="0"/>
                    <w:spacing w:line="300" w:lineRule="exact"/>
                    <w:ind w:left="-120" w:leftChars="-50" w:right="-120" w:rightChars="-50"/>
                    <w:jc w:val="center"/>
                    <w:textAlignment w:val="auto"/>
                    <w:outlineLvl w:val="1"/>
                    <w:rPr>
                      <w:color w:val="FF0000"/>
                      <w:sz w:val="21"/>
                      <w:szCs w:val="21"/>
                    </w:rPr>
                  </w:pPr>
                </w:p>
              </w:tc>
              <w:tc>
                <w:tcPr>
                  <w:tcW w:w="964" w:type="dxa"/>
                  <w:vMerge w:val="continue"/>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color w:val="auto"/>
                      <w:sz w:val="21"/>
                      <w:szCs w:val="21"/>
                    </w:rPr>
                  </w:pPr>
                </w:p>
              </w:tc>
              <w:tc>
                <w:tcPr>
                  <w:tcW w:w="1025" w:type="dxa"/>
                  <w:vAlign w:val="center"/>
                </w:tcPr>
                <w:p>
                  <w:pPr>
                    <w:keepNext w:val="0"/>
                    <w:keepLines w:val="0"/>
                    <w:pageBreakBefore w:val="0"/>
                    <w:widowControl w:val="0"/>
                    <w:kinsoku/>
                    <w:wordWrap/>
                    <w:overflowPunct/>
                    <w:topLinePunct w:val="0"/>
                    <w:autoSpaceDE/>
                    <w:autoSpaceDN/>
                    <w:bidi w:val="0"/>
                    <w:adjustRightInd w:val="0"/>
                    <w:snapToGrid w:val="0"/>
                    <w:spacing w:line="300" w:lineRule="exact"/>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非甲烷总烃</w:t>
                  </w:r>
                </w:p>
              </w:tc>
              <w:tc>
                <w:tcPr>
                  <w:tcW w:w="98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854"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1018"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0.005</w:t>
                  </w:r>
                </w:p>
              </w:tc>
              <w:tc>
                <w:tcPr>
                  <w:tcW w:w="992" w:type="dxa"/>
                  <w:vAlign w:val="center"/>
                </w:tcPr>
                <w:p>
                  <w:pPr>
                    <w:pStyle w:val="91"/>
                    <w:keepNext w:val="0"/>
                    <w:keepLines w:val="0"/>
                    <w:pageBreakBefore w:val="0"/>
                    <w:widowControl w:val="0"/>
                    <w:kinsoku/>
                    <w:wordWrap/>
                    <w:overflowPunct/>
                    <w:topLinePunct w:val="0"/>
                    <w:autoSpaceDE/>
                    <w:autoSpaceDN/>
                    <w:bidi w:val="0"/>
                    <w:spacing w:line="300" w:lineRule="exact"/>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lang w:val="en-US" w:eastAsia="zh-CN"/>
                    </w:rPr>
                    <w:t>/</w:t>
                  </w:r>
                </w:p>
              </w:tc>
              <w:tc>
                <w:tcPr>
                  <w:tcW w:w="853"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7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977"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排污系数</w:t>
                  </w:r>
                </w:p>
              </w:tc>
              <w:tc>
                <w:tcPr>
                  <w:tcW w:w="945" w:type="dxa"/>
                  <w:vAlign w:val="center"/>
                </w:tcPr>
                <w:p>
                  <w:pPr>
                    <w:keepNext w:val="0"/>
                    <w:keepLines w:val="0"/>
                    <w:pageBreakBefore w:val="0"/>
                    <w:widowControl w:val="0"/>
                    <w:kinsoku/>
                    <w:wordWrap/>
                    <w:overflowPunct/>
                    <w:topLinePunct w:val="0"/>
                    <w:autoSpaceDE/>
                    <w:autoSpaceDN/>
                    <w:bidi w:val="0"/>
                    <w:spacing w:line="300" w:lineRule="exact"/>
                    <w:ind w:left="-50" w:leftChars="0" w:right="-50" w:rightChars="0"/>
                    <w:jc w:val="center"/>
                    <w:textAlignment w:val="auto"/>
                    <w:outlineLvl w:val="1"/>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w:t>
                  </w:r>
                </w:p>
              </w:tc>
              <w:tc>
                <w:tcPr>
                  <w:tcW w:w="867"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0.005</w:t>
                  </w:r>
                </w:p>
              </w:tc>
              <w:tc>
                <w:tcPr>
                  <w:tcW w:w="1176" w:type="dxa"/>
                  <w:vAlign w:val="center"/>
                </w:tcPr>
                <w:p>
                  <w:pPr>
                    <w:keepNext w:val="0"/>
                    <w:keepLines w:val="0"/>
                    <w:pageBreakBefore w:val="0"/>
                    <w:widowControl w:val="0"/>
                    <w:kinsoku/>
                    <w:wordWrap/>
                    <w:overflowPunct/>
                    <w:topLinePunct w:val="0"/>
                    <w:autoSpaceDE/>
                    <w:autoSpaceDN/>
                    <w:bidi w:val="0"/>
                    <w:spacing w:line="300" w:lineRule="exact"/>
                    <w:jc w:val="center"/>
                    <w:textAlignment w:val="auto"/>
                    <w:outlineLvl w:val="1"/>
                    <w:rPr>
                      <w:rFonts w:hint="eastAsia"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w:t>
                  </w:r>
                </w:p>
              </w:tc>
              <w:tc>
                <w:tcPr>
                  <w:tcW w:w="783" w:type="dxa"/>
                  <w:vMerge w:val="continue"/>
                  <w:vAlign w:val="center"/>
                </w:tcPr>
                <w:p>
                  <w:pPr>
                    <w:keepNext w:val="0"/>
                    <w:keepLines w:val="0"/>
                    <w:pageBreakBefore w:val="0"/>
                    <w:widowControl w:val="0"/>
                    <w:kinsoku/>
                    <w:wordWrap/>
                    <w:overflowPunct/>
                    <w:topLinePunct w:val="0"/>
                    <w:autoSpaceDE/>
                    <w:autoSpaceDN/>
                    <w:bidi w:val="0"/>
                    <w:spacing w:line="300" w:lineRule="exact"/>
                    <w:ind w:left="-50" w:right="-50"/>
                    <w:jc w:val="center"/>
                    <w:textAlignment w:val="auto"/>
                    <w:outlineLvl w:val="1"/>
                    <w:rPr>
                      <w:color w:val="auto"/>
                      <w:sz w:val="21"/>
                      <w:szCs w:val="21"/>
                    </w:rPr>
                  </w:pPr>
                </w:p>
              </w:tc>
            </w:tr>
          </w:tbl>
          <w:p>
            <w:pPr>
              <w:tabs>
                <w:tab w:val="left" w:pos="4288"/>
              </w:tabs>
              <w:spacing w:line="360" w:lineRule="auto"/>
              <w:outlineLvl w:val="2"/>
              <w:rPr>
                <w:color w:val="FF0000"/>
                <w:sz w:val="21"/>
                <w:szCs w:val="20"/>
              </w:rPr>
            </w:pPr>
          </w:p>
          <w:p>
            <w:pPr>
              <w:pStyle w:val="38"/>
              <w:jc w:val="left"/>
              <w:rPr>
                <w:color w:val="FF0000"/>
                <w:sz w:val="21"/>
                <w:szCs w:val="20"/>
              </w:rPr>
            </w:pPr>
          </w:p>
          <w:p>
            <w:pPr>
              <w:jc w:val="left"/>
              <w:rPr>
                <w:color w:val="FF0000"/>
                <w:sz w:val="21"/>
                <w:szCs w:val="20"/>
              </w:rPr>
            </w:pPr>
          </w:p>
          <w:p>
            <w:pPr>
              <w:pStyle w:val="14"/>
              <w:rPr>
                <w:color w:val="FF0000"/>
                <w:sz w:val="21"/>
                <w:szCs w:val="20"/>
              </w:rPr>
            </w:pPr>
          </w:p>
          <w:p>
            <w:pPr>
              <w:pStyle w:val="14"/>
              <w:rPr>
                <w:color w:val="FF0000"/>
                <w:sz w:val="21"/>
                <w:szCs w:val="20"/>
              </w:rPr>
            </w:pPr>
          </w:p>
          <w:p>
            <w:pPr>
              <w:pStyle w:val="14"/>
              <w:rPr>
                <w:color w:val="FF0000"/>
                <w:sz w:val="21"/>
                <w:szCs w:val="20"/>
              </w:rPr>
            </w:pPr>
          </w:p>
          <w:p>
            <w:pPr>
              <w:pStyle w:val="38"/>
              <w:jc w:val="left"/>
              <w:rPr>
                <w:color w:val="FF0000"/>
                <w:sz w:val="21"/>
                <w:szCs w:val="20"/>
              </w:rPr>
            </w:pPr>
          </w:p>
          <w:p>
            <w:pPr>
              <w:jc w:val="left"/>
              <w:rPr>
                <w:color w:val="FF0000"/>
                <w:sz w:val="21"/>
                <w:szCs w:val="20"/>
              </w:rPr>
            </w:pPr>
          </w:p>
          <w:p>
            <w:pPr>
              <w:pStyle w:val="38"/>
              <w:jc w:val="left"/>
              <w:rPr>
                <w:color w:val="FF0000"/>
                <w:sz w:val="21"/>
                <w:szCs w:val="20"/>
              </w:rPr>
            </w:pPr>
          </w:p>
          <w:p/>
        </w:tc>
      </w:tr>
    </w:tbl>
    <w:p>
      <w:pPr>
        <w:rPr>
          <w:rFonts w:hint="eastAsia"/>
          <w:lang w:val="en-US" w:eastAsia="zh-CN"/>
        </w:rPr>
        <w:sectPr>
          <w:pgSz w:w="16838" w:h="11906" w:orient="landscape"/>
          <w:pgMar w:top="1803" w:right="1440" w:bottom="1803" w:left="1440" w:header="851" w:footer="992" w:gutter="0"/>
          <w:pgBorders>
            <w:top w:val="none" w:sz="0" w:space="0"/>
            <w:left w:val="none" w:sz="0" w:space="0"/>
            <w:bottom w:val="none" w:sz="0" w:space="0"/>
            <w:right w:val="none" w:sz="0" w:space="0"/>
          </w:pgBorders>
          <w:cols w:space="0" w:num="1"/>
          <w:rtlGutter w:val="0"/>
          <w:docGrid w:type="lines" w:linePitch="332" w:charSpace="0"/>
        </w:sectPr>
      </w:pPr>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
        <w:gridCol w:w="8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9" w:hRule="atLeast"/>
        </w:trPr>
        <w:tc>
          <w:tcPr>
            <w:tcW w:w="488"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营运期环境保护措施</w:t>
            </w:r>
          </w:p>
        </w:tc>
        <w:tc>
          <w:tcPr>
            <w:tcW w:w="8034" w:type="dxa"/>
          </w:tcPr>
          <w:p>
            <w:pPr>
              <w:spacing w:line="360" w:lineRule="auto"/>
              <w:rPr>
                <w:rFonts w:hint="default" w:eastAsia="宋体"/>
                <w:b/>
                <w:bCs/>
                <w:color w:val="auto"/>
              </w:rPr>
            </w:pPr>
            <w:r>
              <w:rPr>
                <w:rFonts w:hint="default" w:eastAsia="宋体"/>
                <w:b/>
                <w:bCs/>
                <w:color w:val="auto"/>
              </w:rPr>
              <w:t>4.1.2营运期废水</w:t>
            </w:r>
          </w:p>
          <w:p>
            <w:pPr>
              <w:tabs>
                <w:tab w:val="left" w:pos="4288"/>
              </w:tabs>
              <w:spacing w:line="360" w:lineRule="auto"/>
              <w:ind w:firstLine="480" w:firstLineChars="200"/>
              <w:outlineLvl w:val="2"/>
              <w:rPr>
                <w:rFonts w:hint="default"/>
                <w:color w:val="auto"/>
                <w:lang w:val="en-US" w:eastAsia="zh-CN"/>
              </w:rPr>
            </w:pPr>
            <w:r>
              <w:rPr>
                <w:rFonts w:hint="default"/>
                <w:color w:val="auto"/>
              </w:rPr>
              <w:t>（1）</w:t>
            </w:r>
            <w:r>
              <w:rPr>
                <w:rFonts w:hint="default"/>
                <w:color w:val="auto"/>
                <w:lang w:val="en-US" w:eastAsia="zh-CN"/>
              </w:rPr>
              <w:t>废水源强</w:t>
            </w:r>
          </w:p>
          <w:p>
            <w:pPr>
              <w:spacing w:line="360" w:lineRule="auto"/>
              <w:ind w:firstLine="480" w:firstLineChars="200"/>
              <w:rPr>
                <w:rFonts w:hint="default"/>
                <w:color w:val="FF0000"/>
              </w:rPr>
            </w:pPr>
            <w:r>
              <w:rPr>
                <w:rFonts w:hint="default"/>
                <w:color w:val="auto"/>
                <w:lang w:val="en-US" w:eastAsia="zh-CN"/>
              </w:rPr>
              <w:t>本项目</w:t>
            </w:r>
            <w:r>
              <w:rPr>
                <w:rFonts w:hint="eastAsia"/>
                <w:color w:val="auto"/>
                <w:lang w:val="en-US" w:eastAsia="zh-CN"/>
              </w:rPr>
              <w:t>水喷淋废水循环使用，定期作为危废处置</w:t>
            </w:r>
            <w:r>
              <w:rPr>
                <w:rFonts w:hint="default"/>
                <w:color w:val="auto"/>
                <w:lang w:val="en-US" w:eastAsia="zh-CN"/>
              </w:rPr>
              <w:t>，</w:t>
            </w:r>
            <w:r>
              <w:rPr>
                <w:rFonts w:hint="eastAsia"/>
                <w:color w:val="auto"/>
                <w:lang w:val="en-US" w:eastAsia="zh-CN"/>
              </w:rPr>
              <w:t>中频炉冷却水及钢管冷却水均循环使用，不排放，因此本项目</w:t>
            </w:r>
            <w:r>
              <w:rPr>
                <w:rFonts w:hint="default"/>
                <w:color w:val="auto"/>
                <w:lang w:val="en-US" w:eastAsia="zh-CN"/>
              </w:rPr>
              <w:t>仅有职工生活污水产生。</w:t>
            </w:r>
            <w:r>
              <w:rPr>
                <w:rFonts w:hint="default"/>
                <w:color w:val="auto"/>
              </w:rPr>
              <w:t>本项目</w:t>
            </w:r>
            <w:r>
              <w:rPr>
                <w:rFonts w:hint="eastAsia"/>
                <w:color w:val="auto"/>
                <w:lang w:val="en-US" w:eastAsia="zh-CN"/>
              </w:rPr>
              <w:t>新增</w:t>
            </w:r>
            <w:r>
              <w:rPr>
                <w:rFonts w:hint="default"/>
                <w:color w:val="auto"/>
              </w:rPr>
              <w:t>员工</w:t>
            </w:r>
            <w:r>
              <w:rPr>
                <w:rFonts w:hint="eastAsia"/>
                <w:color w:val="auto"/>
                <w:lang w:val="en-US" w:eastAsia="zh-CN"/>
              </w:rPr>
              <w:t>1</w:t>
            </w:r>
            <w:r>
              <w:rPr>
                <w:rFonts w:hint="default"/>
                <w:color w:val="auto"/>
                <w:lang w:val="en-US" w:eastAsia="zh-CN"/>
              </w:rPr>
              <w:t>0</w:t>
            </w:r>
            <w:r>
              <w:rPr>
                <w:rFonts w:hint="default"/>
                <w:color w:val="auto"/>
              </w:rPr>
              <w:t>人，年工作天数为3</w:t>
            </w:r>
            <w:r>
              <w:rPr>
                <w:rFonts w:hint="eastAsia"/>
                <w:color w:val="auto"/>
                <w:lang w:val="en-US" w:eastAsia="zh-CN"/>
              </w:rPr>
              <w:t>0</w:t>
            </w:r>
            <w:r>
              <w:rPr>
                <w:rFonts w:hint="default"/>
                <w:color w:val="auto"/>
              </w:rPr>
              <w:t>0天，员工用水量50L/人·日，污水排放量以用水量的80%计，计算得生活污水排放量为</w:t>
            </w:r>
            <w:r>
              <w:rPr>
                <w:rFonts w:hint="eastAsia"/>
                <w:color w:val="auto"/>
                <w:lang w:val="en-US" w:eastAsia="zh-CN"/>
              </w:rPr>
              <w:t>120</w:t>
            </w:r>
            <w:r>
              <w:rPr>
                <w:rFonts w:hint="default"/>
                <w:color w:val="auto"/>
              </w:rPr>
              <w:t>t/a，其产生水质浓度为COD</w:t>
            </w:r>
            <w:r>
              <w:rPr>
                <w:rFonts w:hint="default"/>
                <w:color w:val="auto"/>
                <w:vertAlign w:val="subscript"/>
              </w:rPr>
              <w:t>Cr</w:t>
            </w:r>
            <w:r>
              <w:rPr>
                <w:rFonts w:hint="default"/>
                <w:color w:val="auto"/>
              </w:rPr>
              <w:t>：3</w:t>
            </w:r>
            <w:r>
              <w:rPr>
                <w:rFonts w:hint="eastAsia"/>
                <w:color w:val="auto"/>
                <w:lang w:val="en-US" w:eastAsia="zh-CN"/>
              </w:rPr>
              <w:t>5</w:t>
            </w:r>
            <w:r>
              <w:rPr>
                <w:rFonts w:hint="default"/>
                <w:color w:val="auto"/>
              </w:rPr>
              <w:t>0mg/L、NH</w:t>
            </w:r>
            <w:r>
              <w:rPr>
                <w:rFonts w:hint="default"/>
                <w:color w:val="auto"/>
                <w:vertAlign w:val="subscript"/>
              </w:rPr>
              <w:t>3</w:t>
            </w:r>
            <w:r>
              <w:rPr>
                <w:rFonts w:hint="default"/>
                <w:color w:val="auto"/>
              </w:rPr>
              <w:t>-N：35mg/L，主要污染物产生量为COD</w:t>
            </w:r>
            <w:r>
              <w:rPr>
                <w:rFonts w:hint="default"/>
                <w:color w:val="auto"/>
                <w:vertAlign w:val="subscript"/>
              </w:rPr>
              <w:t>Cr</w:t>
            </w:r>
            <w:r>
              <w:rPr>
                <w:rFonts w:hint="default"/>
                <w:color w:val="auto"/>
              </w:rPr>
              <w:t>：0.</w:t>
            </w:r>
            <w:r>
              <w:rPr>
                <w:rFonts w:hint="default"/>
                <w:color w:val="auto"/>
                <w:lang w:val="en-US" w:eastAsia="zh-CN"/>
              </w:rPr>
              <w:t>0</w:t>
            </w:r>
            <w:r>
              <w:rPr>
                <w:rFonts w:hint="eastAsia"/>
                <w:color w:val="auto"/>
                <w:lang w:val="en-US" w:eastAsia="zh-CN"/>
              </w:rPr>
              <w:t>42</w:t>
            </w:r>
            <w:r>
              <w:rPr>
                <w:rFonts w:hint="default"/>
                <w:color w:val="auto"/>
              </w:rPr>
              <w:t>t/a、NH</w:t>
            </w:r>
            <w:r>
              <w:rPr>
                <w:rFonts w:hint="default"/>
                <w:color w:val="auto"/>
                <w:vertAlign w:val="subscript"/>
              </w:rPr>
              <w:t>3</w:t>
            </w:r>
            <w:r>
              <w:rPr>
                <w:rFonts w:hint="default"/>
                <w:color w:val="auto"/>
              </w:rPr>
              <w:t>-N：0.0</w:t>
            </w:r>
            <w:r>
              <w:rPr>
                <w:rFonts w:hint="default"/>
                <w:color w:val="auto"/>
                <w:lang w:val="en-US" w:eastAsia="zh-CN"/>
              </w:rPr>
              <w:t>0</w:t>
            </w:r>
            <w:r>
              <w:rPr>
                <w:rFonts w:hint="eastAsia"/>
                <w:color w:val="auto"/>
                <w:lang w:val="en-US" w:eastAsia="zh-CN"/>
              </w:rPr>
              <w:t>42</w:t>
            </w:r>
            <w:r>
              <w:rPr>
                <w:rFonts w:hint="default"/>
                <w:color w:val="auto"/>
              </w:rPr>
              <w:t>t/a，生活污水经</w:t>
            </w:r>
            <w:r>
              <w:rPr>
                <w:rFonts w:hint="default"/>
                <w:color w:val="auto"/>
                <w:lang w:val="en-US" w:eastAsia="zh-CN"/>
              </w:rPr>
              <w:t>新建</w:t>
            </w:r>
            <w:r>
              <w:rPr>
                <w:rFonts w:hint="default"/>
                <w:color w:val="auto"/>
              </w:rPr>
              <w:t>化粪池</w:t>
            </w:r>
            <w:r>
              <w:rPr>
                <w:rFonts w:hint="default"/>
                <w:color w:val="auto"/>
                <w:lang w:val="en-US" w:eastAsia="zh-CN"/>
              </w:rPr>
              <w:t>预</w:t>
            </w:r>
            <w:r>
              <w:rPr>
                <w:rFonts w:hint="default"/>
                <w:color w:val="auto"/>
              </w:rPr>
              <w:t>处理后水质符合GB8978-1996《污水综合排放标准》中的三级标准后纳管至</w:t>
            </w:r>
            <w:r>
              <w:rPr>
                <w:rFonts w:hint="default"/>
                <w:color w:val="auto"/>
                <w:lang w:eastAsia="zh-CN"/>
              </w:rPr>
              <w:t>德清鸿晟水务科技有限公司</w:t>
            </w:r>
            <w:r>
              <w:rPr>
                <w:rFonts w:hint="default"/>
                <w:color w:val="auto"/>
              </w:rPr>
              <w:t>处理，达标排放。</w:t>
            </w:r>
          </w:p>
          <w:p>
            <w:pPr>
              <w:spacing w:line="240" w:lineRule="auto"/>
              <w:ind w:firstLine="480" w:firstLineChars="200"/>
              <w:rPr>
                <w:rFonts w:hint="default"/>
                <w:color w:val="FF0000"/>
              </w:rPr>
            </w:pPr>
          </w:p>
          <w:p>
            <w:pPr>
              <w:spacing w:line="360" w:lineRule="auto"/>
              <w:ind w:firstLine="480" w:firstLineChars="200"/>
              <w:rPr>
                <w:rFonts w:hint="default"/>
                <w:color w:val="auto"/>
              </w:rPr>
            </w:pPr>
            <w:r>
              <w:rPr>
                <w:rFonts w:hint="default"/>
                <w:color w:val="auto"/>
              </w:rPr>
              <w:t>（</w:t>
            </w:r>
            <w:r>
              <w:rPr>
                <w:rFonts w:hint="default"/>
                <w:color w:val="auto"/>
                <w:lang w:val="en-US" w:eastAsia="zh-CN"/>
              </w:rPr>
              <w:t>2</w:t>
            </w:r>
            <w:r>
              <w:rPr>
                <w:rFonts w:hint="default"/>
                <w:color w:val="auto"/>
              </w:rPr>
              <w:t>）项目依托污水处理厂可行性分析</w:t>
            </w:r>
          </w:p>
          <w:p>
            <w:pPr>
              <w:spacing w:line="360" w:lineRule="auto"/>
              <w:ind w:firstLine="480" w:firstLineChars="200"/>
              <w:rPr>
                <w:rFonts w:hint="default"/>
                <w:color w:val="auto"/>
              </w:rPr>
            </w:pPr>
            <w:r>
              <w:rPr>
                <w:rFonts w:hint="default"/>
                <w:color w:val="auto"/>
              </w:rPr>
              <w:t>a）污水管网建设情况</w:t>
            </w:r>
          </w:p>
          <w:p>
            <w:pPr>
              <w:spacing w:line="360" w:lineRule="auto"/>
              <w:ind w:firstLine="480" w:firstLineChars="200"/>
              <w:rPr>
                <w:rFonts w:hint="default"/>
                <w:color w:val="auto"/>
              </w:rPr>
            </w:pPr>
            <w:r>
              <w:rPr>
                <w:rFonts w:hint="default"/>
                <w:color w:val="auto"/>
              </w:rPr>
              <w:t>本项目位于</w:t>
            </w:r>
            <w:r>
              <w:rPr>
                <w:rFonts w:hint="eastAsia"/>
                <w:color w:val="auto"/>
                <w:lang w:eastAsia="zh-CN"/>
              </w:rPr>
              <w:t>德清县钟管镇横塘桥路2号</w:t>
            </w:r>
            <w:r>
              <w:rPr>
                <w:rFonts w:hint="default"/>
                <w:color w:val="auto"/>
              </w:rPr>
              <w:t>，周边市政污水管网已铺设完成，从管网配套性分析，项目建成后能实现污水纳管排放。</w:t>
            </w:r>
          </w:p>
          <w:p>
            <w:pPr>
              <w:spacing w:line="360" w:lineRule="auto"/>
              <w:ind w:firstLine="480" w:firstLineChars="200"/>
              <w:rPr>
                <w:rFonts w:hint="default"/>
                <w:color w:val="auto"/>
              </w:rPr>
            </w:pPr>
            <w:r>
              <w:rPr>
                <w:rFonts w:hint="default"/>
                <w:color w:val="auto"/>
              </w:rPr>
              <w:t>b）进出水水质</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进水水质标准：《污水综合排放标准》（GB8978-1996）三级标准。</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出水水质标准：</w:t>
            </w:r>
            <w:r>
              <w:rPr>
                <w:rFonts w:hint="default" w:ascii="Times New Roman" w:hAnsi="Times New Roman" w:cs="Times New Roman"/>
                <w:color w:val="auto"/>
                <w:szCs w:val="24"/>
              </w:rPr>
              <w:t>《城镇污水处理厂主要水污染物排放标准》（DB33/2169-2018）中表1标准及</w:t>
            </w:r>
            <w:r>
              <w:rPr>
                <w:rFonts w:hint="default" w:ascii="Times New Roman" w:hAnsi="Times New Roman" w:cs="Times New Roman"/>
                <w:color w:val="auto"/>
              </w:rPr>
              <w:t>《城镇污水处理厂污染物排放标准》（GB18918-2002）一级A排放标准。</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c）对污水处理厂冲击情况</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lang w:val="en-US" w:eastAsia="zh-CN"/>
              </w:rPr>
              <w:t>浙江德清泓晟水务科技有限公司（前身为德清县钟管科亮环保科技有限公司）选址德清县钟管镇三墩村，设计处理规模为1万t/d，目前运行负荷70%左右，污水厂处理余量0.3万t/d，服务范围为钟管镇集镇和钟管镇工业区在内的7.06km</w:t>
            </w:r>
            <w:r>
              <w:rPr>
                <w:rFonts w:hint="default" w:ascii="Times New Roman" w:hAnsi="Times New Roman" w:cs="Times New Roman"/>
                <w:color w:val="auto"/>
                <w:vertAlign w:val="superscript"/>
                <w:lang w:val="en-US" w:eastAsia="zh-CN"/>
              </w:rPr>
              <w:t>2</w:t>
            </w:r>
            <w:r>
              <w:rPr>
                <w:rFonts w:hint="default" w:ascii="Times New Roman" w:hAnsi="Times New Roman" w:cs="Times New Roman"/>
                <w:color w:val="auto"/>
                <w:lang w:val="en-US" w:eastAsia="zh-CN"/>
              </w:rPr>
              <w:t>范围的工业废水和生活污水</w:t>
            </w:r>
            <w:r>
              <w:rPr>
                <w:rFonts w:hint="default" w:ascii="Times New Roman" w:hAnsi="Times New Roman" w:cs="Times New Roman"/>
                <w:color w:val="auto"/>
              </w:rPr>
              <w:t>。</w:t>
            </w:r>
            <w:r>
              <w:rPr>
                <w:rFonts w:hint="default" w:ascii="Times New Roman" w:hAnsi="Times New Roman" w:cs="Times New Roman"/>
                <w:color w:val="auto"/>
                <w:szCs w:val="24"/>
              </w:rPr>
              <w:t>出水标准</w:t>
            </w:r>
            <w:r>
              <w:rPr>
                <w:rFonts w:hint="default" w:ascii="Times New Roman" w:hAnsi="Times New Roman" w:cs="Times New Roman"/>
                <w:color w:val="auto"/>
              </w:rPr>
              <w:t>达到</w:t>
            </w:r>
            <w:r>
              <w:rPr>
                <w:rFonts w:hint="default" w:ascii="Times New Roman" w:hAnsi="Times New Roman" w:cs="Times New Roman"/>
                <w:color w:val="auto"/>
                <w:szCs w:val="24"/>
              </w:rPr>
              <w:t>《城镇污水处理厂主要水污染物排放标准》（DB33/2169-2018）中表1标准及</w:t>
            </w:r>
            <w:r>
              <w:rPr>
                <w:rFonts w:hint="default" w:ascii="Times New Roman" w:hAnsi="Times New Roman" w:cs="Times New Roman"/>
                <w:color w:val="auto"/>
              </w:rPr>
              <w:t>《城镇污水处理厂污染物排放标准》（GB18918-2002）中的一级A标准。</w:t>
            </w:r>
            <w:r>
              <w:rPr>
                <w:rFonts w:hint="default" w:ascii="Times New Roman" w:hAnsi="Times New Roman" w:cs="Times New Roman"/>
                <w:color w:val="auto"/>
                <w:lang w:val="en-US" w:eastAsia="zh-CN"/>
              </w:rPr>
              <w:t>本</w:t>
            </w:r>
            <w:r>
              <w:rPr>
                <w:rFonts w:hint="default" w:ascii="Times New Roman" w:hAnsi="Times New Roman" w:cs="Times New Roman"/>
                <w:color w:val="auto"/>
              </w:rPr>
              <w:t>项目</w:t>
            </w:r>
            <w:r>
              <w:rPr>
                <w:rFonts w:hint="default" w:ascii="Times New Roman" w:hAnsi="Times New Roman" w:cs="Times New Roman"/>
                <w:color w:val="auto"/>
                <w:lang w:val="en-US" w:eastAsia="zh-CN"/>
              </w:rPr>
              <w:t>仅排放生活污水，</w:t>
            </w:r>
            <w:r>
              <w:rPr>
                <w:rFonts w:hint="default" w:ascii="Times New Roman" w:hAnsi="Times New Roman" w:cs="Times New Roman"/>
                <w:color w:val="auto"/>
              </w:rPr>
              <w:t>新增废水总排放量为</w:t>
            </w:r>
            <w:r>
              <w:rPr>
                <w:rFonts w:hint="default" w:ascii="Times New Roman" w:hAnsi="Times New Roman" w:cs="Times New Roman"/>
                <w:color w:val="auto"/>
                <w:lang w:val="en-US" w:eastAsia="zh-CN"/>
              </w:rPr>
              <w:t>0.</w:t>
            </w:r>
            <w:r>
              <w:rPr>
                <w:rFonts w:hint="eastAsia" w:cs="Times New Roman"/>
                <w:color w:val="auto"/>
                <w:lang w:val="en-US" w:eastAsia="zh-CN"/>
              </w:rPr>
              <w:t>8</w:t>
            </w:r>
            <w:r>
              <w:rPr>
                <w:rFonts w:hint="default" w:ascii="Times New Roman" w:hAnsi="Times New Roman" w:cs="Times New Roman"/>
                <w:color w:val="auto"/>
              </w:rPr>
              <w:t>t/d，本项目废水总量占该污水处理厂剩余日处理容量的0.</w:t>
            </w:r>
            <w:r>
              <w:rPr>
                <w:rFonts w:hint="default" w:ascii="Times New Roman" w:hAnsi="Times New Roman" w:cs="Times New Roman"/>
                <w:color w:val="auto"/>
                <w:lang w:val="en-US" w:eastAsia="zh-CN"/>
              </w:rPr>
              <w:t>0</w:t>
            </w:r>
            <w:r>
              <w:rPr>
                <w:rFonts w:hint="eastAsia" w:cs="Times New Roman"/>
                <w:color w:val="auto"/>
                <w:lang w:val="en-US" w:eastAsia="zh-CN"/>
              </w:rPr>
              <w:t>27</w:t>
            </w:r>
            <w:r>
              <w:rPr>
                <w:rFonts w:hint="default" w:ascii="Times New Roman" w:hAnsi="Times New Roman" w:cs="Times New Roman"/>
                <w:color w:val="auto"/>
              </w:rPr>
              <w:t>%，可以被其接纳，而且废水水质达到相关的排放标准，正常情况下不会对污水处理厂的运行造成不良影响。根据前面分析，本项目废水经厂区化粪池预处理后，废水水质符合</w:t>
            </w:r>
            <w:r>
              <w:rPr>
                <w:rFonts w:hint="default" w:ascii="Times New Roman" w:hAnsi="Times New Roman" w:cs="Times New Roman"/>
                <w:color w:val="auto"/>
                <w:lang w:eastAsia="zh-CN"/>
              </w:rPr>
              <w:t>德清鸿晟水务科技有限公司</w:t>
            </w:r>
            <w:r>
              <w:rPr>
                <w:rFonts w:hint="default" w:ascii="Times New Roman" w:hAnsi="Times New Roman" w:cs="Times New Roman"/>
                <w:color w:val="auto"/>
              </w:rPr>
              <w:t>污水纳管标准，不会对污水厂的运行产生影响，污水依托</w:t>
            </w:r>
            <w:r>
              <w:rPr>
                <w:rFonts w:hint="default" w:ascii="Times New Roman" w:hAnsi="Times New Roman" w:cs="Times New Roman"/>
                <w:color w:val="auto"/>
                <w:lang w:eastAsia="zh-CN"/>
              </w:rPr>
              <w:t>德清鸿晟水务科技有限公司</w:t>
            </w:r>
            <w:r>
              <w:rPr>
                <w:rFonts w:hint="default" w:ascii="Times New Roman" w:hAnsi="Times New Roman" w:cs="Times New Roman"/>
                <w:color w:val="auto"/>
              </w:rPr>
              <w:t>处理可行。</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为了解</w:t>
            </w:r>
            <w:r>
              <w:rPr>
                <w:rFonts w:hint="default" w:ascii="Times New Roman" w:hAnsi="Times New Roman" w:cs="Times New Roman"/>
                <w:color w:val="auto"/>
                <w:lang w:eastAsia="zh-CN"/>
              </w:rPr>
              <w:t>德清鸿晟水务科技有限公司</w:t>
            </w:r>
            <w:r>
              <w:rPr>
                <w:rFonts w:hint="default" w:ascii="Times New Roman" w:hAnsi="Times New Roman" w:cs="Times New Roman"/>
                <w:color w:val="auto"/>
              </w:rPr>
              <w:t>出水水质状况，本评价摘录自浙江省污染源自动监控信息管理平台202</w:t>
            </w:r>
            <w:r>
              <w:rPr>
                <w:rFonts w:hint="default" w:ascii="Times New Roman" w:hAnsi="Times New Roman" w:cs="Times New Roman"/>
                <w:color w:val="auto"/>
                <w:lang w:val="en-US" w:eastAsia="zh-CN"/>
              </w:rPr>
              <w:t>4</w:t>
            </w:r>
            <w:r>
              <w:rPr>
                <w:rFonts w:hint="default" w:ascii="Times New Roman" w:hAnsi="Times New Roman" w:cs="Times New Roman"/>
                <w:color w:val="auto"/>
              </w:rPr>
              <w:t>年</w:t>
            </w:r>
            <w:r>
              <w:rPr>
                <w:rFonts w:hint="eastAsia" w:cs="Times New Roman"/>
                <w:color w:val="auto"/>
                <w:lang w:val="en-US" w:eastAsia="zh-CN"/>
              </w:rPr>
              <w:t>5</w:t>
            </w:r>
            <w:r>
              <w:rPr>
                <w:rFonts w:hint="default" w:ascii="Times New Roman" w:hAnsi="Times New Roman" w:cs="Times New Roman"/>
                <w:color w:val="auto"/>
              </w:rPr>
              <w:t>月</w:t>
            </w:r>
            <w:r>
              <w:rPr>
                <w:rFonts w:hint="eastAsia" w:cs="Times New Roman"/>
                <w:color w:val="auto"/>
                <w:lang w:val="en-US" w:eastAsia="zh-CN"/>
              </w:rPr>
              <w:t>11</w:t>
            </w:r>
            <w:r>
              <w:rPr>
                <w:rFonts w:hint="default" w:ascii="Times New Roman" w:hAnsi="Times New Roman" w:cs="Times New Roman"/>
                <w:color w:val="auto"/>
              </w:rPr>
              <w:t>日~</w:t>
            </w:r>
            <w:r>
              <w:rPr>
                <w:rFonts w:hint="eastAsia" w:cs="Times New Roman"/>
                <w:color w:val="auto"/>
                <w:lang w:val="en-US" w:eastAsia="zh-CN"/>
              </w:rPr>
              <w:t>5</w:t>
            </w:r>
            <w:r>
              <w:rPr>
                <w:rFonts w:hint="default" w:ascii="Times New Roman" w:hAnsi="Times New Roman" w:cs="Times New Roman"/>
                <w:color w:val="auto"/>
              </w:rPr>
              <w:t>月</w:t>
            </w:r>
            <w:r>
              <w:rPr>
                <w:rFonts w:hint="default" w:ascii="Times New Roman" w:hAnsi="Times New Roman" w:cs="Times New Roman"/>
                <w:color w:val="auto"/>
                <w:lang w:val="en-US" w:eastAsia="zh-CN"/>
              </w:rPr>
              <w:t>1</w:t>
            </w:r>
            <w:r>
              <w:rPr>
                <w:rFonts w:hint="eastAsia" w:cs="Times New Roman"/>
                <w:color w:val="auto"/>
                <w:lang w:val="en-US" w:eastAsia="zh-CN"/>
              </w:rPr>
              <w:t>7</w:t>
            </w:r>
            <w:r>
              <w:rPr>
                <w:rFonts w:hint="default" w:ascii="Times New Roman" w:hAnsi="Times New Roman" w:cs="Times New Roman"/>
                <w:color w:val="auto"/>
              </w:rPr>
              <w:t>日在线监测数据，</w:t>
            </w:r>
            <w:r>
              <w:rPr>
                <w:rFonts w:hint="default" w:ascii="Times New Roman" w:hAnsi="Times New Roman" w:cs="Times New Roman"/>
                <w:color w:val="auto"/>
                <w:lang w:eastAsia="zh-CN"/>
              </w:rPr>
              <w:t>德清鸿晟水务科技有限公司</w:t>
            </w:r>
            <w:r>
              <w:rPr>
                <w:rFonts w:hint="default" w:ascii="Times New Roman" w:hAnsi="Times New Roman" w:cs="Times New Roman"/>
                <w:color w:val="auto"/>
              </w:rPr>
              <w:t>出口各项指标均能达到</w:t>
            </w:r>
            <w:r>
              <w:rPr>
                <w:rFonts w:hint="default" w:ascii="Times New Roman" w:hAnsi="Times New Roman" w:cs="Times New Roman"/>
                <w:color w:val="auto"/>
                <w:szCs w:val="24"/>
              </w:rPr>
              <w:t>《城镇污水处理厂主要水污染物排放标准》（DB33/2169-2018）中表1标准及</w:t>
            </w:r>
            <w:r>
              <w:rPr>
                <w:rFonts w:hint="default" w:ascii="Times New Roman" w:hAnsi="Times New Roman" w:cs="Times New Roman"/>
                <w:color w:val="auto"/>
              </w:rPr>
              <w:t>《城镇污水处理厂污染物排放标准》（GB18918-2002）中的一级标准A标准。具体见下表。</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default" w:ascii="Times New Roman" w:hAnsi="Times New Roman" w:cs="Times New Roman"/>
                <w:b/>
                <w:color w:val="auto"/>
                <w:lang w:val="en-US" w:eastAsia="zh-CN"/>
              </w:rPr>
              <w:t>1</w:t>
            </w:r>
            <w:r>
              <w:rPr>
                <w:rFonts w:hint="eastAsia" w:cs="Times New Roman"/>
                <w:b/>
                <w:color w:val="auto"/>
                <w:lang w:val="en-US" w:eastAsia="zh-CN"/>
              </w:rPr>
              <w:t>2</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lang w:eastAsia="zh-CN"/>
              </w:rPr>
              <w:t>德清鸿晟水务科技有限公司</w:t>
            </w:r>
            <w:r>
              <w:rPr>
                <w:rFonts w:hint="default" w:ascii="Times New Roman" w:hAnsi="Times New Roman" w:cs="Times New Roman"/>
                <w:b/>
                <w:color w:val="auto"/>
              </w:rPr>
              <w:t>出水水质情况</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5"/>
              <w:gridCol w:w="1216"/>
              <w:gridCol w:w="1233"/>
              <w:gridCol w:w="1283"/>
              <w:gridCol w:w="1165"/>
              <w:gridCol w:w="1165"/>
              <w:gridCol w:w="1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1216"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监测时间</w:t>
                  </w:r>
                </w:p>
              </w:tc>
              <w:tc>
                <w:tcPr>
                  <w:tcW w:w="1233"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pH</w:t>
                  </w:r>
                </w:p>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（无量纲）</w:t>
                  </w:r>
                </w:p>
              </w:tc>
              <w:tc>
                <w:tcPr>
                  <w:tcW w:w="1283"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化学需氧量（mg/L）</w:t>
                  </w:r>
                </w:p>
              </w:tc>
              <w:tc>
                <w:tcPr>
                  <w:tcW w:w="1165"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氨氮（mg/L）</w:t>
                  </w:r>
                </w:p>
              </w:tc>
              <w:tc>
                <w:tcPr>
                  <w:tcW w:w="1165"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总磷（mg/L）</w:t>
                  </w:r>
                </w:p>
              </w:tc>
              <w:tc>
                <w:tcPr>
                  <w:tcW w:w="1166"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总氮（mg/L）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1216" w:type="dxa"/>
                  <w:vAlign w:val="center"/>
                </w:tcPr>
                <w:p>
                  <w:pPr>
                    <w:adjustRightInd w:val="0"/>
                    <w:snapToGrid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r>
                    <w:rPr>
                      <w:rFonts w:hint="eastAsia" w:cs="Times New Roman"/>
                      <w:color w:val="auto"/>
                      <w:sz w:val="21"/>
                      <w:szCs w:val="21"/>
                      <w:lang w:val="en-US" w:eastAsia="zh-CN"/>
                    </w:rPr>
                    <w:t>5</w:t>
                  </w:r>
                  <w:r>
                    <w:rPr>
                      <w:rFonts w:hint="default" w:ascii="Times New Roman" w:hAnsi="Times New Roman" w:cs="Times New Roman"/>
                      <w:color w:val="auto"/>
                      <w:sz w:val="21"/>
                      <w:szCs w:val="21"/>
                    </w:rPr>
                    <w:t>-</w:t>
                  </w:r>
                  <w:r>
                    <w:rPr>
                      <w:rFonts w:hint="eastAsia" w:cs="Times New Roman"/>
                      <w:color w:val="auto"/>
                      <w:sz w:val="21"/>
                      <w:szCs w:val="21"/>
                      <w:lang w:val="en-US" w:eastAsia="zh-CN"/>
                    </w:rPr>
                    <w:t>11</w:t>
                  </w:r>
                </w:p>
              </w:tc>
              <w:tc>
                <w:tcPr>
                  <w:tcW w:w="1233"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8.08</w:t>
                  </w:r>
                </w:p>
              </w:tc>
              <w:tc>
                <w:tcPr>
                  <w:tcW w:w="1283"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22.37</w:t>
                  </w:r>
                </w:p>
              </w:tc>
              <w:tc>
                <w:tcPr>
                  <w:tcW w:w="1165"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0.01</w:t>
                  </w:r>
                </w:p>
              </w:tc>
              <w:tc>
                <w:tcPr>
                  <w:tcW w:w="1165"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0.0533</w:t>
                  </w:r>
                </w:p>
              </w:tc>
              <w:tc>
                <w:tcPr>
                  <w:tcW w:w="1166" w:type="dxa"/>
                  <w:vAlign w:val="center"/>
                </w:tcPr>
                <w:p>
                  <w:pPr>
                    <w:widowControl/>
                    <w:jc w:val="center"/>
                    <w:rPr>
                      <w:rFonts w:hint="default"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w:t>
                  </w:r>
                </w:p>
              </w:tc>
              <w:tc>
                <w:tcPr>
                  <w:tcW w:w="1216" w:type="dxa"/>
                  <w:vAlign w:val="center"/>
                </w:tcPr>
                <w:p>
                  <w:pPr>
                    <w:adjustRightInd w:val="0"/>
                    <w:snapToGrid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r>
                    <w:rPr>
                      <w:rFonts w:hint="eastAsia" w:cs="Times New Roman"/>
                      <w:color w:val="auto"/>
                      <w:sz w:val="21"/>
                      <w:szCs w:val="21"/>
                      <w:lang w:val="en-US" w:eastAsia="zh-CN"/>
                    </w:rPr>
                    <w:t>5</w:t>
                  </w:r>
                  <w:r>
                    <w:rPr>
                      <w:rFonts w:hint="default" w:ascii="Times New Roman" w:hAnsi="Times New Roman" w:cs="Times New Roman"/>
                      <w:color w:val="auto"/>
                      <w:sz w:val="21"/>
                      <w:szCs w:val="21"/>
                    </w:rPr>
                    <w:t>-</w:t>
                  </w:r>
                  <w:r>
                    <w:rPr>
                      <w:rFonts w:hint="eastAsia" w:cs="Times New Roman"/>
                      <w:color w:val="auto"/>
                      <w:sz w:val="21"/>
                      <w:szCs w:val="21"/>
                      <w:lang w:val="en-US" w:eastAsia="zh-CN"/>
                    </w:rPr>
                    <w:t>12</w:t>
                  </w:r>
                </w:p>
              </w:tc>
              <w:tc>
                <w:tcPr>
                  <w:tcW w:w="123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7.94</w:t>
                  </w:r>
                </w:p>
              </w:tc>
              <w:tc>
                <w:tcPr>
                  <w:tcW w:w="128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22.91</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0.01</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0.0542</w:t>
                  </w:r>
                </w:p>
              </w:tc>
              <w:tc>
                <w:tcPr>
                  <w:tcW w:w="1166"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p>
              </w:tc>
              <w:tc>
                <w:tcPr>
                  <w:tcW w:w="1216" w:type="dxa"/>
                  <w:vAlign w:val="center"/>
                </w:tcPr>
                <w:p>
                  <w:pPr>
                    <w:adjustRightInd w:val="0"/>
                    <w:snapToGrid w:val="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r>
                    <w:rPr>
                      <w:rFonts w:hint="eastAsia" w:cs="Times New Roman"/>
                      <w:color w:val="auto"/>
                      <w:sz w:val="21"/>
                      <w:szCs w:val="21"/>
                      <w:lang w:val="en-US" w:eastAsia="zh-CN"/>
                    </w:rPr>
                    <w:t>5</w:t>
                  </w:r>
                  <w:r>
                    <w:rPr>
                      <w:rFonts w:hint="default" w:ascii="Times New Roman" w:hAnsi="Times New Roman" w:cs="Times New Roman"/>
                      <w:color w:val="auto"/>
                      <w:sz w:val="21"/>
                      <w:szCs w:val="21"/>
                    </w:rPr>
                    <w:t>-</w:t>
                  </w:r>
                  <w:r>
                    <w:rPr>
                      <w:rFonts w:hint="eastAsia" w:cs="Times New Roman"/>
                      <w:color w:val="auto"/>
                      <w:sz w:val="21"/>
                      <w:szCs w:val="21"/>
                      <w:lang w:val="en-US" w:eastAsia="zh-CN"/>
                    </w:rPr>
                    <w:t>13</w:t>
                  </w:r>
                </w:p>
              </w:tc>
              <w:tc>
                <w:tcPr>
                  <w:tcW w:w="123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7.79</w:t>
                  </w:r>
                </w:p>
              </w:tc>
              <w:tc>
                <w:tcPr>
                  <w:tcW w:w="128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21.53</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0.01</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0.0509</w:t>
                  </w:r>
                </w:p>
              </w:tc>
              <w:tc>
                <w:tcPr>
                  <w:tcW w:w="1166"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5.914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w:t>
                  </w:r>
                </w:p>
              </w:tc>
              <w:tc>
                <w:tcPr>
                  <w:tcW w:w="1216" w:type="dxa"/>
                  <w:vAlign w:val="center"/>
                </w:tcPr>
                <w:p>
                  <w:pPr>
                    <w:adjustRightInd w:val="0"/>
                    <w:snapToGrid w:val="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r>
                    <w:rPr>
                      <w:rFonts w:hint="eastAsia" w:cs="Times New Roman"/>
                      <w:color w:val="auto"/>
                      <w:sz w:val="21"/>
                      <w:szCs w:val="21"/>
                      <w:lang w:val="en-US" w:eastAsia="zh-CN"/>
                    </w:rPr>
                    <w:t>5</w:t>
                  </w:r>
                  <w:r>
                    <w:rPr>
                      <w:rFonts w:hint="default" w:ascii="Times New Roman" w:hAnsi="Times New Roman" w:cs="Times New Roman"/>
                      <w:color w:val="auto"/>
                      <w:sz w:val="21"/>
                      <w:szCs w:val="21"/>
                    </w:rPr>
                    <w:t>-</w:t>
                  </w: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4</w:t>
                  </w:r>
                </w:p>
              </w:tc>
              <w:tc>
                <w:tcPr>
                  <w:tcW w:w="123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7.87</w:t>
                  </w:r>
                </w:p>
              </w:tc>
              <w:tc>
                <w:tcPr>
                  <w:tcW w:w="128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25.97</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0.2462</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0.1268</w:t>
                  </w:r>
                </w:p>
              </w:tc>
              <w:tc>
                <w:tcPr>
                  <w:tcW w:w="1166"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6.343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5</w:t>
                  </w:r>
                </w:p>
              </w:tc>
              <w:tc>
                <w:tcPr>
                  <w:tcW w:w="1216" w:type="dxa"/>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r>
                    <w:rPr>
                      <w:rFonts w:hint="eastAsia" w:cs="Times New Roman"/>
                      <w:color w:val="auto"/>
                      <w:sz w:val="21"/>
                      <w:szCs w:val="21"/>
                      <w:lang w:val="en-US" w:eastAsia="zh-CN"/>
                    </w:rPr>
                    <w:t>5</w:t>
                  </w:r>
                  <w:r>
                    <w:rPr>
                      <w:rFonts w:hint="default" w:ascii="Times New Roman" w:hAnsi="Times New Roman" w:cs="Times New Roman"/>
                      <w:color w:val="auto"/>
                      <w:sz w:val="21"/>
                      <w:szCs w:val="21"/>
                    </w:rPr>
                    <w:t>-</w:t>
                  </w: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5</w:t>
                  </w:r>
                </w:p>
              </w:tc>
              <w:tc>
                <w:tcPr>
                  <w:tcW w:w="123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7.97</w:t>
                  </w:r>
                </w:p>
              </w:tc>
              <w:tc>
                <w:tcPr>
                  <w:tcW w:w="128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22.81</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0.01</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0.0579</w:t>
                  </w:r>
                </w:p>
              </w:tc>
              <w:tc>
                <w:tcPr>
                  <w:tcW w:w="1166"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3.892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6</w:t>
                  </w:r>
                </w:p>
              </w:tc>
              <w:tc>
                <w:tcPr>
                  <w:tcW w:w="1216" w:type="dxa"/>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r>
                    <w:rPr>
                      <w:rFonts w:hint="eastAsia" w:cs="Times New Roman"/>
                      <w:color w:val="auto"/>
                      <w:sz w:val="21"/>
                      <w:szCs w:val="21"/>
                      <w:lang w:val="en-US" w:eastAsia="zh-CN"/>
                    </w:rPr>
                    <w:t>5</w:t>
                  </w:r>
                  <w:r>
                    <w:rPr>
                      <w:rFonts w:hint="default" w:ascii="Times New Roman" w:hAnsi="Times New Roman" w:cs="Times New Roman"/>
                      <w:color w:val="auto"/>
                      <w:sz w:val="21"/>
                      <w:szCs w:val="21"/>
                    </w:rPr>
                    <w:t>-</w:t>
                  </w: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6</w:t>
                  </w:r>
                </w:p>
              </w:tc>
              <w:tc>
                <w:tcPr>
                  <w:tcW w:w="123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8.03</w:t>
                  </w:r>
                </w:p>
              </w:tc>
              <w:tc>
                <w:tcPr>
                  <w:tcW w:w="128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25.82</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0.01</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0.0553</w:t>
                  </w:r>
                </w:p>
              </w:tc>
              <w:tc>
                <w:tcPr>
                  <w:tcW w:w="1166"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4.02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2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7</w:t>
                  </w:r>
                </w:p>
              </w:tc>
              <w:tc>
                <w:tcPr>
                  <w:tcW w:w="1216" w:type="dxa"/>
                  <w:vAlign w:val="center"/>
                </w:tcPr>
                <w:p>
                  <w:pPr>
                    <w:adjustRightInd w:val="0"/>
                    <w:snapToGrid w:val="0"/>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rPr>
                    <w:t>202</w:t>
                  </w:r>
                  <w:r>
                    <w:rPr>
                      <w:rFonts w:hint="default" w:ascii="Times New Roman" w:hAnsi="Times New Roman" w:cs="Times New Roman"/>
                      <w:color w:val="auto"/>
                      <w:sz w:val="21"/>
                      <w:szCs w:val="21"/>
                      <w:lang w:val="en-US" w:eastAsia="zh-CN"/>
                    </w:rPr>
                    <w:t>4</w:t>
                  </w:r>
                  <w:r>
                    <w:rPr>
                      <w:rFonts w:hint="default" w:ascii="Times New Roman" w:hAnsi="Times New Roman" w:cs="Times New Roman"/>
                      <w:color w:val="auto"/>
                      <w:sz w:val="21"/>
                      <w:szCs w:val="21"/>
                    </w:rPr>
                    <w:t>-</w:t>
                  </w:r>
                  <w:r>
                    <w:rPr>
                      <w:rFonts w:hint="eastAsia" w:cs="Times New Roman"/>
                      <w:color w:val="auto"/>
                      <w:sz w:val="21"/>
                      <w:szCs w:val="21"/>
                      <w:lang w:val="en-US" w:eastAsia="zh-CN"/>
                    </w:rPr>
                    <w:t>5</w:t>
                  </w:r>
                  <w:r>
                    <w:rPr>
                      <w:rFonts w:hint="default" w:ascii="Times New Roman" w:hAnsi="Times New Roman" w:cs="Times New Roman"/>
                      <w:color w:val="auto"/>
                      <w:sz w:val="21"/>
                      <w:szCs w:val="21"/>
                    </w:rPr>
                    <w:t>-</w:t>
                  </w:r>
                  <w:r>
                    <w:rPr>
                      <w:rFonts w:hint="default" w:ascii="Times New Roman" w:hAnsi="Times New Roman" w:cs="Times New Roman"/>
                      <w:color w:val="auto"/>
                      <w:sz w:val="21"/>
                      <w:szCs w:val="21"/>
                      <w:lang w:val="en-US" w:eastAsia="zh-CN"/>
                    </w:rPr>
                    <w:t>1</w:t>
                  </w:r>
                  <w:r>
                    <w:rPr>
                      <w:rFonts w:hint="eastAsia" w:cs="Times New Roman"/>
                      <w:color w:val="auto"/>
                      <w:sz w:val="21"/>
                      <w:szCs w:val="21"/>
                      <w:lang w:val="en-US" w:eastAsia="zh-CN"/>
                    </w:rPr>
                    <w:t>7</w:t>
                  </w:r>
                </w:p>
              </w:tc>
              <w:tc>
                <w:tcPr>
                  <w:tcW w:w="123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8.03</w:t>
                  </w:r>
                </w:p>
              </w:tc>
              <w:tc>
                <w:tcPr>
                  <w:tcW w:w="1283"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32.25</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0.01</w:t>
                  </w:r>
                </w:p>
              </w:tc>
              <w:tc>
                <w:tcPr>
                  <w:tcW w:w="1165"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0.0554</w:t>
                  </w:r>
                </w:p>
              </w:tc>
              <w:tc>
                <w:tcPr>
                  <w:tcW w:w="1166" w:type="dxa"/>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eastAsia="宋体" w:cs="Times New Roman"/>
                      <w:color w:val="auto"/>
                      <w:kern w:val="0"/>
                      <w:sz w:val="21"/>
                      <w:szCs w:val="21"/>
                      <w:lang w:val="en-US" w:eastAsia="zh-CN"/>
                    </w:rPr>
                    <w:t>4.826</w:t>
                  </w:r>
                </w:p>
              </w:tc>
            </w:tr>
          </w:tbl>
          <w:p>
            <w:pPr>
              <w:pStyle w:val="14"/>
              <w:keepNext w:val="0"/>
              <w:keepLines w:val="0"/>
              <w:pageBreakBefore w:val="0"/>
              <w:widowControl/>
              <w:kinsoku/>
              <w:wordWrap/>
              <w:overflowPunct/>
              <w:topLinePunct w:val="0"/>
              <w:autoSpaceDE/>
              <w:autoSpaceDN/>
              <w:bidi w:val="0"/>
              <w:adjustRightInd/>
              <w:snapToGrid w:val="0"/>
              <w:spacing w:line="20" w:lineRule="exact"/>
              <w:ind w:right="113"/>
              <w:textAlignment w:val="auto"/>
              <w:rPr>
                <w:rFonts w:hint="default" w:ascii="Times New Roman" w:hAnsi="Times New Roman" w:cs="Times New Roman"/>
                <w:color w:val="auto"/>
              </w:rPr>
            </w:pPr>
          </w:p>
          <w:p>
            <w:pPr>
              <w:keepNext w:val="0"/>
              <w:keepLines w:val="0"/>
              <w:pageBreakBefore w:val="0"/>
              <w:widowControl w:val="0"/>
              <w:tabs>
                <w:tab w:val="left" w:pos="4288"/>
              </w:tabs>
              <w:kinsoku/>
              <w:wordWrap/>
              <w:overflowPunct/>
              <w:topLinePunct w:val="0"/>
              <w:autoSpaceDE/>
              <w:autoSpaceDN/>
              <w:bidi w:val="0"/>
              <w:adjustRightInd/>
              <w:snapToGrid/>
              <w:spacing w:line="20" w:lineRule="exact"/>
              <w:textAlignment w:val="auto"/>
              <w:outlineLvl w:val="2"/>
              <w:rPr>
                <w:rFonts w:hint="default" w:ascii="Times New Roman" w:hAnsi="Times New Roman" w:cs="Times New Roman"/>
                <w:color w:val="auto"/>
                <w:szCs w:val="24"/>
              </w:rPr>
            </w:pP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w:t>
            </w:r>
            <w:r>
              <w:rPr>
                <w:rFonts w:hint="default" w:ascii="Times New Roman" w:hAnsi="Times New Roman" w:cs="Times New Roman"/>
                <w:color w:val="auto"/>
                <w:szCs w:val="24"/>
                <w:lang w:val="en-US" w:eastAsia="zh-CN"/>
              </w:rPr>
              <w:t>3</w:t>
            </w:r>
            <w:r>
              <w:rPr>
                <w:rFonts w:hint="default" w:ascii="Times New Roman" w:hAnsi="Times New Roman" w:cs="Times New Roman"/>
                <w:color w:val="auto"/>
                <w:szCs w:val="24"/>
              </w:rPr>
              <w:t>）废水监测要求</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rPr>
              <w:t>本项目实施后，根据HJ819-2017《排污单位自行监测技术指南总则》要求</w:t>
            </w:r>
            <w:r>
              <w:rPr>
                <w:rFonts w:hint="default" w:ascii="Times New Roman" w:hAnsi="Times New Roman" w:cs="Times New Roman"/>
                <w:color w:val="auto"/>
                <w:szCs w:val="24"/>
              </w:rPr>
              <w:t>，生活污水间接排放，无需进行自行监测。</w:t>
            </w:r>
          </w:p>
          <w:p>
            <w:pPr>
              <w:keepNext w:val="0"/>
              <w:keepLines w:val="0"/>
              <w:pageBreakBefore w:val="0"/>
              <w:widowControl w:val="0"/>
              <w:tabs>
                <w:tab w:val="left" w:pos="4288"/>
              </w:tabs>
              <w:kinsoku/>
              <w:wordWrap/>
              <w:overflowPunct/>
              <w:topLinePunct w:val="0"/>
              <w:autoSpaceDE/>
              <w:autoSpaceDN/>
              <w:bidi w:val="0"/>
              <w:adjustRightInd/>
              <w:snapToGrid/>
              <w:spacing w:line="240" w:lineRule="exact"/>
              <w:ind w:firstLine="480" w:firstLineChars="200"/>
              <w:textAlignment w:val="auto"/>
              <w:outlineLvl w:val="2"/>
              <w:rPr>
                <w:rFonts w:hint="default" w:ascii="Times New Roman" w:hAnsi="Times New Roman" w:eastAsia="宋体" w:cs="Times New Roman"/>
                <w:color w:val="auto"/>
              </w:rPr>
            </w:pPr>
          </w:p>
          <w:p>
            <w:pPr>
              <w:tabs>
                <w:tab w:val="left" w:pos="4288"/>
              </w:tabs>
              <w:spacing w:line="360" w:lineRule="auto"/>
              <w:ind w:firstLine="480" w:firstLineChars="200"/>
              <w:outlineLvl w:val="2"/>
              <w:rPr>
                <w:rFonts w:hint="default" w:ascii="Times New Roman" w:hAnsi="Times New Roman" w:eastAsia="宋体" w:cs="Times New Roman"/>
                <w:color w:val="auto"/>
              </w:rPr>
            </w:pPr>
            <w:r>
              <w:rPr>
                <w:rFonts w:hint="default" w:ascii="Times New Roman" w:hAnsi="Times New Roman" w:eastAsia="宋体" w:cs="Times New Roman"/>
                <w:color w:val="auto"/>
              </w:rPr>
              <w:t>（</w:t>
            </w:r>
            <w:r>
              <w:rPr>
                <w:rFonts w:hint="default" w:ascii="Times New Roman" w:hAnsi="Times New Roman" w:eastAsia="宋体" w:cs="Times New Roman"/>
                <w:color w:val="auto"/>
                <w:lang w:val="en-US" w:eastAsia="zh-CN"/>
              </w:rPr>
              <w:t>4</w:t>
            </w:r>
            <w:r>
              <w:rPr>
                <w:rFonts w:hint="default" w:ascii="Times New Roman" w:hAnsi="Times New Roman" w:eastAsia="宋体" w:cs="Times New Roman"/>
                <w:color w:val="auto"/>
              </w:rPr>
              <w:t>）废水排放影响分析</w:t>
            </w:r>
          </w:p>
          <w:p>
            <w:pPr>
              <w:tabs>
                <w:tab w:val="left" w:pos="4288"/>
              </w:tabs>
              <w:spacing w:line="360" w:lineRule="auto"/>
              <w:ind w:firstLine="480" w:firstLineChars="200"/>
              <w:outlineLvl w:val="2"/>
              <w:rPr>
                <w:rFonts w:hint="default" w:ascii="Times New Roman" w:hAnsi="Times New Roman" w:eastAsia="宋体" w:cs="Times New Roman"/>
                <w:color w:val="auto"/>
              </w:rPr>
            </w:pPr>
            <w:r>
              <w:rPr>
                <w:rFonts w:hint="default" w:ascii="Times New Roman" w:hAnsi="Times New Roman" w:eastAsia="宋体" w:cs="Times New Roman"/>
                <w:color w:val="auto"/>
                <w:lang w:val="en-US" w:eastAsia="zh-CN"/>
              </w:rPr>
              <w:t>本项目排放废水浓度可满足德清鸿晟水务科技有限公司进水水质要求。污水接入德清鸿晟水务科技有限公司集中处理达到《城镇污水处理厂主要水污染物排放标准》（DB33/2169-2018）中表1标准及《城镇污水处理厂污染物排放标准》（GB18918-2002）中的一级标准A标准，最终排入洋溪港，不会改变区域水环境水质现状，对水环境影响不大。</w:t>
            </w:r>
          </w:p>
          <w:p>
            <w:pPr>
              <w:tabs>
                <w:tab w:val="left" w:pos="4288"/>
              </w:tabs>
              <w:spacing w:line="240" w:lineRule="auto"/>
              <w:outlineLvl w:val="2"/>
              <w:rPr>
                <w:rFonts w:hint="default" w:ascii="Times New Roman" w:hAnsi="Times New Roman" w:cs="Times New Roman"/>
                <w:color w:val="FF0000"/>
                <w:szCs w:val="24"/>
              </w:rPr>
            </w:pPr>
          </w:p>
          <w:p>
            <w:pPr>
              <w:tabs>
                <w:tab w:val="left" w:pos="4288"/>
              </w:tabs>
              <w:spacing w:line="240" w:lineRule="auto"/>
              <w:outlineLvl w:val="2"/>
              <w:rPr>
                <w:rFonts w:hint="default" w:ascii="Times New Roman" w:hAnsi="Times New Roman" w:eastAsia="幼圆" w:cs="Times New Roman"/>
                <w:color w:val="FF0000"/>
              </w:rPr>
            </w:pPr>
          </w:p>
        </w:tc>
      </w:tr>
    </w:tbl>
    <w:p>
      <w:pPr>
        <w:rPr>
          <w:rFonts w:hint="default"/>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tbl>
      <w:tblPr>
        <w:tblStyle w:val="29"/>
        <w:tblW w:w="13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
        <w:gridCol w:w="13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0" w:hRule="atLeast"/>
          <w:jc w:val="center"/>
        </w:trPr>
        <w:tc>
          <w:tcPr>
            <w:tcW w:w="676"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营运期环境影响和保护措施</w:t>
            </w:r>
          </w:p>
        </w:tc>
        <w:tc>
          <w:tcPr>
            <w:tcW w:w="13216" w:type="dxa"/>
          </w:tcPr>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5</w:t>
            </w:r>
            <w:r>
              <w:rPr>
                <w:rFonts w:hint="default" w:ascii="Times New Roman" w:hAnsi="Times New Roman" w:cs="Times New Roman"/>
                <w:color w:val="auto"/>
              </w:rPr>
              <w:t>）废水源强核算结果</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13</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废水污染源强核算结果及相关参数一览表</w:t>
            </w:r>
          </w:p>
          <w:tbl>
            <w:tblPr>
              <w:tblStyle w:val="29"/>
              <w:tblW w:w="13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3"/>
              <w:gridCol w:w="934"/>
              <w:gridCol w:w="984"/>
              <w:gridCol w:w="813"/>
              <w:gridCol w:w="923"/>
              <w:gridCol w:w="1007"/>
              <w:gridCol w:w="988"/>
              <w:gridCol w:w="716"/>
              <w:gridCol w:w="754"/>
              <w:gridCol w:w="580"/>
              <w:gridCol w:w="1055"/>
              <w:gridCol w:w="1008"/>
              <w:gridCol w:w="999"/>
              <w:gridCol w:w="802"/>
              <w:gridCol w:w="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733" w:type="dxa"/>
                  <w:vMerge w:val="restart"/>
                  <w:tcBorders>
                    <w:top w:val="single" w:color="auto" w:sz="4" w:space="0"/>
                    <w:left w:val="single" w:color="auto" w:sz="4" w:space="0"/>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工序/生产线</w:t>
                  </w:r>
                </w:p>
              </w:tc>
              <w:tc>
                <w:tcPr>
                  <w:tcW w:w="934" w:type="dxa"/>
                  <w:vMerge w:val="restart"/>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污染源</w:t>
                  </w:r>
                </w:p>
              </w:tc>
              <w:tc>
                <w:tcPr>
                  <w:tcW w:w="984" w:type="dxa"/>
                  <w:vMerge w:val="restart"/>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污染物</w:t>
                  </w:r>
                </w:p>
              </w:tc>
              <w:tc>
                <w:tcPr>
                  <w:tcW w:w="3731" w:type="dxa"/>
                  <w:gridSpan w:val="4"/>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污染物产生</w:t>
                  </w:r>
                </w:p>
              </w:tc>
              <w:tc>
                <w:tcPr>
                  <w:tcW w:w="1470" w:type="dxa"/>
                  <w:gridSpan w:val="2"/>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治理措施</w:t>
                  </w:r>
                </w:p>
              </w:tc>
              <w:tc>
                <w:tcPr>
                  <w:tcW w:w="3642" w:type="dxa"/>
                  <w:gridSpan w:val="4"/>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污染物纳管</w:t>
                  </w:r>
                </w:p>
              </w:tc>
              <w:tc>
                <w:tcPr>
                  <w:tcW w:w="802" w:type="dxa"/>
                  <w:vMerge w:val="restart"/>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排放时间/h</w:t>
                  </w:r>
                </w:p>
              </w:tc>
              <w:tc>
                <w:tcPr>
                  <w:tcW w:w="743" w:type="dxa"/>
                  <w:vMerge w:val="restart"/>
                  <w:tcBorders>
                    <w:top w:val="single" w:color="auto" w:sz="4" w:space="0"/>
                    <w:left w:val="single" w:color="auto" w:sz="4" w:space="0"/>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排污口编号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7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934" w:type="dxa"/>
                  <w:vMerge w:val="continue"/>
                  <w:tcBorders>
                    <w:top w:val="single" w:color="auto" w:sz="4" w:space="0"/>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984" w:type="dxa"/>
                  <w:vMerge w:val="continue"/>
                  <w:tcBorders>
                    <w:top w:val="single" w:color="auto" w:sz="4" w:space="0"/>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813"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核算</w:t>
                  </w:r>
                </w:p>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方法</w:t>
                  </w:r>
                </w:p>
              </w:tc>
              <w:tc>
                <w:tcPr>
                  <w:tcW w:w="923"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废水产生量/（m</w:t>
                  </w:r>
                  <w:r>
                    <w:rPr>
                      <w:rFonts w:hint="default" w:ascii="Times New Roman" w:hAnsi="Times New Roman" w:cs="Times New Roman"/>
                      <w:color w:val="auto"/>
                      <w:sz w:val="21"/>
                      <w:szCs w:val="21"/>
                      <w:vertAlign w:val="superscript"/>
                    </w:rPr>
                    <w:t>3</w:t>
                  </w:r>
                  <w:r>
                    <w:rPr>
                      <w:rFonts w:hint="default" w:ascii="Times New Roman" w:hAnsi="Times New Roman" w:cs="Times New Roman"/>
                      <w:color w:val="auto"/>
                      <w:sz w:val="21"/>
                      <w:szCs w:val="21"/>
                    </w:rPr>
                    <w:t>/a）</w:t>
                  </w:r>
                </w:p>
              </w:tc>
              <w:tc>
                <w:tcPr>
                  <w:tcW w:w="1007"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产生浓度/（mg/L）</w:t>
                  </w:r>
                </w:p>
              </w:tc>
              <w:tc>
                <w:tcPr>
                  <w:tcW w:w="988"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产生量/（t/a）</w:t>
                  </w:r>
                </w:p>
              </w:tc>
              <w:tc>
                <w:tcPr>
                  <w:tcW w:w="716"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工艺</w:t>
                  </w:r>
                </w:p>
              </w:tc>
              <w:tc>
                <w:tcPr>
                  <w:tcW w:w="754"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效率/%</w:t>
                  </w:r>
                </w:p>
              </w:tc>
              <w:tc>
                <w:tcPr>
                  <w:tcW w:w="580"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核算</w:t>
                  </w:r>
                </w:p>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方法</w:t>
                  </w:r>
                </w:p>
              </w:tc>
              <w:tc>
                <w:tcPr>
                  <w:tcW w:w="1055"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废水纳管量/（m</w:t>
                  </w:r>
                  <w:r>
                    <w:rPr>
                      <w:rFonts w:hint="default" w:ascii="Times New Roman" w:hAnsi="Times New Roman" w:cs="Times New Roman"/>
                      <w:color w:val="auto"/>
                      <w:sz w:val="21"/>
                      <w:szCs w:val="21"/>
                      <w:vertAlign w:val="superscript"/>
                    </w:rPr>
                    <w:t>3</w:t>
                  </w:r>
                  <w:r>
                    <w:rPr>
                      <w:rFonts w:hint="default" w:ascii="Times New Roman" w:hAnsi="Times New Roman" w:cs="Times New Roman"/>
                      <w:color w:val="auto"/>
                      <w:sz w:val="21"/>
                      <w:szCs w:val="21"/>
                    </w:rPr>
                    <w:t>/a）</w:t>
                  </w:r>
                </w:p>
              </w:tc>
              <w:tc>
                <w:tcPr>
                  <w:tcW w:w="1008"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纳管浓度/（mg/L）</w:t>
                  </w:r>
                </w:p>
              </w:tc>
              <w:tc>
                <w:tcPr>
                  <w:tcW w:w="999"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纳管量/（t/a）</w:t>
                  </w:r>
                </w:p>
              </w:tc>
              <w:tc>
                <w:tcPr>
                  <w:tcW w:w="802" w:type="dxa"/>
                  <w:vMerge w:val="continue"/>
                  <w:tcBorders>
                    <w:top w:val="single" w:color="auto" w:sz="4" w:space="0"/>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74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733" w:type="dxa"/>
                  <w:vMerge w:val="restart"/>
                  <w:tcBorders>
                    <w:top w:val="nil"/>
                    <w:left w:val="single" w:color="auto" w:sz="4" w:space="0"/>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日常生活</w:t>
                  </w:r>
                </w:p>
              </w:tc>
              <w:tc>
                <w:tcPr>
                  <w:tcW w:w="934" w:type="dxa"/>
                  <w:vMerge w:val="restart"/>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生活污水</w:t>
                  </w:r>
                </w:p>
              </w:tc>
              <w:tc>
                <w:tcPr>
                  <w:tcW w:w="984"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COD</w:t>
                  </w:r>
                  <w:r>
                    <w:rPr>
                      <w:rFonts w:hint="default" w:ascii="Times New Roman" w:hAnsi="Times New Roman" w:cs="Times New Roman"/>
                      <w:color w:val="auto"/>
                      <w:sz w:val="21"/>
                      <w:szCs w:val="21"/>
                      <w:vertAlign w:val="subscript"/>
                    </w:rPr>
                    <w:t>Cr</w:t>
                  </w:r>
                </w:p>
              </w:tc>
              <w:tc>
                <w:tcPr>
                  <w:tcW w:w="813" w:type="dxa"/>
                  <w:vMerge w:val="restart"/>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产污系数</w:t>
                  </w:r>
                </w:p>
              </w:tc>
              <w:tc>
                <w:tcPr>
                  <w:tcW w:w="923" w:type="dxa"/>
                  <w:vMerge w:val="restart"/>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120</w:t>
                  </w:r>
                </w:p>
              </w:tc>
              <w:tc>
                <w:tcPr>
                  <w:tcW w:w="1007"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lang w:val="en-US" w:eastAsia="zh-CN"/>
                    </w:rPr>
                    <w:t>5</w:t>
                  </w:r>
                  <w:r>
                    <w:rPr>
                      <w:rFonts w:hint="default" w:ascii="Times New Roman" w:hAnsi="Times New Roman" w:cs="Times New Roman"/>
                      <w:color w:val="auto"/>
                      <w:sz w:val="21"/>
                      <w:szCs w:val="21"/>
                    </w:rPr>
                    <w:t>0</w:t>
                  </w:r>
                </w:p>
              </w:tc>
              <w:tc>
                <w:tcPr>
                  <w:tcW w:w="988" w:type="dxa"/>
                  <w:tcBorders>
                    <w:top w:val="single" w:color="auto" w:sz="4" w:space="0"/>
                    <w:left w:val="nil"/>
                    <w:bottom w:val="single" w:color="auto" w:sz="4" w:space="0"/>
                    <w:right w:val="single" w:color="auto" w:sz="4" w:space="0"/>
                  </w:tcBorders>
                  <w:vAlign w:val="center"/>
                </w:tcPr>
                <w:p>
                  <w:pPr>
                    <w:widowControl/>
                    <w:snapToGrid w:val="0"/>
                    <w:jc w:val="center"/>
                    <w:textAlignment w:val="center"/>
                    <w:outlineLvl w:val="1"/>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w:t>
                  </w:r>
                  <w:r>
                    <w:rPr>
                      <w:rFonts w:hint="default" w:ascii="Times New Roman" w:hAnsi="Times New Roman" w:cs="Times New Roman"/>
                      <w:color w:val="auto"/>
                      <w:sz w:val="21"/>
                      <w:szCs w:val="21"/>
                      <w:lang w:val="en-US" w:eastAsia="zh-CN"/>
                    </w:rPr>
                    <w:t>0</w:t>
                  </w:r>
                  <w:r>
                    <w:rPr>
                      <w:rFonts w:hint="eastAsia" w:cs="Times New Roman"/>
                      <w:color w:val="auto"/>
                      <w:sz w:val="21"/>
                      <w:szCs w:val="21"/>
                      <w:lang w:val="en-US" w:eastAsia="zh-CN"/>
                    </w:rPr>
                    <w:t>42</w:t>
                  </w:r>
                </w:p>
              </w:tc>
              <w:tc>
                <w:tcPr>
                  <w:tcW w:w="716" w:type="dxa"/>
                  <w:vMerge w:val="restart"/>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化粪池</w:t>
                  </w:r>
                </w:p>
              </w:tc>
              <w:tc>
                <w:tcPr>
                  <w:tcW w:w="754"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14.3</w:t>
                  </w:r>
                </w:p>
              </w:tc>
              <w:tc>
                <w:tcPr>
                  <w:tcW w:w="580" w:type="dxa"/>
                  <w:vMerge w:val="restart"/>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产污系数</w:t>
                  </w:r>
                </w:p>
              </w:tc>
              <w:tc>
                <w:tcPr>
                  <w:tcW w:w="1055" w:type="dxa"/>
                  <w:vMerge w:val="restart"/>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lang w:val="en-US"/>
                    </w:rPr>
                  </w:pPr>
                  <w:r>
                    <w:rPr>
                      <w:rFonts w:hint="eastAsia" w:cs="Times New Roman"/>
                      <w:color w:val="auto"/>
                      <w:sz w:val="21"/>
                      <w:szCs w:val="21"/>
                      <w:lang w:val="en-US" w:eastAsia="zh-CN"/>
                    </w:rPr>
                    <w:t>120</w:t>
                  </w:r>
                </w:p>
              </w:tc>
              <w:tc>
                <w:tcPr>
                  <w:tcW w:w="1008"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300</w:t>
                  </w:r>
                </w:p>
              </w:tc>
              <w:tc>
                <w:tcPr>
                  <w:tcW w:w="999" w:type="dxa"/>
                  <w:tcBorders>
                    <w:top w:val="single" w:color="auto" w:sz="4" w:space="0"/>
                    <w:left w:val="nil"/>
                    <w:bottom w:val="single" w:color="auto" w:sz="4" w:space="0"/>
                    <w:right w:val="single" w:color="auto" w:sz="4" w:space="0"/>
                  </w:tcBorders>
                  <w:vAlign w:val="center"/>
                </w:tcPr>
                <w:p>
                  <w:pPr>
                    <w:widowControl/>
                    <w:snapToGrid w:val="0"/>
                    <w:jc w:val="center"/>
                    <w:textAlignment w:val="center"/>
                    <w:outlineLvl w:val="1"/>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rPr>
                    <w:t>0.</w:t>
                  </w:r>
                  <w:r>
                    <w:rPr>
                      <w:rFonts w:hint="default" w:ascii="Times New Roman" w:hAnsi="Times New Roman" w:cs="Times New Roman"/>
                      <w:color w:val="auto"/>
                      <w:sz w:val="21"/>
                      <w:szCs w:val="21"/>
                      <w:lang w:val="en-US" w:eastAsia="zh-CN"/>
                    </w:rPr>
                    <w:t>0</w:t>
                  </w:r>
                  <w:r>
                    <w:rPr>
                      <w:rFonts w:hint="eastAsia" w:cs="Times New Roman"/>
                      <w:color w:val="auto"/>
                      <w:sz w:val="21"/>
                      <w:szCs w:val="21"/>
                      <w:lang w:val="en-US" w:eastAsia="zh-CN"/>
                    </w:rPr>
                    <w:t>36</w:t>
                  </w:r>
                </w:p>
              </w:tc>
              <w:tc>
                <w:tcPr>
                  <w:tcW w:w="802" w:type="dxa"/>
                  <w:vMerge w:val="restart"/>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eastAsia" w:cs="Times New Roman"/>
                      <w:color w:val="auto"/>
                      <w:sz w:val="21"/>
                      <w:szCs w:val="21"/>
                      <w:lang w:val="en-US" w:eastAsia="zh-CN"/>
                    </w:rPr>
                    <w:t>240</w:t>
                  </w:r>
                  <w:r>
                    <w:rPr>
                      <w:rFonts w:hint="default" w:ascii="Times New Roman" w:hAnsi="Times New Roman" w:cs="Times New Roman"/>
                      <w:color w:val="auto"/>
                      <w:sz w:val="21"/>
                      <w:szCs w:val="21"/>
                    </w:rPr>
                    <w:t>0</w:t>
                  </w:r>
                </w:p>
              </w:tc>
              <w:tc>
                <w:tcPr>
                  <w:tcW w:w="743" w:type="dxa"/>
                  <w:vMerge w:val="restart"/>
                  <w:tcBorders>
                    <w:top w:val="nil"/>
                    <w:left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DW00</w:t>
                  </w:r>
                  <w:r>
                    <w:rPr>
                      <w:rFonts w:hint="default" w:ascii="Times New Roman" w:hAnsi="Times New Roman" w:cs="Times New Roman"/>
                      <w:color w:val="auto"/>
                      <w:sz w:val="21"/>
                      <w:szCs w:val="21"/>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733" w:type="dxa"/>
                  <w:vMerge w:val="continue"/>
                  <w:tcBorders>
                    <w:top w:val="nil"/>
                    <w:left w:val="single" w:color="auto" w:sz="4" w:space="0"/>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FF0000"/>
                      <w:sz w:val="21"/>
                      <w:szCs w:val="21"/>
                    </w:rPr>
                  </w:pPr>
                </w:p>
              </w:tc>
              <w:tc>
                <w:tcPr>
                  <w:tcW w:w="934" w:type="dxa"/>
                  <w:vMerge w:val="continue"/>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FF0000"/>
                      <w:sz w:val="21"/>
                      <w:szCs w:val="21"/>
                    </w:rPr>
                  </w:pPr>
                </w:p>
              </w:tc>
              <w:tc>
                <w:tcPr>
                  <w:tcW w:w="984"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氨氮</w:t>
                  </w:r>
                </w:p>
              </w:tc>
              <w:tc>
                <w:tcPr>
                  <w:tcW w:w="813" w:type="dxa"/>
                  <w:vMerge w:val="continue"/>
                  <w:tcBorders>
                    <w:top w:val="nil"/>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923" w:type="dxa"/>
                  <w:vMerge w:val="continue"/>
                  <w:tcBorders>
                    <w:top w:val="nil"/>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1007"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lang w:val="en-US" w:eastAsia="zh-CN"/>
                    </w:rPr>
                    <w:t>5</w:t>
                  </w:r>
                </w:p>
              </w:tc>
              <w:tc>
                <w:tcPr>
                  <w:tcW w:w="988" w:type="dxa"/>
                  <w:tcBorders>
                    <w:top w:val="single" w:color="auto" w:sz="4" w:space="0"/>
                    <w:left w:val="nil"/>
                    <w:bottom w:val="single" w:color="auto" w:sz="4" w:space="0"/>
                    <w:right w:val="single" w:color="auto" w:sz="4" w:space="0"/>
                  </w:tcBorders>
                  <w:vAlign w:val="center"/>
                </w:tcPr>
                <w:p>
                  <w:pPr>
                    <w:widowControl/>
                    <w:snapToGrid w:val="0"/>
                    <w:jc w:val="center"/>
                    <w:textAlignment w:val="center"/>
                    <w:outlineLvl w:val="1"/>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0.0</w:t>
                  </w:r>
                  <w:r>
                    <w:rPr>
                      <w:rFonts w:hint="default" w:ascii="Times New Roman" w:hAnsi="Times New Roman" w:cs="Times New Roman"/>
                      <w:color w:val="auto"/>
                      <w:sz w:val="21"/>
                      <w:szCs w:val="21"/>
                      <w:lang w:val="en-US" w:eastAsia="zh-CN"/>
                    </w:rPr>
                    <w:t>0</w:t>
                  </w:r>
                  <w:r>
                    <w:rPr>
                      <w:rFonts w:hint="eastAsia" w:cs="Times New Roman"/>
                      <w:color w:val="auto"/>
                      <w:sz w:val="21"/>
                      <w:szCs w:val="21"/>
                      <w:lang w:val="en-US" w:eastAsia="zh-CN"/>
                    </w:rPr>
                    <w:t>42</w:t>
                  </w:r>
                </w:p>
              </w:tc>
              <w:tc>
                <w:tcPr>
                  <w:tcW w:w="716" w:type="dxa"/>
                  <w:vMerge w:val="continue"/>
                  <w:tcBorders>
                    <w:top w:val="nil"/>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p>
              </w:tc>
              <w:tc>
                <w:tcPr>
                  <w:tcW w:w="754"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14.3</w:t>
                  </w:r>
                </w:p>
              </w:tc>
              <w:tc>
                <w:tcPr>
                  <w:tcW w:w="580" w:type="dxa"/>
                  <w:vMerge w:val="continue"/>
                  <w:tcBorders>
                    <w:top w:val="nil"/>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1055" w:type="dxa"/>
                  <w:vMerge w:val="continue"/>
                  <w:tcBorders>
                    <w:top w:val="nil"/>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auto"/>
                      <w:sz w:val="21"/>
                      <w:szCs w:val="21"/>
                    </w:rPr>
                  </w:pPr>
                </w:p>
              </w:tc>
              <w:tc>
                <w:tcPr>
                  <w:tcW w:w="1008" w:type="dxa"/>
                  <w:tcBorders>
                    <w:top w:val="single" w:color="auto" w:sz="4" w:space="0"/>
                    <w:left w:val="nil"/>
                    <w:bottom w:val="single" w:color="auto" w:sz="4" w:space="0"/>
                    <w:right w:val="single" w:color="auto" w:sz="4" w:space="0"/>
                  </w:tcBorders>
                  <w:vAlign w:val="center"/>
                </w:tcPr>
                <w:p>
                  <w:pPr>
                    <w:snapToGrid w:val="0"/>
                    <w:ind w:left="-120" w:leftChars="-50" w:right="-120" w:rightChars="-50"/>
                    <w:jc w:val="center"/>
                    <w:outlineLvl w:val="1"/>
                    <w:rPr>
                      <w:rFonts w:hint="default" w:ascii="Times New Roman" w:hAnsi="Times New Roman" w:cs="Times New Roman"/>
                      <w:color w:val="auto"/>
                      <w:sz w:val="21"/>
                      <w:szCs w:val="21"/>
                    </w:rPr>
                  </w:pP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lang w:val="en-US" w:eastAsia="zh-CN"/>
                    </w:rPr>
                    <w:t>0</w:t>
                  </w:r>
                </w:p>
              </w:tc>
              <w:tc>
                <w:tcPr>
                  <w:tcW w:w="999" w:type="dxa"/>
                  <w:tcBorders>
                    <w:top w:val="single" w:color="auto" w:sz="4" w:space="0"/>
                    <w:left w:val="nil"/>
                    <w:bottom w:val="single" w:color="auto" w:sz="4" w:space="0"/>
                    <w:right w:val="single" w:color="auto" w:sz="4" w:space="0"/>
                  </w:tcBorders>
                  <w:vAlign w:val="center"/>
                </w:tcPr>
                <w:p>
                  <w:pPr>
                    <w:widowControl/>
                    <w:snapToGrid w:val="0"/>
                    <w:jc w:val="center"/>
                    <w:textAlignment w:val="center"/>
                    <w:outlineLvl w:val="1"/>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rPr>
                    <w:t>0.0</w:t>
                  </w:r>
                  <w:r>
                    <w:rPr>
                      <w:rFonts w:hint="default" w:ascii="Times New Roman" w:hAnsi="Times New Roman" w:cs="Times New Roman"/>
                      <w:color w:val="auto"/>
                      <w:sz w:val="21"/>
                      <w:szCs w:val="21"/>
                      <w:lang w:val="en-US" w:eastAsia="zh-CN"/>
                    </w:rPr>
                    <w:t>0</w:t>
                  </w:r>
                  <w:r>
                    <w:rPr>
                      <w:rFonts w:hint="eastAsia" w:cs="Times New Roman"/>
                      <w:color w:val="auto"/>
                      <w:sz w:val="21"/>
                      <w:szCs w:val="21"/>
                      <w:lang w:val="en-US" w:eastAsia="zh-CN"/>
                    </w:rPr>
                    <w:t>36</w:t>
                  </w:r>
                </w:p>
              </w:tc>
              <w:tc>
                <w:tcPr>
                  <w:tcW w:w="802" w:type="dxa"/>
                  <w:vMerge w:val="continue"/>
                  <w:tcBorders>
                    <w:top w:val="nil"/>
                    <w:left w:val="nil"/>
                    <w:bottom w:val="single" w:color="auto" w:sz="4" w:space="0"/>
                    <w:right w:val="single" w:color="auto" w:sz="4" w:space="0"/>
                  </w:tcBorders>
                  <w:vAlign w:val="center"/>
                </w:tcPr>
                <w:p>
                  <w:pPr>
                    <w:widowControl/>
                    <w:jc w:val="left"/>
                    <w:outlineLvl w:val="1"/>
                    <w:rPr>
                      <w:rFonts w:hint="default" w:ascii="Times New Roman" w:hAnsi="Times New Roman" w:cs="Times New Roman"/>
                      <w:color w:val="FF0000"/>
                      <w:sz w:val="21"/>
                      <w:szCs w:val="21"/>
                    </w:rPr>
                  </w:pPr>
                </w:p>
              </w:tc>
              <w:tc>
                <w:tcPr>
                  <w:tcW w:w="743" w:type="dxa"/>
                  <w:vMerge w:val="continue"/>
                  <w:tcBorders>
                    <w:left w:val="single" w:color="auto" w:sz="4" w:space="0"/>
                    <w:right w:val="single" w:color="auto" w:sz="4" w:space="0"/>
                  </w:tcBorders>
                  <w:vAlign w:val="center"/>
                </w:tcPr>
                <w:p>
                  <w:pPr>
                    <w:widowControl/>
                    <w:jc w:val="left"/>
                    <w:outlineLvl w:val="1"/>
                    <w:rPr>
                      <w:rFonts w:hint="default" w:ascii="Times New Roman" w:hAnsi="Times New Roman" w:cs="Times New Roman"/>
                      <w:color w:val="FF0000"/>
                      <w:sz w:val="21"/>
                      <w:szCs w:val="21"/>
                    </w:rPr>
                  </w:pPr>
                </w:p>
              </w:tc>
            </w:tr>
          </w:tbl>
          <w:p>
            <w:pPr>
              <w:spacing w:line="240" w:lineRule="auto"/>
              <w:ind w:firstLine="480" w:firstLineChars="200"/>
              <w:rPr>
                <w:rFonts w:hint="default" w:ascii="Times New Roman" w:hAnsi="Times New Roman" w:cs="Times New Roman"/>
                <w:color w:val="FF0000"/>
              </w:rPr>
            </w:pP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6</w:t>
            </w:r>
            <w:r>
              <w:rPr>
                <w:rFonts w:hint="default" w:ascii="Times New Roman" w:hAnsi="Times New Roman" w:cs="Times New Roman"/>
                <w:color w:val="auto"/>
              </w:rPr>
              <w:t>）排放口基本情况</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污水排放口见表4-</w:t>
            </w:r>
            <w:r>
              <w:rPr>
                <w:rFonts w:hint="eastAsia" w:cs="Times New Roman"/>
                <w:color w:val="auto"/>
                <w:lang w:val="en-US" w:eastAsia="zh-CN"/>
              </w:rPr>
              <w:t>14</w:t>
            </w:r>
            <w:r>
              <w:rPr>
                <w:rFonts w:hint="default" w:ascii="Times New Roman" w:hAnsi="Times New Roman" w:cs="Times New Roman"/>
                <w:color w:val="auto"/>
              </w:rPr>
              <w:t>。</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14</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废水排放口基本情况</w:t>
            </w:r>
          </w:p>
          <w:tbl>
            <w:tblPr>
              <w:tblStyle w:val="29"/>
              <w:tblW w:w="13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1400"/>
              <w:gridCol w:w="1373"/>
              <w:gridCol w:w="1217"/>
              <w:gridCol w:w="692"/>
              <w:gridCol w:w="692"/>
              <w:gridCol w:w="1225"/>
              <w:gridCol w:w="1592"/>
              <w:gridCol w:w="1503"/>
              <w:gridCol w:w="2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013" w:type="dxa"/>
                  <w:vMerge w:val="restart"/>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排放口编号</w:t>
                  </w:r>
                </w:p>
              </w:tc>
              <w:tc>
                <w:tcPr>
                  <w:tcW w:w="2773" w:type="dxa"/>
                  <w:gridSpan w:val="2"/>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排放口地理坐标（a）</w:t>
                  </w:r>
                </w:p>
              </w:tc>
              <w:tc>
                <w:tcPr>
                  <w:tcW w:w="1217" w:type="dxa"/>
                  <w:vMerge w:val="restart"/>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废水排放量/</w:t>
                  </w:r>
                </w:p>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（万t/a）</w:t>
                  </w:r>
                </w:p>
              </w:tc>
              <w:tc>
                <w:tcPr>
                  <w:tcW w:w="692" w:type="dxa"/>
                  <w:vMerge w:val="restart"/>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排放</w:t>
                  </w:r>
                </w:p>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去向</w:t>
                  </w:r>
                </w:p>
              </w:tc>
              <w:tc>
                <w:tcPr>
                  <w:tcW w:w="692" w:type="dxa"/>
                  <w:vMerge w:val="restart"/>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排放</w:t>
                  </w:r>
                </w:p>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规律</w:t>
                  </w:r>
                </w:p>
              </w:tc>
              <w:tc>
                <w:tcPr>
                  <w:tcW w:w="1225" w:type="dxa"/>
                  <w:vMerge w:val="restart"/>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间歇排放</w:t>
                  </w:r>
                </w:p>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时段</w:t>
                  </w:r>
                </w:p>
              </w:tc>
              <w:tc>
                <w:tcPr>
                  <w:tcW w:w="5427" w:type="dxa"/>
                  <w:gridSpan w:val="3"/>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受纳污水处理厂信息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013"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40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经度</w:t>
                  </w:r>
                </w:p>
              </w:tc>
              <w:tc>
                <w:tcPr>
                  <w:tcW w:w="137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纬度</w:t>
                  </w:r>
                </w:p>
              </w:tc>
              <w:tc>
                <w:tcPr>
                  <w:tcW w:w="1217"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692"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692"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225"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592"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名称（b）</w:t>
                  </w:r>
                </w:p>
              </w:tc>
              <w:tc>
                <w:tcPr>
                  <w:tcW w:w="150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污染物</w:t>
                  </w:r>
                </w:p>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种类</w:t>
                  </w:r>
                </w:p>
              </w:tc>
              <w:tc>
                <w:tcPr>
                  <w:tcW w:w="2332"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国家或地方污染物排放标准浓度限值/(mg/L)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3" w:type="dxa"/>
                  <w:vMerge w:val="restart"/>
                  <w:vAlign w:val="center"/>
                </w:tcPr>
                <w:p>
                  <w:pPr>
                    <w:adjustRightInd w:val="0"/>
                    <w:snapToGrid w:val="0"/>
                    <w:jc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DW00</w:t>
                  </w:r>
                  <w:r>
                    <w:rPr>
                      <w:rFonts w:hint="default" w:ascii="Times New Roman" w:hAnsi="Times New Roman" w:cs="Times New Roman"/>
                      <w:color w:val="auto"/>
                      <w:sz w:val="21"/>
                      <w:szCs w:val="21"/>
                      <w:lang w:val="en-US" w:eastAsia="zh-CN"/>
                    </w:rPr>
                    <w:t>1</w:t>
                  </w:r>
                </w:p>
              </w:tc>
              <w:tc>
                <w:tcPr>
                  <w:tcW w:w="1400" w:type="dxa"/>
                  <w:vMerge w:val="restart"/>
                  <w:vAlign w:val="center"/>
                </w:tcPr>
                <w:p>
                  <w:pPr>
                    <w:widowControl/>
                    <w:jc w:val="center"/>
                    <w:rPr>
                      <w:rFonts w:hint="default" w:ascii="Times New Roman" w:hAnsi="Times New Roman" w:eastAsia="宋体" w:cs="Times New Roman"/>
                      <w:color w:val="auto"/>
                      <w:sz w:val="21"/>
                      <w:szCs w:val="20"/>
                    </w:rPr>
                  </w:pPr>
                  <w:r>
                    <w:rPr>
                      <w:rFonts w:hint="default" w:ascii="Times New Roman" w:hAnsi="Times New Roman" w:eastAsia="宋体" w:cs="Times New Roman"/>
                      <w:color w:val="auto"/>
                      <w:sz w:val="21"/>
                      <w:szCs w:val="20"/>
                    </w:rPr>
                    <w:t>120°11′35.</w:t>
                  </w:r>
                  <w:r>
                    <w:rPr>
                      <w:rFonts w:hint="eastAsia" w:cs="Times New Roman"/>
                      <w:color w:val="auto"/>
                      <w:sz w:val="21"/>
                      <w:szCs w:val="20"/>
                      <w:lang w:val="en-US" w:eastAsia="zh-CN"/>
                    </w:rPr>
                    <w:t>88252</w:t>
                  </w:r>
                  <w:r>
                    <w:rPr>
                      <w:rFonts w:hint="default" w:ascii="Times New Roman" w:hAnsi="Times New Roman" w:eastAsia="宋体" w:cs="Times New Roman"/>
                      <w:color w:val="auto"/>
                      <w:sz w:val="21"/>
                      <w:szCs w:val="20"/>
                    </w:rPr>
                    <w:t>″</w:t>
                  </w:r>
                </w:p>
              </w:tc>
              <w:tc>
                <w:tcPr>
                  <w:tcW w:w="1373" w:type="dxa"/>
                  <w:vMerge w:val="restart"/>
                  <w:vAlign w:val="center"/>
                </w:tcPr>
                <w:p>
                  <w:pPr>
                    <w:widowControl/>
                    <w:jc w:val="center"/>
                    <w:rPr>
                      <w:rFonts w:hint="default" w:ascii="Times New Roman" w:hAnsi="Times New Roman" w:eastAsia="宋体" w:cs="Times New Roman"/>
                      <w:color w:val="auto"/>
                      <w:sz w:val="21"/>
                      <w:szCs w:val="20"/>
                    </w:rPr>
                  </w:pPr>
                  <w:r>
                    <w:rPr>
                      <w:rFonts w:hint="default" w:ascii="Times New Roman" w:hAnsi="Times New Roman" w:eastAsia="宋体" w:cs="Times New Roman"/>
                      <w:color w:val="auto"/>
                      <w:sz w:val="21"/>
                      <w:szCs w:val="20"/>
                    </w:rPr>
                    <w:t>30°3</w:t>
                  </w:r>
                  <w:r>
                    <w:rPr>
                      <w:rFonts w:hint="eastAsia" w:cs="Times New Roman"/>
                      <w:color w:val="auto"/>
                      <w:sz w:val="21"/>
                      <w:szCs w:val="20"/>
                      <w:lang w:val="en-US" w:eastAsia="zh-CN"/>
                    </w:rPr>
                    <w:t>7</w:t>
                  </w:r>
                  <w:r>
                    <w:rPr>
                      <w:rFonts w:hint="default" w:ascii="Times New Roman" w:hAnsi="Times New Roman" w:eastAsia="宋体" w:cs="Times New Roman"/>
                      <w:color w:val="auto"/>
                      <w:sz w:val="21"/>
                      <w:szCs w:val="20"/>
                    </w:rPr>
                    <w:t>′5</w:t>
                  </w:r>
                  <w:r>
                    <w:rPr>
                      <w:rFonts w:hint="eastAsia" w:cs="Times New Roman"/>
                      <w:color w:val="auto"/>
                      <w:sz w:val="21"/>
                      <w:szCs w:val="20"/>
                      <w:lang w:val="en-US" w:eastAsia="zh-CN"/>
                    </w:rPr>
                    <w:t>6</w:t>
                  </w:r>
                  <w:r>
                    <w:rPr>
                      <w:rFonts w:hint="default" w:ascii="Times New Roman" w:hAnsi="Times New Roman" w:eastAsia="宋体" w:cs="Times New Roman"/>
                      <w:color w:val="auto"/>
                      <w:sz w:val="21"/>
                      <w:szCs w:val="20"/>
                    </w:rPr>
                    <w:t>.</w:t>
                  </w:r>
                  <w:r>
                    <w:rPr>
                      <w:rFonts w:hint="eastAsia" w:cs="Times New Roman"/>
                      <w:color w:val="auto"/>
                      <w:sz w:val="21"/>
                      <w:szCs w:val="20"/>
                      <w:lang w:val="en-US" w:eastAsia="zh-CN"/>
                    </w:rPr>
                    <w:t>16268</w:t>
                  </w:r>
                  <w:r>
                    <w:rPr>
                      <w:rFonts w:hint="default" w:ascii="Times New Roman" w:hAnsi="Times New Roman" w:eastAsia="宋体" w:cs="Times New Roman"/>
                      <w:color w:val="auto"/>
                      <w:sz w:val="21"/>
                      <w:szCs w:val="20"/>
                    </w:rPr>
                    <w:t>″</w:t>
                  </w:r>
                </w:p>
              </w:tc>
              <w:tc>
                <w:tcPr>
                  <w:tcW w:w="1217" w:type="dxa"/>
                  <w:vMerge w:val="restart"/>
                  <w:vAlign w:val="center"/>
                </w:tcPr>
                <w:p>
                  <w:pPr>
                    <w:adjustRightInd w:val="0"/>
                    <w:snapToGrid w:val="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kern w:val="0"/>
                      <w:sz w:val="21"/>
                      <w:szCs w:val="21"/>
                    </w:rPr>
                    <w:t>0.</w:t>
                  </w:r>
                  <w:r>
                    <w:rPr>
                      <w:rFonts w:hint="default" w:ascii="Times New Roman" w:hAnsi="Times New Roman" w:cs="Times New Roman"/>
                      <w:color w:val="auto"/>
                      <w:kern w:val="0"/>
                      <w:sz w:val="21"/>
                      <w:szCs w:val="21"/>
                      <w:lang w:val="en-US" w:eastAsia="zh-CN"/>
                    </w:rPr>
                    <w:t>0</w:t>
                  </w:r>
                  <w:r>
                    <w:rPr>
                      <w:rFonts w:hint="eastAsia" w:cs="Times New Roman"/>
                      <w:color w:val="auto"/>
                      <w:kern w:val="0"/>
                      <w:sz w:val="21"/>
                      <w:szCs w:val="21"/>
                      <w:lang w:val="en-US" w:eastAsia="zh-CN"/>
                    </w:rPr>
                    <w:t>12</w:t>
                  </w:r>
                </w:p>
              </w:tc>
              <w:tc>
                <w:tcPr>
                  <w:tcW w:w="692" w:type="dxa"/>
                  <w:vMerge w:val="restart"/>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纳管</w:t>
                  </w:r>
                </w:p>
              </w:tc>
              <w:tc>
                <w:tcPr>
                  <w:tcW w:w="692" w:type="dxa"/>
                  <w:vMerge w:val="restart"/>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间断排放</w:t>
                  </w:r>
                </w:p>
              </w:tc>
              <w:tc>
                <w:tcPr>
                  <w:tcW w:w="1225" w:type="dxa"/>
                  <w:vMerge w:val="restart"/>
                  <w:vAlign w:val="center"/>
                </w:tcPr>
                <w:p>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全时段间歇</w:t>
                  </w:r>
                </w:p>
              </w:tc>
              <w:tc>
                <w:tcPr>
                  <w:tcW w:w="1592" w:type="dxa"/>
                  <w:vMerge w:val="restart"/>
                  <w:vAlign w:val="center"/>
                </w:tcPr>
                <w:p>
                  <w:pPr>
                    <w:adjustRightInd w:val="0"/>
                    <w:snapToGrid w:val="0"/>
                    <w:jc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德清鸿晟水务科技有限公司</w:t>
                  </w:r>
                </w:p>
              </w:tc>
              <w:tc>
                <w:tcPr>
                  <w:tcW w:w="150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COD</w:t>
                  </w:r>
                  <w:r>
                    <w:rPr>
                      <w:rFonts w:hint="default" w:ascii="Times New Roman" w:hAnsi="Times New Roman" w:cs="Times New Roman"/>
                      <w:color w:val="auto"/>
                      <w:spacing w:val="-2"/>
                      <w:kern w:val="0"/>
                      <w:sz w:val="21"/>
                      <w:szCs w:val="21"/>
                      <w:vertAlign w:val="subscript"/>
                    </w:rPr>
                    <w:t>Cr</w:t>
                  </w:r>
                </w:p>
              </w:tc>
              <w:tc>
                <w:tcPr>
                  <w:tcW w:w="2332"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3"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400" w:type="dxa"/>
                  <w:vMerge w:val="continue"/>
                  <w:vAlign w:val="center"/>
                </w:tcPr>
                <w:p>
                  <w:pPr>
                    <w:widowControl/>
                    <w:jc w:val="center"/>
                    <w:rPr>
                      <w:rFonts w:hint="default" w:ascii="Times New Roman" w:hAnsi="Times New Roman" w:cs="Times New Roman"/>
                      <w:color w:val="auto"/>
                      <w:sz w:val="21"/>
                      <w:szCs w:val="21"/>
                    </w:rPr>
                  </w:pPr>
                </w:p>
              </w:tc>
              <w:tc>
                <w:tcPr>
                  <w:tcW w:w="1373" w:type="dxa"/>
                  <w:vMerge w:val="continue"/>
                  <w:vAlign w:val="center"/>
                </w:tcPr>
                <w:p>
                  <w:pPr>
                    <w:widowControl/>
                    <w:jc w:val="center"/>
                    <w:rPr>
                      <w:rFonts w:hint="default" w:ascii="Times New Roman" w:hAnsi="Times New Roman" w:cs="Times New Roman"/>
                      <w:color w:val="auto"/>
                      <w:sz w:val="21"/>
                      <w:szCs w:val="21"/>
                    </w:rPr>
                  </w:pPr>
                </w:p>
              </w:tc>
              <w:tc>
                <w:tcPr>
                  <w:tcW w:w="1217" w:type="dxa"/>
                  <w:vMerge w:val="continue"/>
                  <w:vAlign w:val="center"/>
                </w:tcPr>
                <w:p>
                  <w:pPr>
                    <w:adjustRightInd w:val="0"/>
                    <w:snapToGrid w:val="0"/>
                    <w:jc w:val="center"/>
                    <w:rPr>
                      <w:rFonts w:hint="default" w:ascii="Times New Roman" w:hAnsi="Times New Roman" w:cs="Times New Roman"/>
                      <w:color w:val="auto"/>
                      <w:kern w:val="0"/>
                      <w:sz w:val="21"/>
                      <w:szCs w:val="21"/>
                    </w:rPr>
                  </w:pPr>
                </w:p>
              </w:tc>
              <w:tc>
                <w:tcPr>
                  <w:tcW w:w="692"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692"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225" w:type="dxa"/>
                  <w:vMerge w:val="continue"/>
                  <w:vAlign w:val="center"/>
                </w:tcPr>
                <w:p>
                  <w:pPr>
                    <w:widowControl/>
                    <w:jc w:val="center"/>
                    <w:rPr>
                      <w:rFonts w:hint="default" w:ascii="Times New Roman" w:hAnsi="Times New Roman" w:cs="Times New Roman"/>
                      <w:color w:val="auto"/>
                      <w:kern w:val="0"/>
                      <w:sz w:val="21"/>
                      <w:szCs w:val="21"/>
                    </w:rPr>
                  </w:pPr>
                </w:p>
              </w:tc>
              <w:tc>
                <w:tcPr>
                  <w:tcW w:w="1592" w:type="dxa"/>
                  <w:vMerge w:val="continue"/>
                  <w:vAlign w:val="center"/>
                </w:tcPr>
                <w:p>
                  <w:pPr>
                    <w:adjustRightInd w:val="0"/>
                    <w:snapToGrid w:val="0"/>
                    <w:jc w:val="center"/>
                    <w:rPr>
                      <w:rFonts w:hint="default" w:ascii="Times New Roman" w:hAnsi="Times New Roman" w:cs="Times New Roman"/>
                      <w:color w:val="auto"/>
                      <w:sz w:val="21"/>
                      <w:szCs w:val="21"/>
                    </w:rPr>
                  </w:pPr>
                </w:p>
              </w:tc>
              <w:tc>
                <w:tcPr>
                  <w:tcW w:w="150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bCs/>
                      <w:color w:val="auto"/>
                      <w:sz w:val="21"/>
                      <w:szCs w:val="21"/>
                    </w:rPr>
                    <w:t>NH</w:t>
                  </w:r>
                  <w:r>
                    <w:rPr>
                      <w:rFonts w:hint="default" w:ascii="Times New Roman" w:hAnsi="Times New Roman" w:cs="Times New Roman"/>
                      <w:bCs/>
                      <w:color w:val="auto"/>
                      <w:sz w:val="21"/>
                      <w:szCs w:val="21"/>
                      <w:vertAlign w:val="subscript"/>
                    </w:rPr>
                    <w:t>3</w:t>
                  </w:r>
                  <w:r>
                    <w:rPr>
                      <w:rFonts w:hint="default" w:ascii="Times New Roman" w:hAnsi="Times New Roman" w:cs="Times New Roman"/>
                      <w:bCs/>
                      <w:color w:val="auto"/>
                      <w:sz w:val="21"/>
                      <w:szCs w:val="21"/>
                    </w:rPr>
                    <w:t>-N</w:t>
                  </w:r>
                </w:p>
              </w:tc>
              <w:tc>
                <w:tcPr>
                  <w:tcW w:w="2332"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039" w:type="dxa"/>
                  <w:gridSpan w:val="10"/>
                  <w:vAlign w:val="center"/>
                </w:tcPr>
                <w:p>
                  <w:pPr>
                    <w:pStyle w:val="131"/>
                    <w:rPr>
                      <w:rFonts w:hint="default" w:ascii="Times New Roman" w:hAnsi="Times New Roman" w:cs="Times New Roman"/>
                      <w:color w:val="auto"/>
                      <w:szCs w:val="21"/>
                    </w:rPr>
                  </w:pPr>
                  <w:r>
                    <w:rPr>
                      <w:rFonts w:hint="default" w:ascii="Times New Roman" w:hAnsi="Times New Roman" w:cs="Times New Roman"/>
                      <w:color w:val="auto"/>
                      <w:szCs w:val="21"/>
                    </w:rPr>
                    <w:t>a对于排至厂外公共污水处理系统的排放口，指废水排出厂界处经纬度坐标。</w:t>
                  </w:r>
                </w:p>
                <w:p>
                  <w:pPr>
                    <w:pStyle w:val="131"/>
                    <w:rPr>
                      <w:rFonts w:hint="default" w:ascii="Times New Roman" w:hAnsi="Times New Roman" w:cs="Times New Roman"/>
                      <w:color w:val="auto"/>
                      <w:szCs w:val="21"/>
                    </w:rPr>
                  </w:pPr>
                  <w:r>
                    <w:rPr>
                      <w:rFonts w:hint="default" w:ascii="Times New Roman" w:hAnsi="Times New Roman" w:cs="Times New Roman"/>
                      <w:color w:val="auto"/>
                      <w:szCs w:val="21"/>
                    </w:rPr>
                    <w:t>b指厂外城镇或工业污水集中处理设施名称，如×××生活污水处理厂、×××化工园区污水处理厂等。</w:t>
                  </w:r>
                </w:p>
              </w:tc>
            </w:tr>
          </w:tbl>
          <w:p>
            <w:pPr>
              <w:pStyle w:val="14"/>
              <w:keepNext w:val="0"/>
              <w:keepLines w:val="0"/>
              <w:pageBreakBefore w:val="0"/>
              <w:widowControl/>
              <w:kinsoku/>
              <w:wordWrap/>
              <w:overflowPunct/>
              <w:topLinePunct w:val="0"/>
              <w:autoSpaceDE/>
              <w:autoSpaceDN/>
              <w:bidi w:val="0"/>
              <w:adjustRightInd/>
              <w:snapToGrid w:val="0"/>
              <w:spacing w:line="120" w:lineRule="exact"/>
              <w:ind w:right="113"/>
              <w:textAlignment w:val="auto"/>
              <w:rPr>
                <w:rFonts w:hint="default" w:ascii="Times New Roman" w:hAnsi="Times New Roman" w:cs="Times New Roman"/>
                <w:color w:val="auto"/>
              </w:rPr>
            </w:pPr>
          </w:p>
          <w:p>
            <w:pPr>
              <w:pStyle w:val="40"/>
              <w:keepNext w:val="0"/>
              <w:keepLines w:val="0"/>
              <w:pageBreakBefore w:val="0"/>
              <w:widowControl w:val="0"/>
              <w:kinsoku/>
              <w:wordWrap/>
              <w:overflowPunct/>
              <w:topLinePunct w:val="0"/>
              <w:autoSpaceDE/>
              <w:autoSpaceDN/>
              <w:bidi w:val="0"/>
              <w:adjustRightInd/>
              <w:snapToGrid/>
              <w:spacing w:line="120" w:lineRule="exact"/>
              <w:textAlignment w:val="auto"/>
              <w:rPr>
                <w:rFonts w:hint="default" w:ascii="Times New Roman" w:hAnsi="Times New Roman" w:cs="Times New Roman"/>
                <w:color w:val="FF0000"/>
                <w:sz w:val="21"/>
                <w:szCs w:val="20"/>
              </w:rPr>
            </w:pPr>
          </w:p>
        </w:tc>
      </w:tr>
    </w:tbl>
    <w:p>
      <w:pPr>
        <w:widowControl/>
        <w:jc w:val="left"/>
        <w:rPr>
          <w:rFonts w:hint="default" w:ascii="Times New Roman" w:hAnsi="Times New Roman" w:eastAsia="幼圆" w:cs="Times New Roman"/>
          <w:color w:val="FF0000"/>
          <w:kern w:val="0"/>
          <w:szCs w:val="24"/>
        </w:rPr>
      </w:pPr>
    </w:p>
    <w:p>
      <w:pPr>
        <w:widowControl/>
        <w:jc w:val="left"/>
        <w:rPr>
          <w:rFonts w:hint="default" w:ascii="Times New Roman" w:hAnsi="Times New Roman" w:cs="Times New Roman"/>
          <w:color w:val="FF0000"/>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720" w:num="1"/>
          <w:docGrid w:type="linesAndChars" w:linePitch="312" w:charSpace="0"/>
        </w:sectPr>
      </w:pPr>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
        <w:gridCol w:w="8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9" w:hRule="atLeast"/>
        </w:trPr>
        <w:tc>
          <w:tcPr>
            <w:tcW w:w="488"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营运期环境保护措施</w:t>
            </w:r>
          </w:p>
        </w:tc>
        <w:tc>
          <w:tcPr>
            <w:tcW w:w="8034" w:type="dxa"/>
          </w:tcPr>
          <w:p>
            <w:pPr>
              <w:spacing w:line="360" w:lineRule="auto"/>
              <w:rPr>
                <w:rFonts w:hint="default" w:ascii="Times New Roman" w:hAnsi="Times New Roman" w:cs="Times New Roman"/>
                <w:b/>
                <w:color w:val="auto"/>
                <w:szCs w:val="24"/>
              </w:rPr>
            </w:pPr>
            <w:r>
              <w:rPr>
                <w:rFonts w:hint="default" w:ascii="Times New Roman" w:hAnsi="Times New Roman" w:cs="Times New Roman"/>
                <w:b/>
                <w:color w:val="auto"/>
                <w:szCs w:val="24"/>
              </w:rPr>
              <w:t>4.1.3营运期固体废物</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default" w:ascii="Times New Roman" w:hAnsi="Times New Roman" w:cs="Times New Roman"/>
                <w:color w:val="auto"/>
                <w:szCs w:val="24"/>
              </w:rPr>
            </w:pPr>
            <w:r>
              <w:rPr>
                <w:rFonts w:hint="default" w:ascii="Times New Roman" w:hAnsi="Times New Roman" w:cs="Times New Roman"/>
                <w:color w:val="auto"/>
                <w:szCs w:val="24"/>
              </w:rPr>
              <w:t>项目新增职工</w:t>
            </w:r>
            <w:r>
              <w:rPr>
                <w:rFonts w:hint="eastAsia" w:cs="Times New Roman"/>
                <w:color w:val="auto"/>
                <w:szCs w:val="24"/>
                <w:lang w:val="en-US" w:eastAsia="zh-CN"/>
              </w:rPr>
              <w:t>10</w:t>
            </w:r>
            <w:r>
              <w:rPr>
                <w:rFonts w:hint="default" w:ascii="Times New Roman" w:hAnsi="Times New Roman" w:cs="Times New Roman"/>
                <w:color w:val="auto"/>
                <w:szCs w:val="24"/>
              </w:rPr>
              <w:t>人，年工作天数为3</w:t>
            </w:r>
            <w:r>
              <w:rPr>
                <w:rFonts w:hint="eastAsia" w:cs="Times New Roman"/>
                <w:color w:val="auto"/>
                <w:szCs w:val="24"/>
                <w:lang w:val="en-US" w:eastAsia="zh-CN"/>
              </w:rPr>
              <w:t>0</w:t>
            </w:r>
            <w:r>
              <w:rPr>
                <w:rFonts w:hint="default" w:ascii="Times New Roman" w:hAnsi="Times New Roman" w:cs="Times New Roman"/>
                <w:color w:val="auto"/>
                <w:szCs w:val="24"/>
              </w:rPr>
              <w:t>0d，按职工每天产生生活垃圾1.0kg计算，本项目生活垃圾产生量约为</w:t>
            </w:r>
            <w:r>
              <w:rPr>
                <w:rFonts w:hint="eastAsia" w:cs="Times New Roman"/>
                <w:color w:val="auto"/>
                <w:szCs w:val="24"/>
                <w:lang w:val="en-US" w:eastAsia="zh-CN"/>
              </w:rPr>
              <w:t>3</w:t>
            </w:r>
            <w:r>
              <w:rPr>
                <w:rFonts w:hint="default" w:ascii="Times New Roman" w:hAnsi="Times New Roman" w:cs="Times New Roman"/>
                <w:color w:val="auto"/>
                <w:szCs w:val="24"/>
              </w:rPr>
              <w:t>t/a。生产固废详见以下分析。</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default" w:ascii="Times New Roman" w:hAnsi="Times New Roman" w:cs="Times New Roman"/>
                <w:color w:val="auto"/>
                <w:szCs w:val="24"/>
              </w:rPr>
            </w:pPr>
            <w:r>
              <w:rPr>
                <w:rFonts w:hint="default" w:ascii="Times New Roman" w:hAnsi="Times New Roman" w:cs="Times New Roman"/>
                <w:color w:val="auto"/>
                <w:szCs w:val="24"/>
              </w:rPr>
              <w:t>（1）建设项目副产物产生情况</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color w:val="auto"/>
                <w:lang w:eastAsia="zh-CN"/>
              </w:rPr>
            </w:pPr>
            <w:r>
              <w:rPr>
                <w:rFonts w:hint="eastAsia"/>
                <w:color w:val="auto"/>
                <w:szCs w:val="24"/>
                <w:lang w:val="en-US" w:eastAsia="zh-CN"/>
              </w:rPr>
              <w:t>一般</w:t>
            </w:r>
            <w:r>
              <w:rPr>
                <w:color w:val="auto"/>
                <w:szCs w:val="24"/>
              </w:rPr>
              <w:t>生产固废主要有</w:t>
            </w:r>
            <w:r>
              <w:rPr>
                <w:rFonts w:hint="eastAsia" w:eastAsia="宋体"/>
                <w:color w:val="auto"/>
                <w:szCs w:val="24"/>
                <w:lang w:val="en-US" w:eastAsia="zh-CN"/>
              </w:rPr>
              <w:t>废滤芯及废布袋、收集的塑粉、废塑粉、废金刚砂、一般废弃包装材料、收集的金属粉尘、废催化块</w:t>
            </w:r>
            <w:r>
              <w:rPr>
                <w:rFonts w:hint="eastAsia" w:cs="Times New Roman"/>
                <w:color w:val="auto"/>
                <w:lang w:eastAsia="zh-CN"/>
              </w:rPr>
              <w:t>。</w:t>
            </w:r>
            <w:r>
              <w:rPr>
                <w:rFonts w:hint="eastAsia" w:cs="Times New Roman"/>
                <w:color w:val="auto"/>
                <w:lang w:val="en-US" w:eastAsia="zh-CN"/>
              </w:rPr>
              <w:t>危险废物</w:t>
            </w:r>
            <w:r>
              <w:rPr>
                <w:color w:val="auto"/>
                <w:szCs w:val="24"/>
              </w:rPr>
              <w:t>主要有</w:t>
            </w:r>
            <w:r>
              <w:rPr>
                <w:rFonts w:hint="eastAsia"/>
                <w:color w:val="auto"/>
                <w:szCs w:val="24"/>
              </w:rPr>
              <w:t>收集的</w:t>
            </w:r>
            <w:r>
              <w:rPr>
                <w:rFonts w:hint="eastAsia"/>
                <w:color w:val="auto"/>
              </w:rPr>
              <w:t>漆渣</w:t>
            </w:r>
            <w:r>
              <w:rPr>
                <w:rFonts w:hint="eastAsia"/>
                <w:color w:val="auto"/>
                <w:lang w:eastAsia="zh-CN"/>
              </w:rPr>
              <w:t>、</w:t>
            </w:r>
            <w:r>
              <w:rPr>
                <w:rFonts w:hint="eastAsia"/>
                <w:color w:val="auto"/>
              </w:rPr>
              <w:t>废活性炭</w:t>
            </w:r>
            <w:r>
              <w:rPr>
                <w:rFonts w:hint="eastAsia"/>
                <w:color w:val="auto"/>
                <w:lang w:eastAsia="zh-CN"/>
              </w:rPr>
              <w:t>、</w:t>
            </w:r>
            <w:r>
              <w:rPr>
                <w:rFonts w:hint="eastAsia"/>
                <w:color w:val="auto"/>
                <w:szCs w:val="24"/>
                <w:lang w:val="en-US" w:eastAsia="zh-CN"/>
              </w:rPr>
              <w:t>废过滤棉、水喷淋废液、废油漆</w:t>
            </w:r>
            <w:r>
              <w:rPr>
                <w:color w:val="auto"/>
              </w:rPr>
              <w:t>桶</w:t>
            </w:r>
            <w:r>
              <w:rPr>
                <w:rFonts w:hint="eastAsia"/>
                <w:color w:val="auto"/>
                <w:lang w:eastAsia="zh-CN"/>
              </w:rPr>
              <w:t>、</w:t>
            </w:r>
            <w:r>
              <w:rPr>
                <w:rFonts w:hint="eastAsia"/>
                <w:color w:val="auto"/>
                <w:lang w:val="en-US" w:eastAsia="zh-CN"/>
              </w:rPr>
              <w:t>废毛刷、喷枪清洗废液</w:t>
            </w:r>
            <w:r>
              <w:rPr>
                <w:rFonts w:hint="eastAsia"/>
                <w:color w:val="auto"/>
                <w:lang w:eastAsia="zh-CN"/>
              </w:rPr>
              <w:t>。</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FF0000"/>
                <w:szCs w:val="24"/>
                <w:lang w:val="en-US" w:eastAsia="zh-CN"/>
              </w:rPr>
            </w:pPr>
            <w:r>
              <w:rPr>
                <w:rFonts w:hint="eastAsia" w:eastAsia="宋体"/>
                <w:color w:val="auto"/>
                <w:szCs w:val="24"/>
                <w:lang w:val="en-US" w:eastAsia="zh-CN"/>
              </w:rPr>
              <w:t>废滤芯及废布袋：本项目除尘装置采用滤芯、滤袋等过滤材料，使用后将有废滤芯及废滤袋产生，一般更换频次为1年一次，每次更换后废滤芯产生量约0.2t，废滤袋产生量约1.5t，合计产生量约1.7t/a，集中收集后由供应商回收，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收集的塑粉：根据除尘效率估算，喷塑流水线自带的滤芯除尘器收集的塑粉约为48.9t/a，收集后全部作为原料回用于生产，不排放。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废塑粉：喷塑粉尘后道的脉冲布袋除尘器收集的粉尘不可再利用，根据除尘效率估算其产生量为10.1t/a，收集后全部由供应商回收，不排放。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废金刚砂：本项目抛丸过程中使用的金刚砂一定时间后需进行更换，根据金刚砂使用量估计，该部分废钢砂产生量约为</w:t>
            </w:r>
            <w:r>
              <w:rPr>
                <w:rFonts w:hint="eastAsia"/>
                <w:color w:val="auto"/>
                <w:szCs w:val="24"/>
                <w:lang w:val="en-US" w:eastAsia="zh-CN"/>
              </w:rPr>
              <w:t>30</w:t>
            </w:r>
            <w:r>
              <w:rPr>
                <w:rFonts w:hint="eastAsia" w:eastAsia="宋体"/>
                <w:color w:val="auto"/>
                <w:szCs w:val="24"/>
                <w:lang w:val="en-US" w:eastAsia="zh-CN"/>
              </w:rPr>
              <w:t>t/a，集中收集后出售给废旧物资回收公司，不排放。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一般废弃包装材料：主要为包装袋及纸箱，每年约产生</w:t>
            </w:r>
            <w:r>
              <w:rPr>
                <w:rFonts w:hint="eastAsia"/>
                <w:color w:val="auto"/>
                <w:szCs w:val="24"/>
                <w:lang w:val="en-US" w:eastAsia="zh-CN"/>
              </w:rPr>
              <w:t>13608</w:t>
            </w:r>
            <w:r>
              <w:rPr>
                <w:rFonts w:hint="eastAsia" w:eastAsia="宋体"/>
                <w:color w:val="auto"/>
                <w:szCs w:val="24"/>
                <w:lang w:val="en-US" w:eastAsia="zh-CN"/>
              </w:rPr>
              <w:t>个包装袋及</w:t>
            </w:r>
            <w:r>
              <w:rPr>
                <w:rFonts w:hint="eastAsia"/>
                <w:color w:val="auto"/>
                <w:szCs w:val="24"/>
                <w:lang w:val="en-US" w:eastAsia="zh-CN"/>
              </w:rPr>
              <w:t>12153</w:t>
            </w:r>
            <w:r>
              <w:rPr>
                <w:rFonts w:hint="eastAsia" w:eastAsia="宋体"/>
                <w:color w:val="auto"/>
                <w:szCs w:val="24"/>
                <w:lang w:val="en-US" w:eastAsia="zh-CN"/>
              </w:rPr>
              <w:t>个纸箱，折合约</w:t>
            </w:r>
            <w:r>
              <w:rPr>
                <w:rFonts w:hint="eastAsia"/>
                <w:color w:val="auto"/>
                <w:szCs w:val="24"/>
                <w:lang w:val="en-US" w:eastAsia="zh-CN"/>
              </w:rPr>
              <w:t>10</w:t>
            </w:r>
            <w:r>
              <w:rPr>
                <w:rFonts w:hint="eastAsia" w:eastAsia="宋体"/>
                <w:color w:val="auto"/>
                <w:szCs w:val="24"/>
                <w:lang w:val="en-US" w:eastAsia="zh-CN"/>
              </w:rPr>
              <w:t>t/a，收集后出售给物资回收公司。</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收集的金属粉尘：主要来自于抛丸除尘过程，根据收集效率及布袋除尘器的除尘效率，抛丸配套布袋收集的金属粉尘量约为</w:t>
            </w:r>
            <w:r>
              <w:rPr>
                <w:rFonts w:hint="eastAsia"/>
                <w:color w:val="auto"/>
                <w:szCs w:val="24"/>
                <w:lang w:val="en-US" w:eastAsia="zh-CN"/>
              </w:rPr>
              <w:t>91.75</w:t>
            </w:r>
            <w:r>
              <w:rPr>
                <w:rFonts w:hint="eastAsia" w:eastAsia="宋体"/>
                <w:color w:val="auto"/>
                <w:szCs w:val="24"/>
                <w:lang w:val="en-US" w:eastAsia="zh-CN"/>
              </w:rPr>
              <w:t>t/a，该部分粉尘属于一般固废，经收集后外售综合利用。</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废催化块：本项目催化燃烧装置催化块需定期进行更换，平均每两年更换一次，每次更换的废催化块约为0.15t，集中收集后由供应商回收。</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漆渣：主要来自于</w:t>
            </w:r>
            <w:r>
              <w:rPr>
                <w:rFonts w:hint="eastAsia"/>
                <w:color w:val="auto"/>
                <w:szCs w:val="24"/>
                <w:lang w:val="en-US" w:eastAsia="zh-CN"/>
              </w:rPr>
              <w:t>刷漆</w:t>
            </w:r>
            <w:r>
              <w:rPr>
                <w:rFonts w:hint="eastAsia" w:eastAsia="宋体"/>
                <w:color w:val="auto"/>
                <w:szCs w:val="24"/>
                <w:lang w:val="en-US" w:eastAsia="zh-CN"/>
              </w:rPr>
              <w:t>及喷漆工序，</w:t>
            </w:r>
            <w:r>
              <w:rPr>
                <w:rFonts w:hint="eastAsia"/>
                <w:color w:val="auto"/>
                <w:szCs w:val="24"/>
                <w:lang w:val="en-US" w:eastAsia="zh-CN"/>
              </w:rPr>
              <w:t>漆渣的产生量</w:t>
            </w:r>
            <w:r>
              <w:rPr>
                <w:rFonts w:hint="eastAsia" w:eastAsia="宋体"/>
                <w:color w:val="auto"/>
                <w:szCs w:val="24"/>
                <w:lang w:val="en-US" w:eastAsia="zh-CN"/>
              </w:rPr>
              <w:t>约为</w:t>
            </w:r>
            <w:r>
              <w:rPr>
                <w:rFonts w:hint="eastAsia"/>
                <w:color w:val="auto"/>
                <w:szCs w:val="24"/>
                <w:lang w:val="en-US" w:eastAsia="zh-CN"/>
              </w:rPr>
              <w:t>5</w:t>
            </w:r>
            <w:r>
              <w:rPr>
                <w:rFonts w:hint="eastAsia" w:eastAsia="宋体"/>
                <w:color w:val="auto"/>
                <w:szCs w:val="24"/>
                <w:lang w:val="en-US" w:eastAsia="zh-CN"/>
              </w:rPr>
              <w:t>t/a，</w:t>
            </w:r>
            <w:r>
              <w:rPr>
                <w:rFonts w:hint="eastAsia"/>
                <w:color w:val="auto"/>
                <w:szCs w:val="24"/>
                <w:lang w:val="en-US" w:eastAsia="zh-CN"/>
              </w:rPr>
              <w:t>对照</w:t>
            </w:r>
            <w:r>
              <w:rPr>
                <w:rFonts w:hint="eastAsia" w:eastAsia="宋体"/>
                <w:color w:val="auto"/>
                <w:szCs w:val="24"/>
                <w:lang w:val="en-US" w:eastAsia="zh-CN"/>
              </w:rPr>
              <w:t>《国家危险废物名录》(2021年版)，类别为</w:t>
            </w:r>
            <w:r>
              <w:rPr>
                <w:rFonts w:hint="default" w:eastAsia="宋体"/>
                <w:color w:val="auto"/>
                <w:szCs w:val="24"/>
                <w:lang w:val="en-US" w:eastAsia="zh-CN"/>
              </w:rPr>
              <w:t>HW1</w:t>
            </w:r>
            <w:r>
              <w:rPr>
                <w:rFonts w:hint="eastAsia" w:eastAsia="宋体"/>
                <w:color w:val="auto"/>
                <w:szCs w:val="24"/>
                <w:lang w:val="en-US" w:eastAsia="zh-CN"/>
              </w:rPr>
              <w:t>2染料、涂料废物，危废代码为</w:t>
            </w:r>
            <w:r>
              <w:rPr>
                <w:rFonts w:hint="default" w:eastAsia="宋体"/>
                <w:color w:val="auto"/>
                <w:szCs w:val="24"/>
                <w:lang w:val="en-US" w:eastAsia="zh-CN"/>
              </w:rPr>
              <w:t>900-</w:t>
            </w:r>
            <w:r>
              <w:rPr>
                <w:rFonts w:hint="eastAsia" w:eastAsia="宋体"/>
                <w:color w:val="auto"/>
                <w:szCs w:val="24"/>
                <w:lang w:val="en-US" w:eastAsia="zh-CN"/>
              </w:rPr>
              <w:t>252</w:t>
            </w:r>
            <w:r>
              <w:rPr>
                <w:rFonts w:hint="default" w:eastAsia="宋体"/>
                <w:color w:val="auto"/>
                <w:szCs w:val="24"/>
                <w:lang w:val="en-US" w:eastAsia="zh-CN"/>
              </w:rPr>
              <w:t>-1</w:t>
            </w:r>
            <w:r>
              <w:rPr>
                <w:rFonts w:hint="eastAsia" w:eastAsia="宋体"/>
                <w:color w:val="auto"/>
                <w:szCs w:val="24"/>
                <w:lang w:val="en-US" w:eastAsia="zh-CN"/>
              </w:rPr>
              <w:t>2，集中收集后委托资质单位处理，不排放。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废活性炭：本项目两级活性炭吸附装置设计风量为</w:t>
            </w:r>
            <w:r>
              <w:rPr>
                <w:rFonts w:hint="eastAsia"/>
                <w:color w:val="auto"/>
                <w:szCs w:val="24"/>
                <w:lang w:val="en-US" w:eastAsia="zh-CN"/>
              </w:rPr>
              <w:t>15</w:t>
            </w:r>
            <w:r>
              <w:rPr>
                <w:rFonts w:hint="eastAsia" w:eastAsia="宋体"/>
                <w:color w:val="auto"/>
                <w:szCs w:val="24"/>
                <w:lang w:val="en-US" w:eastAsia="zh-CN"/>
              </w:rPr>
              <w:t>000m</w:t>
            </w:r>
            <w:r>
              <w:rPr>
                <w:rFonts w:hint="eastAsia" w:eastAsia="宋体"/>
                <w:color w:val="auto"/>
                <w:szCs w:val="24"/>
                <w:vertAlign w:val="superscript"/>
                <w:lang w:val="en-US" w:eastAsia="zh-CN"/>
              </w:rPr>
              <w:t>3</w:t>
            </w:r>
            <w:r>
              <w:rPr>
                <w:rFonts w:hint="eastAsia" w:eastAsia="宋体"/>
                <w:color w:val="auto"/>
                <w:szCs w:val="24"/>
                <w:lang w:val="en-US" w:eastAsia="zh-CN"/>
              </w:rPr>
              <w:t>/h</w:t>
            </w:r>
            <w:r>
              <w:rPr>
                <w:rFonts w:hint="eastAsia"/>
                <w:color w:val="auto"/>
                <w:szCs w:val="24"/>
                <w:lang w:val="en-US" w:eastAsia="zh-CN"/>
              </w:rPr>
              <w:t>及20</w:t>
            </w:r>
            <w:r>
              <w:rPr>
                <w:rFonts w:hint="eastAsia" w:eastAsia="宋体"/>
                <w:color w:val="auto"/>
                <w:szCs w:val="24"/>
                <w:lang w:val="en-US" w:eastAsia="zh-CN"/>
              </w:rPr>
              <w:t>000m</w:t>
            </w:r>
            <w:r>
              <w:rPr>
                <w:rFonts w:hint="eastAsia" w:eastAsia="宋体"/>
                <w:color w:val="auto"/>
                <w:szCs w:val="24"/>
                <w:vertAlign w:val="superscript"/>
                <w:lang w:val="en-US" w:eastAsia="zh-CN"/>
              </w:rPr>
              <w:t>3</w:t>
            </w:r>
            <w:r>
              <w:rPr>
                <w:rFonts w:hint="eastAsia" w:eastAsia="宋体"/>
                <w:color w:val="auto"/>
                <w:szCs w:val="24"/>
                <w:lang w:val="en-US" w:eastAsia="zh-CN"/>
              </w:rPr>
              <w:t>/h，本项目两级活性炭吸附装置活性炭箱体合计最少装填量为</w:t>
            </w:r>
            <w:r>
              <w:rPr>
                <w:rFonts w:hint="eastAsia"/>
                <w:color w:val="auto"/>
                <w:szCs w:val="24"/>
                <w:lang w:val="en-US" w:eastAsia="zh-CN"/>
              </w:rPr>
              <w:t>5</w:t>
            </w:r>
            <w:r>
              <w:rPr>
                <w:rFonts w:hint="eastAsia" w:eastAsia="宋体"/>
                <w:color w:val="auto"/>
                <w:szCs w:val="24"/>
                <w:lang w:val="en-US" w:eastAsia="zh-CN"/>
              </w:rPr>
              <w:t>t。</w:t>
            </w:r>
            <w:r>
              <w:rPr>
                <w:rFonts w:hint="eastAsia"/>
                <w:color w:val="auto"/>
                <w:szCs w:val="24"/>
                <w:lang w:val="en-US" w:eastAsia="zh-CN"/>
              </w:rPr>
              <w:t>鉴于本项目</w:t>
            </w:r>
            <w:r>
              <w:rPr>
                <w:rFonts w:hint="eastAsia" w:eastAsia="宋体"/>
                <w:color w:val="auto"/>
                <w:szCs w:val="24"/>
                <w:lang w:val="en-US" w:eastAsia="zh-CN"/>
              </w:rPr>
              <w:t>两级活性炭吸附装置</w:t>
            </w:r>
            <w:r>
              <w:rPr>
                <w:rFonts w:hint="eastAsia"/>
                <w:color w:val="auto"/>
                <w:szCs w:val="24"/>
                <w:lang w:val="en-US" w:eastAsia="zh-CN"/>
              </w:rPr>
              <w:t>处理的废气量较少（0.39t/a），</w:t>
            </w:r>
            <w:r>
              <w:rPr>
                <w:rFonts w:hint="eastAsia"/>
                <w:color w:val="auto"/>
                <w:szCs w:val="24"/>
              </w:rPr>
              <w:t>按1t活性炭吸附容量0.15t有机废气计算</w:t>
            </w:r>
            <w:r>
              <w:rPr>
                <w:rFonts w:hint="eastAsia"/>
                <w:color w:val="auto"/>
                <w:szCs w:val="24"/>
                <w:lang w:eastAsia="zh-CN"/>
              </w:rPr>
              <w:t>，</w:t>
            </w:r>
            <w:r>
              <w:rPr>
                <w:rFonts w:hint="eastAsia"/>
                <w:color w:val="auto"/>
                <w:szCs w:val="24"/>
                <w:lang w:val="en-US" w:eastAsia="zh-CN"/>
              </w:rPr>
              <w:t>则活性炭使用量为2.6t/a。综合考虑活性炭按每半年更换一次，则废活性炭的产生量为10.39t/a。本项目</w:t>
            </w:r>
            <w:r>
              <w:rPr>
                <w:rFonts w:hint="eastAsia"/>
                <w:color w:val="auto"/>
                <w:lang w:val="en-US" w:eastAsia="zh-CN"/>
              </w:rPr>
              <w:t>活性炭吸脱附</w:t>
            </w:r>
            <w:r>
              <w:rPr>
                <w:color w:val="auto"/>
              </w:rPr>
              <w:t>装置</w:t>
            </w:r>
            <w:r>
              <w:rPr>
                <w:rFonts w:hint="eastAsia"/>
                <w:color w:val="auto"/>
                <w:lang w:val="en-US" w:eastAsia="zh-CN"/>
              </w:rPr>
              <w:t>的活性炭填装量为1.5t，该活性炭每年更换一次，</w:t>
            </w:r>
            <w:r>
              <w:rPr>
                <w:rFonts w:hint="eastAsia"/>
                <w:color w:val="auto"/>
                <w:szCs w:val="24"/>
                <w:lang w:val="en-US" w:eastAsia="zh-CN"/>
              </w:rPr>
              <w:t>则废活性炭的产生量为1.5t/a。</w:t>
            </w:r>
            <w:r>
              <w:rPr>
                <w:rFonts w:hint="eastAsia" w:eastAsia="宋体"/>
                <w:color w:val="auto"/>
                <w:szCs w:val="24"/>
                <w:lang w:val="en-US" w:eastAsia="zh-CN"/>
              </w:rPr>
              <w:t>对照《国家危险废物名录》(2021年版)，属危险固废HW49其他废物，危废代码：900-039-49，集中收集后委托资质单位处理，不排放。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废过滤棉：废气处理设施会有废过滤棉产生，每三个月更换一次，每次的更换量约为0.0</w:t>
            </w:r>
            <w:r>
              <w:rPr>
                <w:rFonts w:hint="eastAsia"/>
                <w:color w:val="auto"/>
                <w:szCs w:val="24"/>
                <w:lang w:val="en-US" w:eastAsia="zh-CN"/>
              </w:rPr>
              <w:t>2</w:t>
            </w:r>
            <w:r>
              <w:rPr>
                <w:rFonts w:hint="eastAsia" w:eastAsia="宋体"/>
                <w:color w:val="auto"/>
                <w:szCs w:val="24"/>
                <w:lang w:val="en-US" w:eastAsia="zh-CN"/>
              </w:rPr>
              <w:t>t，其产生量约为0.0</w:t>
            </w:r>
            <w:r>
              <w:rPr>
                <w:rFonts w:hint="eastAsia"/>
                <w:color w:val="auto"/>
                <w:szCs w:val="24"/>
                <w:lang w:val="en-US" w:eastAsia="zh-CN"/>
              </w:rPr>
              <w:t>8</w:t>
            </w:r>
            <w:r>
              <w:rPr>
                <w:rFonts w:hint="eastAsia" w:eastAsia="宋体"/>
                <w:color w:val="auto"/>
                <w:szCs w:val="24"/>
                <w:lang w:val="en-US" w:eastAsia="zh-CN"/>
              </w:rPr>
              <w:t>t/a。对照《国家危险废物名录》(2021年版)，类别为HW49其他废物，危废代码：900-041-49，集中收集后委托资质单位处理，不排放。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FF0000"/>
                <w:szCs w:val="24"/>
                <w:lang w:val="en-US" w:eastAsia="zh-CN"/>
              </w:rPr>
            </w:pPr>
            <w:r>
              <w:rPr>
                <w:rFonts w:hint="eastAsia" w:eastAsia="宋体"/>
                <w:color w:val="auto"/>
                <w:szCs w:val="24"/>
                <w:lang w:val="en-US" w:eastAsia="zh-CN"/>
              </w:rPr>
              <w:t>水喷淋废液：本项目</w:t>
            </w:r>
            <w:r>
              <w:rPr>
                <w:rFonts w:hint="eastAsia"/>
                <w:color w:val="auto"/>
                <w:szCs w:val="24"/>
                <w:lang w:val="en-US" w:eastAsia="zh-CN"/>
              </w:rPr>
              <w:t>喷漆</w:t>
            </w:r>
            <w:r>
              <w:rPr>
                <w:rFonts w:hint="eastAsia" w:eastAsia="宋体"/>
                <w:color w:val="auto"/>
                <w:szCs w:val="24"/>
                <w:lang w:val="en-US" w:eastAsia="zh-CN"/>
              </w:rPr>
              <w:t>废气经1套水喷淋</w:t>
            </w:r>
            <w:r>
              <w:rPr>
                <w:rFonts w:hint="default" w:eastAsia="宋体"/>
                <w:color w:val="auto"/>
                <w:szCs w:val="24"/>
                <w:lang w:val="en-US" w:eastAsia="zh-CN"/>
              </w:rPr>
              <w:t>+</w:t>
            </w:r>
            <w:r>
              <w:rPr>
                <w:rFonts w:hint="eastAsia" w:eastAsia="宋体"/>
                <w:color w:val="auto"/>
                <w:szCs w:val="24"/>
                <w:lang w:val="en-US" w:eastAsia="zh-CN"/>
              </w:rPr>
              <w:t>干式过滤</w:t>
            </w:r>
            <w:r>
              <w:rPr>
                <w:rFonts w:hint="default" w:eastAsia="宋体"/>
                <w:color w:val="auto"/>
                <w:szCs w:val="24"/>
                <w:lang w:val="en-US" w:eastAsia="zh-CN"/>
              </w:rPr>
              <w:t>+</w:t>
            </w:r>
            <w:r>
              <w:rPr>
                <w:rFonts w:hint="eastAsia"/>
                <w:color w:val="auto"/>
                <w:lang w:val="en-US" w:eastAsia="zh-CN"/>
              </w:rPr>
              <w:t>活性炭吸脱附</w:t>
            </w:r>
            <w:r>
              <w:rPr>
                <w:color w:val="auto"/>
              </w:rPr>
              <w:t>装置</w:t>
            </w:r>
            <w:r>
              <w:rPr>
                <w:rFonts w:hint="eastAsia" w:eastAsia="宋体"/>
                <w:color w:val="auto"/>
                <w:szCs w:val="24"/>
                <w:lang w:val="en-US" w:eastAsia="zh-CN"/>
              </w:rPr>
              <w:t>处理，根据喷淋塔的设计参数，喷淋塔配有一个1m</w:t>
            </w:r>
            <w:r>
              <w:rPr>
                <w:rFonts w:hint="eastAsia" w:eastAsia="宋体"/>
                <w:color w:val="auto"/>
                <w:szCs w:val="24"/>
                <w:vertAlign w:val="superscript"/>
                <w:lang w:val="en-US" w:eastAsia="zh-CN"/>
              </w:rPr>
              <w:t>3</w:t>
            </w:r>
            <w:r>
              <w:rPr>
                <w:rFonts w:hint="eastAsia" w:eastAsia="宋体"/>
                <w:color w:val="auto"/>
                <w:szCs w:val="24"/>
                <w:lang w:val="en-US" w:eastAsia="zh-CN"/>
              </w:rPr>
              <w:t>大小的循环池，循环水量约为</w:t>
            </w:r>
            <w:r>
              <w:rPr>
                <w:rFonts w:hint="eastAsia"/>
                <w:color w:val="auto"/>
                <w:szCs w:val="24"/>
                <w:lang w:val="en-US" w:eastAsia="zh-CN"/>
              </w:rPr>
              <w:t>1</w:t>
            </w:r>
            <w:r>
              <w:rPr>
                <w:rFonts w:hint="eastAsia" w:eastAsia="宋体"/>
                <w:color w:val="auto"/>
                <w:szCs w:val="24"/>
                <w:lang w:val="en-US" w:eastAsia="zh-CN"/>
              </w:rPr>
              <w:t>t，喷淋塔水循环使用。该喷淋水与废气直接接触，因此循环水会不断浓缩，水污染物会不断增加，故喷淋循环水必需定期更换，否则会发生管道堵塞。因此喷淋装置中的喷淋循环水每半年更换一次，每次产生的喷淋废液约为</w:t>
            </w:r>
            <w:r>
              <w:rPr>
                <w:rFonts w:hint="eastAsia"/>
                <w:color w:val="auto"/>
                <w:szCs w:val="24"/>
                <w:lang w:val="en-US" w:eastAsia="zh-CN"/>
              </w:rPr>
              <w:t>1</w:t>
            </w:r>
            <w:r>
              <w:rPr>
                <w:rFonts w:hint="default" w:eastAsia="宋体"/>
                <w:color w:val="auto"/>
                <w:szCs w:val="24"/>
                <w:lang w:val="en-US" w:eastAsia="zh-CN"/>
              </w:rPr>
              <w:t>t/</w:t>
            </w:r>
            <w:r>
              <w:rPr>
                <w:rFonts w:hint="eastAsia" w:eastAsia="宋体"/>
                <w:color w:val="auto"/>
                <w:szCs w:val="24"/>
                <w:lang w:val="en-US" w:eastAsia="zh-CN"/>
              </w:rPr>
              <w:t>次（</w:t>
            </w:r>
            <w:r>
              <w:rPr>
                <w:rFonts w:hint="eastAsia"/>
                <w:color w:val="auto"/>
                <w:szCs w:val="24"/>
                <w:lang w:val="en-US" w:eastAsia="zh-CN"/>
              </w:rPr>
              <w:t>2</w:t>
            </w:r>
            <w:r>
              <w:rPr>
                <w:rFonts w:hint="default" w:eastAsia="宋体"/>
                <w:color w:val="auto"/>
                <w:szCs w:val="24"/>
                <w:lang w:val="en-US" w:eastAsia="zh-CN"/>
              </w:rPr>
              <w:t>t/a</w:t>
            </w:r>
            <w:r>
              <w:rPr>
                <w:rFonts w:hint="eastAsia" w:eastAsia="宋体"/>
                <w:color w:val="auto"/>
                <w:szCs w:val="24"/>
                <w:lang w:val="en-US" w:eastAsia="zh-CN"/>
              </w:rPr>
              <w:t>）。对照《国家危险废物名录》(2021年版)，类别为HW49其他废物，危废代码：900-04</w:t>
            </w:r>
            <w:r>
              <w:rPr>
                <w:rFonts w:hint="eastAsia"/>
                <w:color w:val="auto"/>
                <w:szCs w:val="24"/>
                <w:lang w:val="en-US" w:eastAsia="zh-CN"/>
              </w:rPr>
              <w:t>1</w:t>
            </w:r>
            <w:r>
              <w:rPr>
                <w:rFonts w:hint="eastAsia" w:eastAsia="宋体"/>
                <w:color w:val="auto"/>
                <w:szCs w:val="24"/>
                <w:lang w:val="en-US" w:eastAsia="zh-CN"/>
              </w:rPr>
              <w:t>-49，集中收集后委托资质单位处理，不排放。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FF0000"/>
                <w:szCs w:val="24"/>
                <w:lang w:val="en-US" w:eastAsia="zh-CN"/>
              </w:rPr>
            </w:pPr>
            <w:r>
              <w:rPr>
                <w:rFonts w:hint="eastAsia" w:eastAsia="宋体"/>
                <w:color w:val="auto"/>
                <w:szCs w:val="24"/>
                <w:lang w:val="en-US" w:eastAsia="zh-CN"/>
              </w:rPr>
              <w:t>废油漆桶：企业生产过程中废油漆桶年产生量合计约</w:t>
            </w:r>
            <w:r>
              <w:rPr>
                <w:rFonts w:hint="eastAsia"/>
                <w:color w:val="auto"/>
                <w:szCs w:val="24"/>
                <w:lang w:val="en-US" w:eastAsia="zh-CN"/>
              </w:rPr>
              <w:t>2500</w:t>
            </w:r>
            <w:r>
              <w:rPr>
                <w:rFonts w:hint="eastAsia" w:eastAsia="宋体"/>
                <w:color w:val="auto"/>
                <w:szCs w:val="24"/>
                <w:lang w:val="en-US" w:eastAsia="zh-CN"/>
              </w:rPr>
              <w:t>个，废包装桶产生量约</w:t>
            </w:r>
            <w:r>
              <w:rPr>
                <w:rFonts w:hint="eastAsia"/>
                <w:color w:val="auto"/>
                <w:szCs w:val="24"/>
                <w:lang w:val="en-US" w:eastAsia="zh-CN"/>
              </w:rPr>
              <w:t>2.5</w:t>
            </w:r>
            <w:r>
              <w:rPr>
                <w:rFonts w:hint="eastAsia" w:eastAsia="宋体"/>
                <w:color w:val="auto"/>
                <w:szCs w:val="24"/>
                <w:lang w:val="en-US" w:eastAsia="zh-CN"/>
              </w:rPr>
              <w:t>t/a。对照《国家危险废物名录》(2021年版)，废物类别为HW49其他废物，危废代码：900-041-49，集中收集后委托资质单位处理，不排放。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eastAsia" w:eastAsia="宋体"/>
                <w:color w:val="auto"/>
                <w:szCs w:val="24"/>
                <w:lang w:val="en-US" w:eastAsia="zh-CN"/>
              </w:rPr>
            </w:pPr>
            <w:r>
              <w:rPr>
                <w:rFonts w:hint="eastAsia" w:eastAsia="宋体"/>
                <w:color w:val="auto"/>
                <w:szCs w:val="24"/>
                <w:lang w:val="en-US" w:eastAsia="zh-CN"/>
              </w:rPr>
              <w:t>废毛刷：手工刷漆过程会产生一定量的废毛刷，类比现有项目，其产生量约为</w:t>
            </w:r>
            <w:r>
              <w:rPr>
                <w:rFonts w:hint="eastAsia"/>
                <w:color w:val="auto"/>
                <w:szCs w:val="24"/>
                <w:lang w:val="en-US" w:eastAsia="zh-CN"/>
              </w:rPr>
              <w:t>0.2</w:t>
            </w:r>
            <w:r>
              <w:rPr>
                <w:rFonts w:hint="eastAsia" w:eastAsia="宋体"/>
                <w:color w:val="auto"/>
                <w:szCs w:val="24"/>
                <w:lang w:val="en-US" w:eastAsia="zh-CN"/>
              </w:rPr>
              <w:t>t/a。对照《国家危险废物名录》(2021年版)，废物类别为HW49其他废物，危废代码：900-041-49，集中收集后委托资质单位处理，不排放。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default" w:eastAsia="宋体"/>
                <w:color w:val="auto"/>
                <w:szCs w:val="24"/>
                <w:lang w:val="en-US" w:eastAsia="zh-CN"/>
              </w:rPr>
            </w:pPr>
            <w:r>
              <w:rPr>
                <w:rFonts w:hint="eastAsia" w:eastAsia="宋体"/>
                <w:color w:val="auto"/>
                <w:szCs w:val="24"/>
                <w:lang w:val="en-US" w:eastAsia="zh-CN"/>
              </w:rPr>
              <w:t>喷枪清洗废液：喷枪每次工作完后采用水进行人工清洗，年清洗水用量约为</w:t>
            </w:r>
            <w:r>
              <w:rPr>
                <w:rFonts w:hint="default" w:eastAsia="宋体"/>
                <w:color w:val="auto"/>
                <w:szCs w:val="24"/>
                <w:lang w:val="en-US" w:eastAsia="zh-CN"/>
              </w:rPr>
              <w:t>0.</w:t>
            </w:r>
            <w:r>
              <w:rPr>
                <w:rFonts w:hint="eastAsia" w:eastAsia="宋体"/>
                <w:color w:val="auto"/>
                <w:szCs w:val="24"/>
                <w:lang w:val="en-US" w:eastAsia="zh-CN"/>
              </w:rPr>
              <w:t>2</w:t>
            </w:r>
            <w:r>
              <w:rPr>
                <w:rFonts w:hint="default" w:eastAsia="宋体"/>
                <w:color w:val="auto"/>
                <w:szCs w:val="24"/>
                <w:lang w:val="en-US" w:eastAsia="zh-CN"/>
              </w:rPr>
              <w:t>t/a</w:t>
            </w:r>
            <w:r>
              <w:rPr>
                <w:rFonts w:hint="eastAsia" w:eastAsia="宋体"/>
                <w:color w:val="auto"/>
                <w:szCs w:val="24"/>
                <w:lang w:val="en-US" w:eastAsia="zh-CN"/>
              </w:rPr>
              <w:t>。对照《国家危险废物名录》(2021年版)，类别为</w:t>
            </w:r>
            <w:r>
              <w:rPr>
                <w:rFonts w:hint="default" w:eastAsia="宋体"/>
                <w:color w:val="auto"/>
                <w:szCs w:val="24"/>
                <w:lang w:val="en-US" w:eastAsia="zh-CN"/>
              </w:rPr>
              <w:t>HW1</w:t>
            </w:r>
            <w:r>
              <w:rPr>
                <w:rFonts w:hint="eastAsia" w:eastAsia="宋体"/>
                <w:color w:val="auto"/>
                <w:szCs w:val="24"/>
                <w:lang w:val="en-US" w:eastAsia="zh-CN"/>
              </w:rPr>
              <w:t>2染料、涂料废物，危废代码为</w:t>
            </w:r>
            <w:r>
              <w:rPr>
                <w:rFonts w:hint="default" w:eastAsia="宋体"/>
                <w:color w:val="auto"/>
                <w:szCs w:val="24"/>
                <w:lang w:val="en-US" w:eastAsia="zh-CN"/>
              </w:rPr>
              <w:t>900-</w:t>
            </w:r>
            <w:r>
              <w:rPr>
                <w:rFonts w:hint="eastAsia" w:eastAsia="宋体"/>
                <w:color w:val="auto"/>
                <w:szCs w:val="24"/>
                <w:lang w:val="en-US" w:eastAsia="zh-CN"/>
              </w:rPr>
              <w:t>252</w:t>
            </w:r>
            <w:r>
              <w:rPr>
                <w:rFonts w:hint="default" w:eastAsia="宋体"/>
                <w:color w:val="auto"/>
                <w:szCs w:val="24"/>
                <w:lang w:val="en-US" w:eastAsia="zh-CN"/>
              </w:rPr>
              <w:t>-1</w:t>
            </w:r>
            <w:r>
              <w:rPr>
                <w:rFonts w:hint="eastAsia" w:eastAsia="宋体"/>
                <w:color w:val="auto"/>
                <w:szCs w:val="24"/>
                <w:lang w:val="en-US" w:eastAsia="zh-CN"/>
              </w:rPr>
              <w:t>2，集中收集后委托资质单位处理，不排放。</w:t>
            </w:r>
          </w:p>
          <w:p>
            <w:pPr>
              <w:keepNext w:val="0"/>
              <w:keepLines w:val="0"/>
              <w:pageBreakBefore w:val="0"/>
              <w:widowControl w:val="0"/>
              <w:tabs>
                <w:tab w:val="left" w:pos="4288"/>
              </w:tabs>
              <w:kinsoku/>
              <w:wordWrap/>
              <w:overflowPunct/>
              <w:topLinePunct w:val="0"/>
              <w:autoSpaceDE/>
              <w:autoSpaceDN/>
              <w:bidi w:val="0"/>
              <w:adjustRightInd/>
              <w:snapToGrid/>
              <w:spacing w:line="360" w:lineRule="auto"/>
              <w:ind w:firstLine="480" w:firstLineChars="200"/>
              <w:textAlignment w:val="auto"/>
              <w:outlineLvl w:val="2"/>
              <w:rPr>
                <w:rFonts w:hint="default" w:ascii="Times New Roman" w:hAnsi="Times New Roman" w:cs="Times New Roman"/>
                <w:color w:val="auto"/>
              </w:rPr>
            </w:pPr>
            <w:r>
              <w:rPr>
                <w:rFonts w:hint="default" w:ascii="Times New Roman" w:hAnsi="Times New Roman" w:cs="Times New Roman"/>
                <w:color w:val="auto"/>
              </w:rPr>
              <w:t>建设项目副产物的名称、主要成分、形态和产生工序详见表4-</w:t>
            </w:r>
            <w:r>
              <w:rPr>
                <w:rFonts w:hint="eastAsia" w:cs="Times New Roman"/>
                <w:color w:val="auto"/>
                <w:lang w:val="en-US" w:eastAsia="zh-CN"/>
              </w:rPr>
              <w:t>15</w:t>
            </w:r>
            <w:r>
              <w:rPr>
                <w:rFonts w:hint="default" w:ascii="Times New Roman" w:hAnsi="Times New Roman" w:cs="Times New Roman"/>
                <w:color w:val="auto"/>
              </w:rPr>
              <w:t>。</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15</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建设项目副产物产生情况汇总表</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188"/>
              <w:gridCol w:w="1572"/>
              <w:gridCol w:w="653"/>
              <w:gridCol w:w="1056"/>
              <w:gridCol w:w="1098"/>
              <w:gridCol w:w="14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3" w:type="dxa"/>
                  <w:vAlign w:val="center"/>
                </w:tcPr>
                <w:p>
                  <w:pPr>
                    <w:tabs>
                      <w:tab w:val="left" w:pos="677"/>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序号</w:t>
                  </w:r>
                </w:p>
              </w:tc>
              <w:tc>
                <w:tcPr>
                  <w:tcW w:w="1188" w:type="dxa"/>
                  <w:vAlign w:val="center"/>
                </w:tcPr>
                <w:p>
                  <w:pPr>
                    <w:tabs>
                      <w:tab w:val="left" w:pos="677"/>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副产物名称</w:t>
                  </w:r>
                </w:p>
              </w:tc>
              <w:tc>
                <w:tcPr>
                  <w:tcW w:w="1572" w:type="dxa"/>
                  <w:vAlign w:val="center"/>
                </w:tcPr>
                <w:p>
                  <w:pPr>
                    <w:tabs>
                      <w:tab w:val="left" w:pos="677"/>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产生工序</w:t>
                  </w:r>
                </w:p>
              </w:tc>
              <w:tc>
                <w:tcPr>
                  <w:tcW w:w="653" w:type="dxa"/>
                  <w:vAlign w:val="center"/>
                </w:tcPr>
                <w:p>
                  <w:pPr>
                    <w:tabs>
                      <w:tab w:val="left" w:pos="677"/>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形态</w:t>
                  </w:r>
                </w:p>
              </w:tc>
              <w:tc>
                <w:tcPr>
                  <w:tcW w:w="1056" w:type="dxa"/>
                  <w:vAlign w:val="center"/>
                </w:tcPr>
                <w:p>
                  <w:pPr>
                    <w:tabs>
                      <w:tab w:val="left" w:pos="677"/>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产生成分</w:t>
                  </w:r>
                </w:p>
              </w:tc>
              <w:tc>
                <w:tcPr>
                  <w:tcW w:w="1098" w:type="dxa"/>
                  <w:vAlign w:val="center"/>
                </w:tcPr>
                <w:p>
                  <w:pPr>
                    <w:tabs>
                      <w:tab w:val="left" w:pos="677"/>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预测产生量</w:t>
                  </w:r>
                </w:p>
              </w:tc>
              <w:tc>
                <w:tcPr>
                  <w:tcW w:w="1405" w:type="dxa"/>
                  <w:vAlign w:val="center"/>
                </w:tcPr>
                <w:p>
                  <w:pPr>
                    <w:tabs>
                      <w:tab w:val="left" w:pos="677"/>
                    </w:tabs>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数据来源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3" w:type="dxa"/>
                  <w:vAlign w:val="center"/>
                </w:tcPr>
                <w:p>
                  <w:pPr>
                    <w:tabs>
                      <w:tab w:val="left" w:pos="677"/>
                    </w:tabs>
                    <w:jc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val="en-US" w:eastAsia="zh-CN"/>
                    </w:rPr>
                    <w:t>1</w:t>
                  </w:r>
                </w:p>
              </w:tc>
              <w:tc>
                <w:tcPr>
                  <w:tcW w:w="118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sz w:val="21"/>
                      <w:szCs w:val="21"/>
                      <w:lang w:val="en-US" w:eastAsia="zh-CN"/>
                    </w:rPr>
                    <w:t>废滤芯及废布袋</w:t>
                  </w:r>
                </w:p>
              </w:tc>
              <w:tc>
                <w:tcPr>
                  <w:tcW w:w="1572"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除尘工序</w:t>
                  </w:r>
                </w:p>
              </w:tc>
              <w:tc>
                <w:tcPr>
                  <w:tcW w:w="653" w:type="dxa"/>
                  <w:vAlign w:val="center"/>
                </w:tcPr>
                <w:p>
                  <w:pPr>
                    <w:tabs>
                      <w:tab w:val="left" w:pos="677"/>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固态</w:t>
                  </w:r>
                </w:p>
              </w:tc>
              <w:tc>
                <w:tcPr>
                  <w:tcW w:w="1056" w:type="dxa"/>
                  <w:vAlign w:val="center"/>
                </w:tcPr>
                <w:p>
                  <w:pPr>
                    <w:tabs>
                      <w:tab w:val="left" w:pos="677"/>
                    </w:tabs>
                    <w:jc w:val="center"/>
                    <w:rPr>
                      <w:rFonts w:hint="default" w:ascii="Times New Roman" w:hAnsi="Times New Roman" w:eastAsia="宋体" w:cs="Times New Roman"/>
                      <w:color w:val="auto"/>
                      <w:sz w:val="21"/>
                      <w:szCs w:val="21"/>
                      <w:lang w:val="en-US" w:eastAsia="zh-CN"/>
                    </w:rPr>
                  </w:pPr>
                  <w:r>
                    <w:rPr>
                      <w:rFonts w:hint="eastAsia"/>
                      <w:color w:val="auto"/>
                      <w:sz w:val="21"/>
                      <w:szCs w:val="21"/>
                      <w:lang w:val="en-US" w:eastAsia="zh-CN"/>
                    </w:rPr>
                    <w:t>滤芯、滤袋</w:t>
                  </w:r>
                </w:p>
              </w:tc>
              <w:tc>
                <w:tcPr>
                  <w:tcW w:w="1098" w:type="dxa"/>
                  <w:vAlign w:val="center"/>
                </w:tcPr>
                <w:p>
                  <w:pPr>
                    <w:tabs>
                      <w:tab w:val="left" w:pos="677"/>
                    </w:tabs>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1.7</w:t>
                  </w:r>
                  <w:r>
                    <w:rPr>
                      <w:rFonts w:hint="default" w:ascii="Times New Roman" w:hAnsi="Times New Roman" w:cs="Times New Roman"/>
                      <w:color w:val="auto"/>
                      <w:sz w:val="21"/>
                      <w:szCs w:val="21"/>
                    </w:rPr>
                    <w:t>t/a</w:t>
                  </w:r>
                </w:p>
              </w:tc>
              <w:tc>
                <w:tcPr>
                  <w:tcW w:w="1405" w:type="dxa"/>
                  <w:vAlign w:val="center"/>
                </w:tcPr>
                <w:p>
                  <w:pPr>
                    <w:tabs>
                      <w:tab w:val="left" w:pos="677"/>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3" w:type="dxa"/>
                  <w:vAlign w:val="center"/>
                </w:tcPr>
                <w:p>
                  <w:pPr>
                    <w:tabs>
                      <w:tab w:val="left" w:pos="677"/>
                    </w:tabs>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188"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rPr>
                    <w:t>收集的塑粉</w:t>
                  </w:r>
                </w:p>
              </w:tc>
              <w:tc>
                <w:tcPr>
                  <w:tcW w:w="157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滤芯除尘工序</w:t>
                  </w:r>
                </w:p>
              </w:tc>
              <w:tc>
                <w:tcPr>
                  <w:tcW w:w="653" w:type="dxa"/>
                  <w:vAlign w:val="center"/>
                </w:tcPr>
                <w:p>
                  <w:pPr>
                    <w:tabs>
                      <w:tab w:val="left" w:pos="677"/>
                    </w:tabs>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固态</w:t>
                  </w:r>
                </w:p>
              </w:tc>
              <w:tc>
                <w:tcPr>
                  <w:tcW w:w="1056" w:type="dxa"/>
                  <w:vAlign w:val="center"/>
                </w:tcPr>
                <w:p>
                  <w:pPr>
                    <w:tabs>
                      <w:tab w:val="left" w:pos="677"/>
                    </w:tabs>
                    <w:jc w:val="center"/>
                    <w:rPr>
                      <w:rFonts w:hint="default" w:ascii="Times New Roman" w:hAnsi="Times New Roman" w:eastAsia="宋体" w:cs="Times New Roman"/>
                      <w:color w:val="auto"/>
                      <w:sz w:val="21"/>
                      <w:szCs w:val="21"/>
                      <w:lang w:val="en-US" w:eastAsia="zh-CN"/>
                    </w:rPr>
                  </w:pPr>
                  <w:r>
                    <w:rPr>
                      <w:rFonts w:hint="eastAsia"/>
                      <w:color w:val="auto"/>
                      <w:sz w:val="21"/>
                      <w:szCs w:val="21"/>
                      <w:lang w:val="en-US" w:eastAsia="zh-CN"/>
                    </w:rPr>
                    <w:t>塑粉</w:t>
                  </w:r>
                </w:p>
              </w:tc>
              <w:tc>
                <w:tcPr>
                  <w:tcW w:w="1098"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48.9</w:t>
                  </w:r>
                  <w:r>
                    <w:rPr>
                      <w:rFonts w:hint="default" w:ascii="Times New Roman" w:hAnsi="Times New Roman" w:cs="Times New Roman"/>
                      <w:color w:val="auto"/>
                      <w:sz w:val="21"/>
                      <w:szCs w:val="21"/>
                    </w:rPr>
                    <w:t>t/a</w:t>
                  </w:r>
                </w:p>
              </w:tc>
              <w:tc>
                <w:tcPr>
                  <w:tcW w:w="1405" w:type="dxa"/>
                  <w:vAlign w:val="center"/>
                </w:tcPr>
                <w:p>
                  <w:pPr>
                    <w:tabs>
                      <w:tab w:val="left" w:pos="677"/>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根据物料平衡计算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3"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w:t>
                  </w:r>
                </w:p>
              </w:tc>
              <w:tc>
                <w:tcPr>
                  <w:tcW w:w="1188"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废塑粉</w:t>
                  </w:r>
                </w:p>
              </w:tc>
              <w:tc>
                <w:tcPr>
                  <w:tcW w:w="157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除尘工序</w:t>
                  </w:r>
                </w:p>
              </w:tc>
              <w:tc>
                <w:tcPr>
                  <w:tcW w:w="65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1056"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塑粉</w:t>
                  </w:r>
                </w:p>
              </w:tc>
              <w:tc>
                <w:tcPr>
                  <w:tcW w:w="1098"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10.1</w:t>
                  </w:r>
                  <w:r>
                    <w:rPr>
                      <w:rFonts w:hint="default" w:ascii="Times New Roman" w:hAnsi="Times New Roman" w:cs="Times New Roman"/>
                      <w:color w:val="auto"/>
                      <w:sz w:val="21"/>
                      <w:szCs w:val="21"/>
                      <w:lang w:val="en-US" w:eastAsia="zh-CN"/>
                    </w:rPr>
                    <w:t>t/a</w:t>
                  </w:r>
                </w:p>
              </w:tc>
              <w:tc>
                <w:tcPr>
                  <w:tcW w:w="1405" w:type="dxa"/>
                  <w:vAlign w:val="center"/>
                </w:tcPr>
                <w:p>
                  <w:pPr>
                    <w:tabs>
                      <w:tab w:val="left" w:pos="677"/>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根据物料平衡计算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3"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w:t>
                  </w:r>
                </w:p>
              </w:tc>
              <w:tc>
                <w:tcPr>
                  <w:tcW w:w="1188"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废金刚砂</w:t>
                  </w:r>
                </w:p>
              </w:tc>
              <w:tc>
                <w:tcPr>
                  <w:tcW w:w="15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抛丸</w:t>
                  </w:r>
                  <w:r>
                    <w:rPr>
                      <w:rFonts w:hint="eastAsia"/>
                      <w:color w:val="auto"/>
                      <w:sz w:val="21"/>
                      <w:szCs w:val="21"/>
                      <w:lang w:val="en-US" w:eastAsia="zh-CN"/>
                    </w:rPr>
                    <w:t>工序</w:t>
                  </w:r>
                </w:p>
              </w:tc>
              <w:tc>
                <w:tcPr>
                  <w:tcW w:w="65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056"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金刚砂</w:t>
                  </w:r>
                </w:p>
              </w:tc>
              <w:tc>
                <w:tcPr>
                  <w:tcW w:w="109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30</w:t>
                  </w:r>
                  <w:r>
                    <w:rPr>
                      <w:rFonts w:hint="default" w:ascii="Times New Roman" w:hAnsi="Times New Roman" w:cs="Times New Roman"/>
                      <w:color w:val="auto"/>
                      <w:sz w:val="21"/>
                      <w:szCs w:val="21"/>
                      <w:lang w:val="en-US" w:eastAsia="zh-CN"/>
                    </w:rPr>
                    <w:t>t/a</w:t>
                  </w:r>
                </w:p>
              </w:tc>
              <w:tc>
                <w:tcPr>
                  <w:tcW w:w="140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5</w:t>
                  </w:r>
                </w:p>
              </w:tc>
              <w:tc>
                <w:tcPr>
                  <w:tcW w:w="1188"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一般废弃包装材料</w:t>
                  </w:r>
                </w:p>
              </w:tc>
              <w:tc>
                <w:tcPr>
                  <w:tcW w:w="15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原料包装</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0" w:type="auto"/>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包装袋、纸箱</w:t>
                  </w:r>
                </w:p>
              </w:tc>
              <w:tc>
                <w:tcPr>
                  <w:tcW w:w="0" w:type="auto"/>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10</w:t>
                  </w:r>
                  <w:r>
                    <w:rPr>
                      <w:rFonts w:hint="default" w:ascii="Times New Roman" w:hAnsi="Times New Roman" w:cs="Times New Roman"/>
                      <w:color w:val="auto"/>
                      <w:sz w:val="21"/>
                      <w:szCs w:val="21"/>
                      <w:lang w:val="en-US" w:eastAsia="zh-CN"/>
                    </w:rPr>
                    <w:t>t/a</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6</w:t>
                  </w:r>
                </w:p>
              </w:tc>
              <w:tc>
                <w:tcPr>
                  <w:tcW w:w="118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收集的金属粉尘</w:t>
                  </w:r>
                </w:p>
              </w:tc>
              <w:tc>
                <w:tcPr>
                  <w:tcW w:w="15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除尘工序</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0" w:type="auto"/>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金属件</w:t>
                  </w:r>
                </w:p>
              </w:tc>
              <w:tc>
                <w:tcPr>
                  <w:tcW w:w="0" w:type="auto"/>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91.75</w:t>
                  </w:r>
                  <w:r>
                    <w:rPr>
                      <w:rFonts w:hint="default" w:ascii="Times New Roman" w:hAnsi="Times New Roman" w:cs="Times New Roman"/>
                      <w:color w:val="auto"/>
                      <w:sz w:val="21"/>
                      <w:szCs w:val="21"/>
                      <w:lang w:val="en-US" w:eastAsia="zh-CN"/>
                    </w:rPr>
                    <w:t>t/a</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根据物料平衡计算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7</w:t>
                  </w:r>
                </w:p>
              </w:tc>
              <w:tc>
                <w:tcPr>
                  <w:tcW w:w="1188"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废催化块</w:t>
                  </w:r>
                </w:p>
              </w:tc>
              <w:tc>
                <w:tcPr>
                  <w:tcW w:w="15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0" w:type="auto"/>
                  <w:vAlign w:val="center"/>
                </w:tcPr>
                <w:p>
                  <w:pPr>
                    <w:snapToGrid w:val="0"/>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催化块</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0.15</w:t>
                  </w:r>
                  <w:r>
                    <w:rPr>
                      <w:rFonts w:hint="default" w:ascii="Times New Roman" w:hAnsi="Times New Roman" w:cs="Times New Roman"/>
                      <w:color w:val="auto"/>
                      <w:sz w:val="21"/>
                      <w:szCs w:val="21"/>
                      <w:lang w:val="en-US" w:eastAsia="zh-CN"/>
                    </w:rPr>
                    <w:t>t/</w:t>
                  </w:r>
                  <w:r>
                    <w:rPr>
                      <w:rFonts w:hint="eastAsia" w:cs="Times New Roman"/>
                      <w:color w:val="auto"/>
                      <w:sz w:val="21"/>
                      <w:szCs w:val="21"/>
                      <w:lang w:val="en-US" w:eastAsia="zh-CN"/>
                    </w:rPr>
                    <w:t>2</w:t>
                  </w:r>
                  <w:r>
                    <w:rPr>
                      <w:rFonts w:hint="default" w:ascii="Times New Roman" w:hAnsi="Times New Roman" w:cs="Times New Roman"/>
                      <w:color w:val="auto"/>
                      <w:sz w:val="21"/>
                      <w:szCs w:val="21"/>
                      <w:lang w:val="en-US" w:eastAsia="zh-CN"/>
                    </w:rPr>
                    <w:t>a</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8</w:t>
                  </w:r>
                </w:p>
              </w:tc>
              <w:tc>
                <w:tcPr>
                  <w:tcW w:w="118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漆渣</w:t>
                  </w:r>
                </w:p>
              </w:tc>
              <w:tc>
                <w:tcPr>
                  <w:tcW w:w="15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喷漆及刷漆工序</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0" w:type="auto"/>
                  <w:vAlign w:val="center"/>
                </w:tcPr>
                <w:p>
                  <w:pPr>
                    <w:snapToGrid w:val="0"/>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油漆</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5</w:t>
                  </w:r>
                  <w:r>
                    <w:rPr>
                      <w:rFonts w:hint="default" w:ascii="Times New Roman" w:hAnsi="Times New Roman" w:cs="Times New Roman"/>
                      <w:color w:val="auto"/>
                      <w:sz w:val="21"/>
                      <w:szCs w:val="21"/>
                      <w:lang w:val="en-US" w:eastAsia="zh-CN"/>
                    </w:rPr>
                    <w:t>t/a</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9</w:t>
                  </w:r>
                </w:p>
              </w:tc>
              <w:tc>
                <w:tcPr>
                  <w:tcW w:w="118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废活性炭</w:t>
                  </w:r>
                </w:p>
              </w:tc>
              <w:tc>
                <w:tcPr>
                  <w:tcW w:w="15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056"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olor w:val="auto"/>
                      <w:sz w:val="21"/>
                      <w:szCs w:val="21"/>
                    </w:rPr>
                    <w:t>活性炭</w:t>
                  </w:r>
                </w:p>
              </w:tc>
              <w:tc>
                <w:tcPr>
                  <w:tcW w:w="0" w:type="auto"/>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11.89</w:t>
                  </w:r>
                  <w:r>
                    <w:rPr>
                      <w:rFonts w:hint="default" w:ascii="Times New Roman" w:hAnsi="Times New Roman" w:cs="Times New Roman"/>
                      <w:color w:val="auto"/>
                      <w:sz w:val="21"/>
                      <w:szCs w:val="21"/>
                      <w:lang w:val="en-US" w:eastAsia="zh-CN"/>
                    </w:rPr>
                    <w:t>t/a</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10</w:t>
                  </w:r>
                </w:p>
              </w:tc>
              <w:tc>
                <w:tcPr>
                  <w:tcW w:w="118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废过滤棉</w:t>
                  </w:r>
                </w:p>
              </w:tc>
              <w:tc>
                <w:tcPr>
                  <w:tcW w:w="15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废气处理</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056"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过滤棉</w:t>
                  </w:r>
                </w:p>
              </w:tc>
              <w:tc>
                <w:tcPr>
                  <w:tcW w:w="0" w:type="auto"/>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0.08</w:t>
                  </w:r>
                  <w:r>
                    <w:rPr>
                      <w:rFonts w:hint="default" w:ascii="Times New Roman" w:hAnsi="Times New Roman" w:cs="Times New Roman"/>
                      <w:color w:val="auto"/>
                      <w:sz w:val="21"/>
                      <w:szCs w:val="21"/>
                      <w:lang w:val="en-US" w:eastAsia="zh-CN"/>
                    </w:rPr>
                    <w:t>t/a</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cs="Times New Roman"/>
                      <w:color w:val="auto"/>
                      <w:sz w:val="21"/>
                      <w:szCs w:val="21"/>
                      <w:lang w:val="en-US" w:eastAsia="zh-CN"/>
                    </w:rPr>
                  </w:pPr>
                  <w:r>
                    <w:rPr>
                      <w:rFonts w:hint="eastAsia" w:cs="Times New Roman"/>
                      <w:color w:val="auto"/>
                      <w:sz w:val="21"/>
                      <w:szCs w:val="21"/>
                      <w:lang w:val="en-US" w:eastAsia="zh-CN"/>
                    </w:rPr>
                    <w:t>11</w:t>
                  </w:r>
                </w:p>
              </w:tc>
              <w:tc>
                <w:tcPr>
                  <w:tcW w:w="1188" w:type="dxa"/>
                  <w:vAlign w:val="center"/>
                </w:tcPr>
                <w:p>
                  <w:pPr>
                    <w:snapToGrid w:val="0"/>
                    <w:jc w:val="center"/>
                    <w:rPr>
                      <w:rFonts w:hint="eastAsia" w:cs="Times New Roman"/>
                      <w:color w:val="auto"/>
                      <w:sz w:val="21"/>
                      <w:szCs w:val="21"/>
                      <w:lang w:val="en-US" w:eastAsia="zh-CN"/>
                    </w:rPr>
                  </w:pPr>
                  <w:r>
                    <w:rPr>
                      <w:rFonts w:hint="eastAsia"/>
                      <w:color w:val="auto"/>
                      <w:sz w:val="21"/>
                      <w:szCs w:val="21"/>
                      <w:lang w:val="en-US" w:eastAsia="zh-CN"/>
                    </w:rPr>
                    <w:t>水喷淋废液</w:t>
                  </w:r>
                </w:p>
              </w:tc>
              <w:tc>
                <w:tcPr>
                  <w:tcW w:w="1572" w:type="dxa"/>
                  <w:vAlign w:val="center"/>
                </w:tcPr>
                <w:p>
                  <w:pPr>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有机废气处理</w:t>
                  </w:r>
                </w:p>
              </w:tc>
              <w:tc>
                <w:tcPr>
                  <w:tcW w:w="0" w:type="auto"/>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液态</w:t>
                  </w:r>
                </w:p>
              </w:tc>
              <w:tc>
                <w:tcPr>
                  <w:tcW w:w="0" w:type="auto"/>
                  <w:vAlign w:val="center"/>
                </w:tcPr>
                <w:p>
                  <w:pPr>
                    <w:snapToGrid w:val="0"/>
                    <w:jc w:val="center"/>
                    <w:rPr>
                      <w:rFonts w:hint="eastAsia" w:cs="Times New Roman"/>
                      <w:color w:val="auto"/>
                      <w:sz w:val="21"/>
                      <w:szCs w:val="21"/>
                      <w:lang w:val="en-US" w:eastAsia="zh-CN"/>
                    </w:rPr>
                  </w:pPr>
                  <w:r>
                    <w:rPr>
                      <w:rFonts w:hint="eastAsia"/>
                      <w:color w:val="auto"/>
                      <w:sz w:val="21"/>
                      <w:szCs w:val="21"/>
                      <w:lang w:val="en-US" w:eastAsia="zh-CN"/>
                    </w:rPr>
                    <w:t>油漆</w:t>
                  </w:r>
                </w:p>
              </w:tc>
              <w:tc>
                <w:tcPr>
                  <w:tcW w:w="0" w:type="auto"/>
                  <w:vAlign w:val="center"/>
                </w:tcPr>
                <w:p>
                  <w:pPr>
                    <w:snapToGrid w:val="0"/>
                    <w:jc w:val="center"/>
                    <w:rPr>
                      <w:rFonts w:hint="eastAsia" w:cs="Times New Roman"/>
                      <w:color w:val="auto"/>
                      <w:sz w:val="21"/>
                      <w:szCs w:val="21"/>
                      <w:lang w:val="en-US" w:eastAsia="zh-CN"/>
                    </w:rPr>
                  </w:pPr>
                  <w:r>
                    <w:rPr>
                      <w:rFonts w:hint="eastAsia" w:cs="Times New Roman"/>
                      <w:color w:val="auto"/>
                      <w:sz w:val="21"/>
                      <w:szCs w:val="21"/>
                      <w:lang w:val="en-US" w:eastAsia="zh-CN"/>
                    </w:rPr>
                    <w:t>2</w:t>
                  </w:r>
                  <w:r>
                    <w:rPr>
                      <w:rFonts w:hint="default" w:ascii="Times New Roman" w:hAnsi="Times New Roman" w:cs="Times New Roman"/>
                      <w:color w:val="auto"/>
                      <w:sz w:val="21"/>
                      <w:szCs w:val="21"/>
                      <w:lang w:val="en-US" w:eastAsia="zh-CN"/>
                    </w:rPr>
                    <w:t>t/a</w:t>
                  </w:r>
                </w:p>
              </w:tc>
              <w:tc>
                <w:tcPr>
                  <w:tcW w:w="0" w:type="auto"/>
                  <w:vAlign w:val="center"/>
                </w:tcPr>
                <w:p>
                  <w:pPr>
                    <w:tabs>
                      <w:tab w:val="left" w:pos="677"/>
                    </w:tabs>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cs="Times New Roman"/>
                      <w:color w:val="auto"/>
                      <w:sz w:val="21"/>
                      <w:szCs w:val="21"/>
                      <w:lang w:val="en-US" w:eastAsia="zh-CN"/>
                    </w:rPr>
                  </w:pPr>
                  <w:r>
                    <w:rPr>
                      <w:rFonts w:hint="eastAsia" w:cs="Times New Roman"/>
                      <w:color w:val="auto"/>
                      <w:sz w:val="21"/>
                      <w:szCs w:val="21"/>
                      <w:lang w:val="en-US" w:eastAsia="zh-CN"/>
                    </w:rPr>
                    <w:t>12</w:t>
                  </w:r>
                </w:p>
              </w:tc>
              <w:tc>
                <w:tcPr>
                  <w:tcW w:w="1188" w:type="dxa"/>
                  <w:vAlign w:val="center"/>
                </w:tcPr>
                <w:p>
                  <w:pPr>
                    <w:jc w:val="center"/>
                    <w:rPr>
                      <w:rFonts w:hint="eastAsia" w:cs="Times New Roman"/>
                      <w:color w:val="auto"/>
                      <w:sz w:val="21"/>
                      <w:szCs w:val="21"/>
                      <w:lang w:val="en-US" w:eastAsia="zh-CN"/>
                    </w:rPr>
                  </w:pPr>
                  <w:r>
                    <w:rPr>
                      <w:rFonts w:hint="eastAsia"/>
                      <w:bCs/>
                      <w:color w:val="auto"/>
                      <w:sz w:val="21"/>
                      <w:szCs w:val="21"/>
                      <w:lang w:val="en-US" w:eastAsia="zh-CN"/>
                    </w:rPr>
                    <w:t>废油漆桶</w:t>
                  </w:r>
                </w:p>
              </w:tc>
              <w:tc>
                <w:tcPr>
                  <w:tcW w:w="1572" w:type="dxa"/>
                  <w:vAlign w:val="center"/>
                </w:tcPr>
                <w:p>
                  <w:pPr>
                    <w:snapToGrid w:val="0"/>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油漆包装</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0" w:type="auto"/>
                  <w:vAlign w:val="center"/>
                </w:tcPr>
                <w:p>
                  <w:pPr>
                    <w:snapToGrid w:val="0"/>
                    <w:jc w:val="center"/>
                    <w:rPr>
                      <w:rFonts w:hint="eastAsia" w:cs="Times New Roman"/>
                      <w:color w:val="FF0000"/>
                      <w:sz w:val="21"/>
                      <w:szCs w:val="21"/>
                      <w:lang w:val="en-US" w:eastAsia="zh-CN"/>
                    </w:rPr>
                  </w:pPr>
                  <w:r>
                    <w:rPr>
                      <w:rFonts w:hint="eastAsia"/>
                      <w:color w:val="auto"/>
                      <w:sz w:val="21"/>
                      <w:szCs w:val="21"/>
                      <w:lang w:val="en-US" w:eastAsia="zh-CN"/>
                    </w:rPr>
                    <w:t>油漆</w:t>
                  </w:r>
                </w:p>
              </w:tc>
              <w:tc>
                <w:tcPr>
                  <w:tcW w:w="0" w:type="auto"/>
                  <w:vAlign w:val="center"/>
                </w:tcPr>
                <w:p>
                  <w:pPr>
                    <w:snapToGrid w:val="0"/>
                    <w:jc w:val="center"/>
                    <w:rPr>
                      <w:rFonts w:hint="eastAsia" w:cs="Times New Roman"/>
                      <w:color w:val="FF0000"/>
                      <w:sz w:val="21"/>
                      <w:szCs w:val="21"/>
                      <w:lang w:val="en-US" w:eastAsia="zh-CN"/>
                    </w:rPr>
                  </w:pPr>
                  <w:r>
                    <w:rPr>
                      <w:rFonts w:hint="eastAsia" w:cs="Times New Roman"/>
                      <w:color w:val="auto"/>
                      <w:sz w:val="21"/>
                      <w:szCs w:val="21"/>
                      <w:lang w:val="en-US" w:eastAsia="zh-CN"/>
                    </w:rPr>
                    <w:t>2.5</w:t>
                  </w:r>
                  <w:r>
                    <w:rPr>
                      <w:rFonts w:hint="default" w:ascii="Times New Roman" w:hAnsi="Times New Roman" w:cs="Times New Roman"/>
                      <w:color w:val="auto"/>
                      <w:sz w:val="21"/>
                      <w:szCs w:val="21"/>
                      <w:lang w:val="en-US" w:eastAsia="zh-CN"/>
                    </w:rPr>
                    <w:t>t/a</w:t>
                  </w:r>
                </w:p>
              </w:tc>
              <w:tc>
                <w:tcPr>
                  <w:tcW w:w="1405" w:type="dxa"/>
                  <w:vAlign w:val="center"/>
                </w:tcPr>
                <w:p>
                  <w:pPr>
                    <w:tabs>
                      <w:tab w:val="left" w:pos="677"/>
                    </w:tabs>
                    <w:jc w:val="center"/>
                    <w:rPr>
                      <w:rFonts w:hint="default" w:ascii="Times New Roman" w:hAnsi="Times New Roman" w:cs="Times New Roman"/>
                      <w:color w:val="FF0000"/>
                      <w:sz w:val="21"/>
                      <w:szCs w:val="21"/>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cs="Times New Roman"/>
                      <w:color w:val="auto"/>
                      <w:sz w:val="21"/>
                      <w:szCs w:val="21"/>
                      <w:lang w:val="en-US" w:eastAsia="zh-CN"/>
                    </w:rPr>
                  </w:pPr>
                  <w:r>
                    <w:rPr>
                      <w:rFonts w:hint="eastAsia" w:cs="Times New Roman"/>
                      <w:color w:val="auto"/>
                      <w:sz w:val="21"/>
                      <w:szCs w:val="21"/>
                      <w:lang w:val="en-US" w:eastAsia="zh-CN"/>
                    </w:rPr>
                    <w:t>13</w:t>
                  </w:r>
                </w:p>
              </w:tc>
              <w:tc>
                <w:tcPr>
                  <w:tcW w:w="1188" w:type="dxa"/>
                  <w:vAlign w:val="center"/>
                </w:tcPr>
                <w:p>
                  <w:pPr>
                    <w:jc w:val="center"/>
                    <w:rPr>
                      <w:rFonts w:hint="eastAsia" w:cs="Times New Roman"/>
                      <w:color w:val="auto"/>
                      <w:sz w:val="21"/>
                      <w:szCs w:val="21"/>
                      <w:lang w:val="en-US" w:eastAsia="zh-CN"/>
                    </w:rPr>
                  </w:pPr>
                  <w:r>
                    <w:rPr>
                      <w:rFonts w:hint="eastAsia" w:cs="Times New Roman"/>
                      <w:bCs/>
                      <w:color w:val="auto"/>
                      <w:sz w:val="21"/>
                      <w:szCs w:val="21"/>
                      <w:lang w:val="en-US" w:eastAsia="zh-CN"/>
                    </w:rPr>
                    <w:t>废毛刷</w:t>
                  </w:r>
                </w:p>
              </w:tc>
              <w:tc>
                <w:tcPr>
                  <w:tcW w:w="1572" w:type="dxa"/>
                  <w:vAlign w:val="center"/>
                </w:tcPr>
                <w:p>
                  <w:pPr>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刷漆工序</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0" w:type="auto"/>
                  <w:vAlign w:val="center"/>
                </w:tcPr>
                <w:p>
                  <w:pPr>
                    <w:snapToGrid w:val="0"/>
                    <w:jc w:val="center"/>
                    <w:rPr>
                      <w:rFonts w:hint="eastAsia" w:cs="Times New Roman"/>
                      <w:color w:val="FF0000"/>
                      <w:sz w:val="21"/>
                      <w:szCs w:val="21"/>
                      <w:lang w:val="en-US" w:eastAsia="zh-CN"/>
                    </w:rPr>
                  </w:pPr>
                  <w:r>
                    <w:rPr>
                      <w:rFonts w:hint="eastAsia"/>
                      <w:color w:val="auto"/>
                      <w:sz w:val="21"/>
                      <w:szCs w:val="21"/>
                      <w:lang w:val="en-US" w:eastAsia="zh-CN"/>
                    </w:rPr>
                    <w:t>油漆</w:t>
                  </w:r>
                </w:p>
              </w:tc>
              <w:tc>
                <w:tcPr>
                  <w:tcW w:w="0" w:type="auto"/>
                  <w:vAlign w:val="center"/>
                </w:tcPr>
                <w:p>
                  <w:pPr>
                    <w:snapToGrid w:val="0"/>
                    <w:jc w:val="center"/>
                    <w:rPr>
                      <w:rFonts w:hint="eastAsia" w:cs="Times New Roman"/>
                      <w:color w:val="FF0000"/>
                      <w:sz w:val="21"/>
                      <w:szCs w:val="21"/>
                      <w:lang w:val="en-US" w:eastAsia="zh-CN"/>
                    </w:rPr>
                  </w:pPr>
                  <w:r>
                    <w:rPr>
                      <w:rFonts w:hint="eastAsia" w:cs="Times New Roman"/>
                      <w:color w:val="auto"/>
                      <w:sz w:val="21"/>
                      <w:szCs w:val="21"/>
                      <w:lang w:val="en-US" w:eastAsia="zh-CN"/>
                    </w:rPr>
                    <w:t>0.2</w:t>
                  </w:r>
                  <w:r>
                    <w:rPr>
                      <w:rFonts w:hint="default" w:ascii="Times New Roman" w:hAnsi="Times New Roman" w:cs="Times New Roman"/>
                      <w:color w:val="auto"/>
                      <w:sz w:val="21"/>
                      <w:szCs w:val="21"/>
                      <w:lang w:val="en-US" w:eastAsia="zh-CN"/>
                    </w:rPr>
                    <w:t>t/a</w:t>
                  </w:r>
                </w:p>
              </w:tc>
              <w:tc>
                <w:tcPr>
                  <w:tcW w:w="1405" w:type="dxa"/>
                  <w:vAlign w:val="center"/>
                </w:tcPr>
                <w:p>
                  <w:pPr>
                    <w:tabs>
                      <w:tab w:val="left" w:pos="677"/>
                    </w:tabs>
                    <w:jc w:val="center"/>
                    <w:rPr>
                      <w:rFonts w:hint="default" w:ascii="Times New Roman" w:hAnsi="Times New Roman" w:cs="Times New Roman"/>
                      <w:color w:val="FF0000"/>
                      <w:sz w:val="21"/>
                      <w:szCs w:val="21"/>
                    </w:rPr>
                  </w:pPr>
                  <w:r>
                    <w:rPr>
                      <w:rFonts w:hint="default" w:ascii="Times New Roman" w:hAnsi="Times New Roman" w:cs="Times New Roman"/>
                      <w:color w:val="auto"/>
                      <w:sz w:val="21"/>
                      <w:szCs w:val="21"/>
                    </w:rPr>
                    <w:t>类比估算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0" w:type="auto"/>
                  <w:vAlign w:val="center"/>
                </w:tcPr>
                <w:p>
                  <w:pPr>
                    <w:tabs>
                      <w:tab w:val="left" w:pos="677"/>
                    </w:tabs>
                    <w:jc w:val="center"/>
                    <w:rPr>
                      <w:rFonts w:hint="default" w:cs="Times New Roman"/>
                      <w:color w:val="auto"/>
                      <w:sz w:val="21"/>
                      <w:szCs w:val="21"/>
                      <w:lang w:val="en-US" w:eastAsia="zh-CN"/>
                    </w:rPr>
                  </w:pPr>
                  <w:r>
                    <w:rPr>
                      <w:rFonts w:hint="eastAsia" w:cs="Times New Roman"/>
                      <w:color w:val="auto"/>
                      <w:sz w:val="21"/>
                      <w:szCs w:val="21"/>
                      <w:lang w:val="en-US" w:eastAsia="zh-CN"/>
                    </w:rPr>
                    <w:t>14</w:t>
                  </w:r>
                </w:p>
              </w:tc>
              <w:tc>
                <w:tcPr>
                  <w:tcW w:w="1188" w:type="dxa"/>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喷枪清洗废液</w:t>
                  </w:r>
                </w:p>
              </w:tc>
              <w:tc>
                <w:tcPr>
                  <w:tcW w:w="1572"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w:t>
                  </w:r>
                </w:p>
              </w:tc>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液态</w:t>
                  </w:r>
                </w:p>
              </w:tc>
              <w:tc>
                <w:tcPr>
                  <w:tcW w:w="0" w:type="auto"/>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油漆</w:t>
                  </w:r>
                </w:p>
              </w:tc>
              <w:tc>
                <w:tcPr>
                  <w:tcW w:w="0" w:type="auto"/>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0.2</w:t>
                  </w:r>
                  <w:r>
                    <w:rPr>
                      <w:rFonts w:hint="eastAsia"/>
                      <w:color w:val="auto"/>
                      <w:sz w:val="21"/>
                      <w:szCs w:val="21"/>
                    </w:rPr>
                    <w:t>t/a</w:t>
                  </w:r>
                </w:p>
              </w:tc>
              <w:tc>
                <w:tcPr>
                  <w:tcW w:w="140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color w:val="auto"/>
                      <w:sz w:val="21"/>
                      <w:szCs w:val="21"/>
                    </w:rPr>
                    <w:t>类比估算</w:t>
                  </w:r>
                </w:p>
              </w:tc>
            </w:tr>
          </w:tbl>
          <w:p>
            <w:pPr>
              <w:tabs>
                <w:tab w:val="left" w:pos="4288"/>
              </w:tabs>
              <w:spacing w:line="240" w:lineRule="auto"/>
              <w:ind w:firstLine="480" w:firstLineChars="200"/>
              <w:outlineLvl w:val="2"/>
              <w:rPr>
                <w:rFonts w:hint="default" w:ascii="Times New Roman" w:hAnsi="Times New Roman" w:cs="Times New Roman"/>
                <w:color w:val="FF0000"/>
                <w:szCs w:val="24"/>
              </w:rPr>
            </w:pP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（2）副产物属性判定</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根据《固体废物鉴别标准通则》的规定进行判定。固体废物属性判定结果见表4-</w:t>
            </w:r>
            <w:r>
              <w:rPr>
                <w:rFonts w:hint="eastAsia" w:cs="Times New Roman"/>
                <w:color w:val="auto"/>
                <w:szCs w:val="24"/>
                <w:lang w:val="en-US" w:eastAsia="zh-CN"/>
              </w:rPr>
              <w:t>16</w:t>
            </w:r>
            <w:r>
              <w:rPr>
                <w:rFonts w:hint="default" w:ascii="Times New Roman" w:hAnsi="Times New Roman" w:cs="Times New Roman"/>
                <w:color w:val="auto"/>
                <w:szCs w:val="24"/>
              </w:rPr>
              <w:t>，表中的“判定依据”指《固体废物鉴别标准通则》中“4、依据产生来源的固体废物鉴别”中的内容。</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16</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本项目副产物属性判定</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1"/>
              <w:gridCol w:w="1356"/>
              <w:gridCol w:w="1548"/>
              <w:gridCol w:w="770"/>
              <w:gridCol w:w="1137"/>
              <w:gridCol w:w="1107"/>
              <w:gridCol w:w="11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dxa"/>
                  <w:vAlign w:val="center"/>
                </w:tcPr>
                <w:p>
                  <w:pPr>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1356" w:type="dxa"/>
                  <w:vAlign w:val="center"/>
                </w:tcPr>
                <w:p>
                  <w:pPr>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名称</w:t>
                  </w:r>
                </w:p>
              </w:tc>
              <w:tc>
                <w:tcPr>
                  <w:tcW w:w="1548" w:type="dxa"/>
                  <w:vAlign w:val="center"/>
                </w:tcPr>
                <w:p>
                  <w:pPr>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产生工序</w:t>
                  </w:r>
                </w:p>
              </w:tc>
              <w:tc>
                <w:tcPr>
                  <w:tcW w:w="770" w:type="dxa"/>
                  <w:vAlign w:val="center"/>
                </w:tcPr>
                <w:p>
                  <w:pPr>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形态</w:t>
                  </w:r>
                </w:p>
              </w:tc>
              <w:tc>
                <w:tcPr>
                  <w:tcW w:w="1137" w:type="dxa"/>
                  <w:vAlign w:val="center"/>
                </w:tcPr>
                <w:p>
                  <w:pPr>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主要成分</w:t>
                  </w:r>
                </w:p>
              </w:tc>
              <w:tc>
                <w:tcPr>
                  <w:tcW w:w="1107" w:type="dxa"/>
                  <w:vAlign w:val="center"/>
                </w:tcPr>
                <w:p>
                  <w:pPr>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是否属于固体废物</w:t>
                  </w:r>
                </w:p>
              </w:tc>
              <w:tc>
                <w:tcPr>
                  <w:tcW w:w="1136" w:type="dxa"/>
                  <w:vAlign w:val="center"/>
                </w:tcPr>
                <w:p>
                  <w:pPr>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判定依据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1</w:t>
                  </w:r>
                </w:p>
              </w:tc>
              <w:tc>
                <w:tcPr>
                  <w:tcW w:w="1356"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sz w:val="21"/>
                      <w:szCs w:val="21"/>
                      <w:lang w:val="en-US" w:eastAsia="zh-CN"/>
                    </w:rPr>
                    <w:t>废滤芯及废布袋</w:t>
                  </w:r>
                </w:p>
              </w:tc>
              <w:tc>
                <w:tcPr>
                  <w:tcW w:w="1548"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除尘工序</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rPr>
                    <w:t>固态</w:t>
                  </w:r>
                </w:p>
              </w:tc>
              <w:tc>
                <w:tcPr>
                  <w:tcW w:w="11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滤芯、滤袋</w:t>
                  </w:r>
                </w:p>
              </w:tc>
              <w:tc>
                <w:tcPr>
                  <w:tcW w:w="1107" w:type="dxa"/>
                  <w:vAlign w:val="center"/>
                </w:tcPr>
                <w:p>
                  <w:pPr>
                    <w:snapToGrid w:val="0"/>
                    <w:jc w:val="center"/>
                    <w:rPr>
                      <w:rFonts w:hint="default" w:ascii="Times New Roman" w:hAnsi="Times New Roman" w:eastAsia="宋体" w:cs="Times New Roman"/>
                      <w:bCs/>
                      <w:color w:val="auto"/>
                      <w:sz w:val="21"/>
                      <w:szCs w:val="21"/>
                      <w:lang w:eastAsia="zh-CN"/>
                    </w:rPr>
                  </w:pPr>
                  <w:r>
                    <w:rPr>
                      <w:rFonts w:hint="default" w:ascii="Times New Roman" w:hAnsi="Times New Roman" w:cs="Times New Roman"/>
                      <w:bCs/>
                      <w:color w:val="auto"/>
                      <w:sz w:val="21"/>
                      <w:szCs w:val="21"/>
                      <w:lang w:val="en-US" w:eastAsia="zh-CN"/>
                    </w:rPr>
                    <w:t>是</w:t>
                  </w:r>
                </w:p>
              </w:tc>
              <w:tc>
                <w:tcPr>
                  <w:tcW w:w="1136" w:type="dxa"/>
                  <w:vMerge w:val="restart"/>
                  <w:vAlign w:val="center"/>
                </w:tcPr>
                <w:p>
                  <w:pPr>
                    <w:tabs>
                      <w:tab w:val="left" w:pos="677"/>
                    </w:tabs>
                    <w:jc w:val="center"/>
                    <w:rPr>
                      <w:rFonts w:hint="default" w:ascii="Times New Roman" w:hAnsi="Times New Roman" w:cs="Times New Roman"/>
                      <w:bCs/>
                      <w:color w:val="FF0000"/>
                      <w:sz w:val="21"/>
                      <w:szCs w:val="21"/>
                    </w:rPr>
                  </w:pPr>
                  <w:r>
                    <w:rPr>
                      <w:rFonts w:hint="default" w:ascii="Times New Roman" w:hAnsi="Times New Roman" w:cs="Times New Roman"/>
                      <w:color w:val="auto"/>
                      <w:sz w:val="21"/>
                      <w:szCs w:val="21"/>
                    </w:rPr>
                    <w:t>GB34330-2017《固体废物鉴别标准通则》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2</w:t>
                  </w:r>
                </w:p>
              </w:tc>
              <w:tc>
                <w:tcPr>
                  <w:tcW w:w="1356"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rPr>
                    <w:t>收集的塑粉</w:t>
                  </w:r>
                </w:p>
              </w:tc>
              <w:tc>
                <w:tcPr>
                  <w:tcW w:w="1548" w:type="dxa"/>
                  <w:vAlign w:val="center"/>
                </w:tcPr>
                <w:p>
                  <w:pPr>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滤芯除尘工序</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1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塑粉</w:t>
                  </w:r>
                </w:p>
              </w:tc>
              <w:tc>
                <w:tcPr>
                  <w:tcW w:w="1107" w:type="dxa"/>
                  <w:vAlign w:val="center"/>
                </w:tcPr>
                <w:p>
                  <w:pPr>
                    <w:snapToGrid w:val="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lang w:val="en-US" w:eastAsia="zh-CN"/>
                    </w:rPr>
                    <w:t>否</w:t>
                  </w:r>
                </w:p>
              </w:tc>
              <w:tc>
                <w:tcPr>
                  <w:tcW w:w="1136" w:type="dxa"/>
                  <w:vMerge w:val="continue"/>
                  <w:vAlign w:val="center"/>
                </w:tcPr>
                <w:p>
                  <w:pPr>
                    <w:snapToGrid w:val="0"/>
                    <w:jc w:val="center"/>
                    <w:rPr>
                      <w:rFonts w:hint="default" w:ascii="Times New Roman" w:hAnsi="Times New Roman" w:cs="Times New Roman"/>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3</w:t>
                  </w:r>
                </w:p>
              </w:tc>
              <w:tc>
                <w:tcPr>
                  <w:tcW w:w="1356"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废塑粉</w:t>
                  </w:r>
                </w:p>
              </w:tc>
              <w:tc>
                <w:tcPr>
                  <w:tcW w:w="1548" w:type="dxa"/>
                  <w:vAlign w:val="center"/>
                </w:tcPr>
                <w:p>
                  <w:pPr>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除尘工序</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rPr>
                    <w:t>固态</w:t>
                  </w:r>
                </w:p>
              </w:tc>
              <w:tc>
                <w:tcPr>
                  <w:tcW w:w="11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塑粉</w:t>
                  </w:r>
                </w:p>
              </w:tc>
              <w:tc>
                <w:tcPr>
                  <w:tcW w:w="1107"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cs="Times New Roman"/>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01"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4</w:t>
                  </w:r>
                </w:p>
              </w:tc>
              <w:tc>
                <w:tcPr>
                  <w:tcW w:w="1356"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废金刚砂</w:t>
                  </w:r>
                </w:p>
              </w:tc>
              <w:tc>
                <w:tcPr>
                  <w:tcW w:w="1548" w:type="dxa"/>
                  <w:vAlign w:val="center"/>
                </w:tcPr>
                <w:p>
                  <w:pPr>
                    <w:snapToGrid w:val="0"/>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rPr>
                    <w:t>抛丸</w:t>
                  </w:r>
                  <w:r>
                    <w:rPr>
                      <w:rFonts w:hint="eastAsia"/>
                      <w:color w:val="auto"/>
                      <w:sz w:val="21"/>
                      <w:szCs w:val="21"/>
                      <w:lang w:val="en-US" w:eastAsia="zh-CN"/>
                    </w:rPr>
                    <w:t>工序</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1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金刚砂</w:t>
                  </w:r>
                </w:p>
              </w:tc>
              <w:tc>
                <w:tcPr>
                  <w:tcW w:w="1107"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cs="Times New Roman"/>
                      <w:bCs/>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5</w:t>
                  </w:r>
                </w:p>
              </w:tc>
              <w:tc>
                <w:tcPr>
                  <w:tcW w:w="1356"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一般废弃包装材料</w:t>
                  </w:r>
                </w:p>
              </w:tc>
              <w:tc>
                <w:tcPr>
                  <w:tcW w:w="1548" w:type="dxa"/>
                  <w:vAlign w:val="center"/>
                </w:tcPr>
                <w:p>
                  <w:pPr>
                    <w:snapToGrid w:val="0"/>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rPr>
                    <w:t>原料包装</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rPr>
                    <w:t>固态</w:t>
                  </w:r>
                </w:p>
              </w:tc>
              <w:tc>
                <w:tcPr>
                  <w:tcW w:w="11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包装袋、纸箱</w:t>
                  </w:r>
                </w:p>
              </w:tc>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6</w:t>
                  </w:r>
                </w:p>
              </w:tc>
              <w:tc>
                <w:tcPr>
                  <w:tcW w:w="1356"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收集的金属粉尘</w:t>
                  </w:r>
                </w:p>
              </w:tc>
              <w:tc>
                <w:tcPr>
                  <w:tcW w:w="1548" w:type="dxa"/>
                  <w:vAlign w:val="center"/>
                </w:tcPr>
                <w:p>
                  <w:pPr>
                    <w:snapToGrid w:val="0"/>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除尘工序</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1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金属件</w:t>
                  </w:r>
                </w:p>
              </w:tc>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7</w:t>
                  </w:r>
                </w:p>
              </w:tc>
              <w:tc>
                <w:tcPr>
                  <w:tcW w:w="1356"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废催化块</w:t>
                  </w:r>
                </w:p>
              </w:tc>
              <w:tc>
                <w:tcPr>
                  <w:tcW w:w="1548" w:type="dxa"/>
                  <w:vAlign w:val="center"/>
                </w:tcPr>
                <w:p>
                  <w:pPr>
                    <w:snapToGrid w:val="0"/>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有机废气处理</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rPr>
                    <w:t>固态</w:t>
                  </w:r>
                </w:p>
              </w:tc>
              <w:tc>
                <w:tcPr>
                  <w:tcW w:w="11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催化块</w:t>
                  </w:r>
                </w:p>
              </w:tc>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8</w:t>
                  </w:r>
                </w:p>
              </w:tc>
              <w:tc>
                <w:tcPr>
                  <w:tcW w:w="1356"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漆渣</w:t>
                  </w:r>
                </w:p>
              </w:tc>
              <w:tc>
                <w:tcPr>
                  <w:tcW w:w="1548" w:type="dxa"/>
                  <w:vAlign w:val="center"/>
                </w:tcPr>
                <w:p>
                  <w:pPr>
                    <w:snapToGrid w:val="0"/>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喷漆及刷漆工序</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rPr>
                    <w:t>固态</w:t>
                  </w:r>
                </w:p>
              </w:tc>
              <w:tc>
                <w:tcPr>
                  <w:tcW w:w="11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漆渣</w:t>
                  </w:r>
                </w:p>
              </w:tc>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w:t>
                  </w:r>
                </w:p>
              </w:tc>
              <w:tc>
                <w:tcPr>
                  <w:tcW w:w="1356"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废活性炭</w:t>
                  </w:r>
                </w:p>
              </w:tc>
              <w:tc>
                <w:tcPr>
                  <w:tcW w:w="1548" w:type="dxa"/>
                  <w:vAlign w:val="center"/>
                </w:tcPr>
                <w:p>
                  <w:pPr>
                    <w:snapToGrid w:val="0"/>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有机废气处理</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1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活性炭</w:t>
                  </w:r>
                </w:p>
              </w:tc>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eastAsia" w:cs="Times New Roman"/>
                      <w:color w:val="auto"/>
                      <w:sz w:val="21"/>
                      <w:szCs w:val="21"/>
                      <w:lang w:val="en-US" w:eastAsia="zh-CN"/>
                    </w:rPr>
                  </w:pPr>
                  <w:r>
                    <w:rPr>
                      <w:rFonts w:hint="eastAsia" w:cs="Times New Roman"/>
                      <w:color w:val="auto"/>
                      <w:sz w:val="21"/>
                      <w:szCs w:val="21"/>
                      <w:lang w:val="en-US" w:eastAsia="zh-CN"/>
                    </w:rPr>
                    <w:t>10</w:t>
                  </w:r>
                </w:p>
              </w:tc>
              <w:tc>
                <w:tcPr>
                  <w:tcW w:w="1356" w:type="dxa"/>
                  <w:vAlign w:val="center"/>
                </w:tcPr>
                <w:p>
                  <w:pPr>
                    <w:snapToGrid w:val="0"/>
                    <w:jc w:val="center"/>
                    <w:rPr>
                      <w:rFonts w:hint="eastAsia" w:cs="Times New Roman"/>
                      <w:color w:val="auto"/>
                      <w:sz w:val="21"/>
                      <w:szCs w:val="21"/>
                      <w:lang w:val="en-US" w:eastAsia="zh-CN"/>
                    </w:rPr>
                  </w:pPr>
                  <w:r>
                    <w:rPr>
                      <w:rFonts w:hint="eastAsia"/>
                      <w:color w:val="auto"/>
                      <w:sz w:val="21"/>
                      <w:szCs w:val="21"/>
                      <w:lang w:val="en-US" w:eastAsia="zh-CN"/>
                    </w:rPr>
                    <w:t>废过滤棉</w:t>
                  </w:r>
                </w:p>
              </w:tc>
              <w:tc>
                <w:tcPr>
                  <w:tcW w:w="1548" w:type="dxa"/>
                  <w:vAlign w:val="center"/>
                </w:tcPr>
                <w:p>
                  <w:pPr>
                    <w:snapToGrid w:val="0"/>
                    <w:jc w:val="center"/>
                    <w:rPr>
                      <w:rFonts w:hint="default" w:ascii="Times New Roman" w:hAnsi="Times New Roman" w:cs="Times New Roman"/>
                      <w:color w:val="FF0000"/>
                      <w:sz w:val="21"/>
                      <w:szCs w:val="21"/>
                      <w:lang w:val="en-US" w:eastAsia="zh-CN"/>
                    </w:rPr>
                  </w:pPr>
                  <w:r>
                    <w:rPr>
                      <w:rFonts w:hint="eastAsia"/>
                      <w:color w:val="auto"/>
                      <w:sz w:val="21"/>
                      <w:szCs w:val="21"/>
                    </w:rPr>
                    <w:t>废气处理</w:t>
                  </w:r>
                </w:p>
              </w:tc>
              <w:tc>
                <w:tcPr>
                  <w:tcW w:w="770" w:type="dxa"/>
                  <w:vAlign w:val="center"/>
                </w:tcPr>
                <w:p>
                  <w:pPr>
                    <w:tabs>
                      <w:tab w:val="left" w:pos="677"/>
                    </w:tabs>
                    <w:jc w:val="center"/>
                    <w:rPr>
                      <w:rFonts w:hint="default" w:ascii="Times New Roman" w:hAnsi="Times New Roman" w:cs="Times New Roman"/>
                      <w:color w:val="FF0000"/>
                      <w:sz w:val="21"/>
                      <w:szCs w:val="21"/>
                      <w:lang w:val="en-US" w:eastAsia="zh-CN"/>
                    </w:rPr>
                  </w:pPr>
                  <w:r>
                    <w:rPr>
                      <w:rFonts w:hint="default" w:ascii="Times New Roman" w:hAnsi="Times New Roman" w:cs="Times New Roman"/>
                      <w:color w:val="auto"/>
                      <w:sz w:val="21"/>
                      <w:szCs w:val="21"/>
                      <w:lang w:val="en-US" w:eastAsia="zh-CN"/>
                    </w:rPr>
                    <w:t>固态</w:t>
                  </w:r>
                </w:p>
              </w:tc>
              <w:tc>
                <w:tcPr>
                  <w:tcW w:w="1137" w:type="dxa"/>
                  <w:vAlign w:val="center"/>
                </w:tcPr>
                <w:p>
                  <w:pPr>
                    <w:tabs>
                      <w:tab w:val="left" w:pos="677"/>
                    </w:tabs>
                    <w:jc w:val="center"/>
                    <w:rPr>
                      <w:rFonts w:hint="eastAsia" w:cs="Times New Roman"/>
                      <w:color w:val="auto"/>
                      <w:sz w:val="21"/>
                      <w:szCs w:val="21"/>
                      <w:lang w:val="en-US" w:eastAsia="zh-CN"/>
                    </w:rPr>
                  </w:pPr>
                  <w:r>
                    <w:rPr>
                      <w:rFonts w:hint="eastAsia"/>
                      <w:color w:val="auto"/>
                      <w:sz w:val="21"/>
                      <w:szCs w:val="21"/>
                      <w:lang w:val="en-US" w:eastAsia="zh-CN"/>
                    </w:rPr>
                    <w:t>过滤棉</w:t>
                  </w:r>
                </w:p>
              </w:tc>
              <w:tc>
                <w:tcPr>
                  <w:tcW w:w="0" w:type="auto"/>
                  <w:vAlign w:val="center"/>
                </w:tcPr>
                <w:p>
                  <w:pPr>
                    <w:snapToGrid w:val="0"/>
                    <w:jc w:val="center"/>
                    <w:rPr>
                      <w:rFonts w:hint="default" w:ascii="Times New Roman" w:hAnsi="Times New Roman" w:cs="Times New Roman"/>
                      <w:bCs/>
                      <w:color w:val="auto"/>
                      <w:sz w:val="21"/>
                      <w:szCs w:val="21"/>
                      <w:lang w:val="en-US" w:eastAsia="zh-CN"/>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cs="Times New Roman"/>
                      <w:color w:val="auto"/>
                      <w:sz w:val="21"/>
                      <w:szCs w:val="21"/>
                      <w:lang w:val="en-US" w:eastAsia="zh-CN"/>
                    </w:rPr>
                  </w:pPr>
                  <w:r>
                    <w:rPr>
                      <w:rFonts w:hint="eastAsia" w:cs="Times New Roman"/>
                      <w:color w:val="auto"/>
                      <w:sz w:val="21"/>
                      <w:szCs w:val="21"/>
                      <w:lang w:val="en-US" w:eastAsia="zh-CN"/>
                    </w:rPr>
                    <w:t>11</w:t>
                  </w:r>
                </w:p>
              </w:tc>
              <w:tc>
                <w:tcPr>
                  <w:tcW w:w="1356" w:type="dxa"/>
                  <w:vAlign w:val="center"/>
                </w:tcPr>
                <w:p>
                  <w:pPr>
                    <w:snapToGrid w:val="0"/>
                    <w:jc w:val="center"/>
                    <w:rPr>
                      <w:rFonts w:hint="eastAsia" w:cs="Times New Roman"/>
                      <w:color w:val="auto"/>
                      <w:sz w:val="21"/>
                      <w:szCs w:val="21"/>
                      <w:lang w:val="en-US" w:eastAsia="zh-CN"/>
                    </w:rPr>
                  </w:pPr>
                  <w:r>
                    <w:rPr>
                      <w:rFonts w:hint="eastAsia"/>
                      <w:color w:val="auto"/>
                      <w:sz w:val="21"/>
                      <w:szCs w:val="21"/>
                      <w:lang w:val="en-US" w:eastAsia="zh-CN"/>
                    </w:rPr>
                    <w:t>水喷淋废液</w:t>
                  </w:r>
                </w:p>
              </w:tc>
              <w:tc>
                <w:tcPr>
                  <w:tcW w:w="1548" w:type="dxa"/>
                  <w:vAlign w:val="center"/>
                </w:tcPr>
                <w:p>
                  <w:pPr>
                    <w:jc w:val="center"/>
                    <w:rPr>
                      <w:rFonts w:hint="default" w:ascii="Times New Roman" w:hAnsi="Times New Roman" w:cs="Times New Roman"/>
                      <w:color w:val="FF0000"/>
                      <w:sz w:val="21"/>
                      <w:szCs w:val="21"/>
                      <w:lang w:val="en-US" w:eastAsia="zh-CN"/>
                    </w:rPr>
                  </w:pPr>
                  <w:r>
                    <w:rPr>
                      <w:rFonts w:hint="eastAsia"/>
                      <w:color w:val="auto"/>
                      <w:sz w:val="21"/>
                      <w:szCs w:val="21"/>
                      <w:lang w:val="en-US" w:eastAsia="zh-CN"/>
                    </w:rPr>
                    <w:t>有机废气处理</w:t>
                  </w:r>
                </w:p>
              </w:tc>
              <w:tc>
                <w:tcPr>
                  <w:tcW w:w="770" w:type="dxa"/>
                  <w:vAlign w:val="center"/>
                </w:tcPr>
                <w:p>
                  <w:pPr>
                    <w:snapToGrid w:val="0"/>
                    <w:jc w:val="center"/>
                    <w:rPr>
                      <w:rFonts w:hint="default" w:ascii="Times New Roman" w:hAnsi="Times New Roman" w:cs="Times New Roman"/>
                      <w:color w:val="FF0000"/>
                      <w:sz w:val="21"/>
                      <w:szCs w:val="21"/>
                      <w:lang w:val="en-US" w:eastAsia="zh-CN"/>
                    </w:rPr>
                  </w:pPr>
                  <w:r>
                    <w:rPr>
                      <w:rFonts w:hint="default" w:ascii="Times New Roman" w:hAnsi="Times New Roman" w:cs="Times New Roman"/>
                      <w:color w:val="auto"/>
                      <w:sz w:val="21"/>
                      <w:szCs w:val="21"/>
                      <w:lang w:val="en-US" w:eastAsia="zh-CN"/>
                    </w:rPr>
                    <w:t>液态</w:t>
                  </w:r>
                </w:p>
              </w:tc>
              <w:tc>
                <w:tcPr>
                  <w:tcW w:w="1137"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废液</w:t>
                  </w:r>
                </w:p>
              </w:tc>
              <w:tc>
                <w:tcPr>
                  <w:tcW w:w="0" w:type="auto"/>
                  <w:vAlign w:val="center"/>
                </w:tcPr>
                <w:p>
                  <w:pPr>
                    <w:snapToGrid w:val="0"/>
                    <w:jc w:val="center"/>
                    <w:rPr>
                      <w:rFonts w:hint="default" w:ascii="Times New Roman" w:hAnsi="Times New Roman" w:cs="Times New Roman"/>
                      <w:bCs/>
                      <w:color w:val="auto"/>
                      <w:sz w:val="21"/>
                      <w:szCs w:val="21"/>
                      <w:lang w:val="en-US" w:eastAsia="zh-CN"/>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cs="Times New Roman"/>
                      <w:color w:val="auto"/>
                      <w:sz w:val="21"/>
                      <w:szCs w:val="21"/>
                      <w:lang w:val="en-US" w:eastAsia="zh-CN"/>
                    </w:rPr>
                  </w:pPr>
                  <w:r>
                    <w:rPr>
                      <w:rFonts w:hint="eastAsia" w:cs="Times New Roman"/>
                      <w:color w:val="auto"/>
                      <w:sz w:val="21"/>
                      <w:szCs w:val="21"/>
                      <w:lang w:val="en-US" w:eastAsia="zh-CN"/>
                    </w:rPr>
                    <w:t>12</w:t>
                  </w:r>
                </w:p>
              </w:tc>
              <w:tc>
                <w:tcPr>
                  <w:tcW w:w="1356" w:type="dxa"/>
                  <w:vAlign w:val="center"/>
                </w:tcPr>
                <w:p>
                  <w:pPr>
                    <w:jc w:val="center"/>
                    <w:rPr>
                      <w:rFonts w:hint="eastAsia" w:cs="Times New Roman"/>
                      <w:color w:val="auto"/>
                      <w:sz w:val="21"/>
                      <w:szCs w:val="21"/>
                      <w:lang w:val="en-US" w:eastAsia="zh-CN"/>
                    </w:rPr>
                  </w:pPr>
                  <w:r>
                    <w:rPr>
                      <w:rFonts w:hint="eastAsia"/>
                      <w:bCs/>
                      <w:color w:val="auto"/>
                      <w:sz w:val="21"/>
                      <w:szCs w:val="21"/>
                      <w:lang w:val="en-US" w:eastAsia="zh-CN"/>
                    </w:rPr>
                    <w:t>废油漆桶</w:t>
                  </w:r>
                </w:p>
              </w:tc>
              <w:tc>
                <w:tcPr>
                  <w:tcW w:w="1548" w:type="dxa"/>
                  <w:vAlign w:val="center"/>
                </w:tcPr>
                <w:p>
                  <w:pPr>
                    <w:snapToGrid w:val="0"/>
                    <w:jc w:val="center"/>
                    <w:rPr>
                      <w:rFonts w:hint="default" w:ascii="Times New Roman" w:hAnsi="Times New Roman" w:cs="Times New Roman"/>
                      <w:color w:val="FF0000"/>
                      <w:sz w:val="21"/>
                      <w:szCs w:val="21"/>
                      <w:lang w:val="en-US" w:eastAsia="zh-CN"/>
                    </w:rPr>
                  </w:pPr>
                  <w:r>
                    <w:rPr>
                      <w:rFonts w:hint="eastAsia"/>
                      <w:color w:val="auto"/>
                      <w:sz w:val="21"/>
                      <w:szCs w:val="21"/>
                      <w:lang w:val="en-US" w:eastAsia="zh-CN"/>
                    </w:rPr>
                    <w:t>油漆包装</w:t>
                  </w:r>
                </w:p>
              </w:tc>
              <w:tc>
                <w:tcPr>
                  <w:tcW w:w="770" w:type="dxa"/>
                  <w:vAlign w:val="center"/>
                </w:tcPr>
                <w:p>
                  <w:pPr>
                    <w:tabs>
                      <w:tab w:val="left" w:pos="677"/>
                    </w:tabs>
                    <w:jc w:val="center"/>
                    <w:rPr>
                      <w:rFonts w:hint="default" w:ascii="Times New Roman" w:hAnsi="Times New Roman" w:cs="Times New Roman"/>
                      <w:color w:val="FF0000"/>
                      <w:sz w:val="21"/>
                      <w:szCs w:val="21"/>
                      <w:lang w:val="en-US" w:eastAsia="zh-CN"/>
                    </w:rPr>
                  </w:pPr>
                  <w:r>
                    <w:rPr>
                      <w:rFonts w:hint="default" w:ascii="Times New Roman" w:hAnsi="Times New Roman" w:cs="Times New Roman"/>
                      <w:color w:val="auto"/>
                      <w:sz w:val="21"/>
                      <w:szCs w:val="21"/>
                      <w:lang w:val="en-US" w:eastAsia="zh-CN"/>
                    </w:rPr>
                    <w:t>固态</w:t>
                  </w:r>
                </w:p>
              </w:tc>
              <w:tc>
                <w:tcPr>
                  <w:tcW w:w="1137" w:type="dxa"/>
                  <w:vAlign w:val="center"/>
                </w:tcPr>
                <w:p>
                  <w:pPr>
                    <w:snapToGrid w:val="0"/>
                    <w:jc w:val="center"/>
                    <w:rPr>
                      <w:rFonts w:hint="default" w:cs="Times New Roman"/>
                      <w:color w:val="auto"/>
                      <w:sz w:val="21"/>
                      <w:szCs w:val="21"/>
                      <w:lang w:val="en-US" w:eastAsia="zh-CN"/>
                    </w:rPr>
                  </w:pPr>
                  <w:r>
                    <w:rPr>
                      <w:rFonts w:hint="eastAsia"/>
                      <w:color w:val="auto"/>
                      <w:sz w:val="21"/>
                      <w:szCs w:val="21"/>
                      <w:lang w:val="en-US" w:eastAsia="zh-CN"/>
                    </w:rPr>
                    <w:t>金属桶</w:t>
                  </w:r>
                </w:p>
              </w:tc>
              <w:tc>
                <w:tcPr>
                  <w:tcW w:w="0" w:type="auto"/>
                  <w:vAlign w:val="center"/>
                </w:tcPr>
                <w:p>
                  <w:pPr>
                    <w:snapToGrid w:val="0"/>
                    <w:jc w:val="center"/>
                    <w:rPr>
                      <w:rFonts w:hint="default" w:ascii="Times New Roman" w:hAnsi="Times New Roman" w:cs="Times New Roman"/>
                      <w:bCs/>
                      <w:color w:val="auto"/>
                      <w:sz w:val="21"/>
                      <w:szCs w:val="21"/>
                      <w:lang w:val="en-US" w:eastAsia="zh-CN"/>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13</w:t>
                  </w:r>
                </w:p>
              </w:tc>
              <w:tc>
                <w:tcPr>
                  <w:tcW w:w="1356"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bCs/>
                      <w:color w:val="auto"/>
                      <w:sz w:val="21"/>
                      <w:szCs w:val="21"/>
                      <w:lang w:val="en-US" w:eastAsia="zh-CN"/>
                    </w:rPr>
                    <w:t>废毛刷</w:t>
                  </w:r>
                </w:p>
              </w:tc>
              <w:tc>
                <w:tcPr>
                  <w:tcW w:w="1548" w:type="dxa"/>
                  <w:vAlign w:val="center"/>
                </w:tcPr>
                <w:p>
                  <w:pPr>
                    <w:jc w:val="center"/>
                    <w:rPr>
                      <w:rFonts w:hint="eastAsia" w:ascii="Times New Roman" w:hAnsi="Times New Roman" w:eastAsia="宋体" w:cs="Times New Roman"/>
                      <w:color w:val="FF0000"/>
                      <w:kern w:val="2"/>
                      <w:sz w:val="21"/>
                      <w:szCs w:val="21"/>
                      <w:lang w:val="en-US" w:eastAsia="zh-CN" w:bidi="ar-SA"/>
                    </w:rPr>
                  </w:pPr>
                  <w:r>
                    <w:rPr>
                      <w:rFonts w:hint="eastAsia"/>
                      <w:color w:val="auto"/>
                      <w:sz w:val="21"/>
                      <w:szCs w:val="21"/>
                      <w:lang w:val="en-US" w:eastAsia="zh-CN"/>
                    </w:rPr>
                    <w:t>刷漆工序</w:t>
                  </w:r>
                </w:p>
              </w:tc>
              <w:tc>
                <w:tcPr>
                  <w:tcW w:w="770"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137"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毛刷</w:t>
                  </w:r>
                </w:p>
              </w:tc>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0" w:type="auto"/>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14</w:t>
                  </w:r>
                </w:p>
              </w:tc>
              <w:tc>
                <w:tcPr>
                  <w:tcW w:w="1356"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喷枪清洗废液</w:t>
                  </w:r>
                </w:p>
              </w:tc>
              <w:tc>
                <w:tcPr>
                  <w:tcW w:w="154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w:t>
                  </w:r>
                </w:p>
              </w:tc>
              <w:tc>
                <w:tcPr>
                  <w:tcW w:w="770"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液态</w:t>
                  </w:r>
                </w:p>
              </w:tc>
              <w:tc>
                <w:tcPr>
                  <w:tcW w:w="11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油漆</w:t>
                  </w:r>
                </w:p>
              </w:tc>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bCs/>
                      <w:color w:val="auto"/>
                      <w:sz w:val="21"/>
                      <w:szCs w:val="21"/>
                    </w:rPr>
                    <w:t>是</w:t>
                  </w:r>
                </w:p>
              </w:tc>
              <w:tc>
                <w:tcPr>
                  <w:tcW w:w="1136" w:type="dxa"/>
                  <w:vMerge w:val="continue"/>
                  <w:vAlign w:val="center"/>
                </w:tcPr>
                <w:p>
                  <w:pPr>
                    <w:snapToGrid w:val="0"/>
                    <w:jc w:val="center"/>
                    <w:rPr>
                      <w:rFonts w:hint="default" w:ascii="Times New Roman" w:hAnsi="Times New Roman" w:eastAsia="宋体" w:cs="Times New Roman"/>
                      <w:bCs/>
                      <w:color w:val="FF0000"/>
                      <w:sz w:val="21"/>
                      <w:szCs w:val="21"/>
                      <w:lang w:val="en-US" w:eastAsia="zh-CN"/>
                    </w:rPr>
                  </w:pPr>
                </w:p>
              </w:tc>
            </w:tr>
          </w:tbl>
          <w:p>
            <w:pPr>
              <w:tabs>
                <w:tab w:val="left" w:pos="4288"/>
              </w:tabs>
              <w:spacing w:line="240" w:lineRule="auto"/>
              <w:ind w:firstLine="480" w:firstLineChars="200"/>
              <w:outlineLvl w:val="2"/>
              <w:rPr>
                <w:rFonts w:hint="default" w:ascii="Times New Roman" w:hAnsi="Times New Roman" w:cs="Times New Roman"/>
                <w:color w:val="FF0000"/>
                <w:szCs w:val="24"/>
              </w:rPr>
            </w:pP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（3）危险废物属性判定</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eastAsia="宋体" w:cs="Times New Roman"/>
                <w:color w:val="auto"/>
                <w:szCs w:val="24"/>
              </w:rPr>
              <w:t>根据《国家危险废物名录》（2021版）以及</w:t>
            </w:r>
            <w:r>
              <w:rPr>
                <w:rFonts w:hint="eastAsia" w:ascii="Times New Roman" w:hAnsi="Times New Roman" w:eastAsia="宋体" w:cs="Times New Roman"/>
                <w:color w:val="auto"/>
                <w:szCs w:val="24"/>
                <w:lang w:val="en-US" w:eastAsia="zh-CN"/>
              </w:rPr>
              <w:t>《一般工业固体废物管理台账制定指南（试行）》</w:t>
            </w:r>
            <w:r>
              <w:rPr>
                <w:rFonts w:hint="default" w:ascii="Times New Roman" w:hAnsi="Times New Roman" w:eastAsia="宋体" w:cs="Times New Roman"/>
                <w:color w:val="auto"/>
                <w:szCs w:val="24"/>
              </w:rPr>
              <w:t>进行判定。具体危</w:t>
            </w:r>
            <w:r>
              <w:rPr>
                <w:rFonts w:hint="default" w:ascii="Times New Roman" w:hAnsi="Times New Roman" w:cs="Times New Roman"/>
                <w:color w:val="auto"/>
                <w:szCs w:val="24"/>
              </w:rPr>
              <w:t>险废物属性判定详见表4-</w:t>
            </w:r>
            <w:r>
              <w:rPr>
                <w:rFonts w:hint="eastAsia" w:cs="Times New Roman"/>
                <w:color w:val="auto"/>
                <w:szCs w:val="24"/>
                <w:lang w:val="en-US" w:eastAsia="zh-CN"/>
              </w:rPr>
              <w:t>17</w:t>
            </w:r>
            <w:r>
              <w:rPr>
                <w:rFonts w:hint="default" w:ascii="Times New Roman" w:hAnsi="Times New Roman" w:cs="Times New Roman"/>
                <w:color w:val="auto"/>
                <w:szCs w:val="24"/>
              </w:rPr>
              <w:t>。</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17</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危险废物属性判定</w:t>
            </w:r>
          </w:p>
          <w:tbl>
            <w:tblPr>
              <w:tblStyle w:val="29"/>
              <w:tblW w:w="765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07"/>
              <w:gridCol w:w="1967"/>
              <w:gridCol w:w="1772"/>
              <w:gridCol w:w="1065"/>
              <w:gridCol w:w="21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707"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序号</w:t>
                  </w:r>
                </w:p>
              </w:tc>
              <w:tc>
                <w:tcPr>
                  <w:tcW w:w="1967"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名称</w:t>
                  </w:r>
                </w:p>
              </w:tc>
              <w:tc>
                <w:tcPr>
                  <w:tcW w:w="1772"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产生工序</w:t>
                  </w:r>
                </w:p>
              </w:tc>
              <w:tc>
                <w:tcPr>
                  <w:tcW w:w="1065"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是否属于危险废物</w:t>
                  </w:r>
                </w:p>
              </w:tc>
              <w:tc>
                <w:tcPr>
                  <w:tcW w:w="2144" w:type="dxa"/>
                  <w:vAlign w:val="center"/>
                </w:tcPr>
                <w:p>
                  <w:pPr>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废物类别及代码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707" w:type="dxa"/>
                  <w:vAlign w:val="center"/>
                </w:tcPr>
                <w:p>
                  <w:pPr>
                    <w:snapToGrid w:val="0"/>
                    <w:jc w:val="center"/>
                    <w:rPr>
                      <w:rFonts w:hint="default" w:ascii="Times New Roman" w:hAnsi="Times New Roman" w:eastAsia="宋体" w:cs="Times New Roman"/>
                      <w:bCs/>
                      <w:color w:val="auto"/>
                      <w:sz w:val="21"/>
                      <w:szCs w:val="21"/>
                      <w:lang w:eastAsia="zh-CN"/>
                    </w:rPr>
                  </w:pPr>
                  <w:r>
                    <w:rPr>
                      <w:rFonts w:hint="default" w:ascii="Times New Roman" w:hAnsi="Times New Roman" w:cs="Times New Roman"/>
                      <w:bCs/>
                      <w:color w:val="auto"/>
                      <w:sz w:val="21"/>
                      <w:szCs w:val="21"/>
                      <w:lang w:val="en-US" w:eastAsia="zh-CN"/>
                    </w:rPr>
                    <w:t>1</w:t>
                  </w:r>
                </w:p>
              </w:tc>
              <w:tc>
                <w:tcPr>
                  <w:tcW w:w="1967"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sz w:val="21"/>
                      <w:szCs w:val="21"/>
                      <w:lang w:val="en-US" w:eastAsia="zh-CN"/>
                    </w:rPr>
                    <w:t>废滤芯及废布袋</w:t>
                  </w:r>
                </w:p>
              </w:tc>
              <w:tc>
                <w:tcPr>
                  <w:tcW w:w="1772"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除尘工序</w:t>
                  </w:r>
                </w:p>
              </w:tc>
              <w:tc>
                <w:tcPr>
                  <w:tcW w:w="1065" w:type="dxa"/>
                  <w:vAlign w:val="center"/>
                </w:tcPr>
                <w:p>
                  <w:pPr>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lang w:val="en-US" w:eastAsia="zh-CN"/>
                    </w:rPr>
                    <w:t>否</w:t>
                  </w:r>
                </w:p>
              </w:tc>
              <w:tc>
                <w:tcPr>
                  <w:tcW w:w="2144" w:type="dxa"/>
                  <w:vAlign w:val="center"/>
                </w:tcPr>
                <w:p>
                  <w:pPr>
                    <w:tabs>
                      <w:tab w:val="left" w:pos="677"/>
                    </w:tabs>
                    <w:jc w:val="center"/>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lang w:val="en-US" w:eastAsia="zh-CN"/>
                    </w:rPr>
                    <w:t>SW</w:t>
                  </w:r>
                  <w:r>
                    <w:rPr>
                      <w:rFonts w:hint="eastAsia" w:cs="Times New Roman"/>
                      <w:color w:val="auto"/>
                      <w:sz w:val="21"/>
                      <w:szCs w:val="21"/>
                      <w:lang w:val="en-US" w:eastAsia="zh-CN"/>
                    </w:rPr>
                    <w:t>59：900-009-S59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707"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2</w:t>
                  </w:r>
                </w:p>
              </w:tc>
              <w:tc>
                <w:tcPr>
                  <w:tcW w:w="1967"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废塑粉</w:t>
                  </w:r>
                </w:p>
              </w:tc>
              <w:tc>
                <w:tcPr>
                  <w:tcW w:w="177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除尘工序</w:t>
                  </w:r>
                </w:p>
              </w:tc>
              <w:tc>
                <w:tcPr>
                  <w:tcW w:w="1065"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否</w:t>
                  </w:r>
                </w:p>
              </w:tc>
              <w:tc>
                <w:tcPr>
                  <w:tcW w:w="2144" w:type="dxa"/>
                  <w:vAlign w:val="center"/>
                </w:tcPr>
                <w:p>
                  <w:pPr>
                    <w:tabs>
                      <w:tab w:val="left" w:pos="677"/>
                    </w:tabs>
                    <w:jc w:val="center"/>
                    <w:rPr>
                      <w:rFonts w:hint="default" w:cs="Times New Roman"/>
                      <w:color w:val="auto"/>
                      <w:sz w:val="21"/>
                      <w:szCs w:val="21"/>
                      <w:lang w:val="en-US" w:eastAsia="zh-CN"/>
                    </w:rPr>
                  </w:pPr>
                  <w:r>
                    <w:rPr>
                      <w:rFonts w:hint="default" w:cs="Times New Roman"/>
                      <w:color w:val="auto"/>
                      <w:sz w:val="21"/>
                      <w:szCs w:val="21"/>
                      <w:lang w:val="en-US" w:eastAsia="zh-CN"/>
                    </w:rPr>
                    <w:t>SW17</w:t>
                  </w:r>
                  <w:r>
                    <w:rPr>
                      <w:rFonts w:hint="eastAsia" w:cs="Times New Roman"/>
                      <w:color w:val="auto"/>
                      <w:sz w:val="21"/>
                      <w:szCs w:val="21"/>
                      <w:lang w:val="en-US" w:eastAsia="zh-CN"/>
                    </w:rPr>
                    <w:t>：900-009-S17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707"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3</w:t>
                  </w:r>
                </w:p>
              </w:tc>
              <w:tc>
                <w:tcPr>
                  <w:tcW w:w="1967"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废金刚砂</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抛丸</w:t>
                  </w:r>
                  <w:r>
                    <w:rPr>
                      <w:rFonts w:hint="eastAsia"/>
                      <w:color w:val="auto"/>
                      <w:sz w:val="21"/>
                      <w:szCs w:val="21"/>
                      <w:lang w:val="en-US" w:eastAsia="zh-CN"/>
                    </w:rPr>
                    <w:t>工序</w:t>
                  </w:r>
                </w:p>
              </w:tc>
              <w:tc>
                <w:tcPr>
                  <w:tcW w:w="1065"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否</w:t>
                  </w:r>
                </w:p>
              </w:tc>
              <w:tc>
                <w:tcPr>
                  <w:tcW w:w="2144" w:type="dxa"/>
                  <w:vAlign w:val="center"/>
                </w:tcPr>
                <w:p>
                  <w:pPr>
                    <w:tabs>
                      <w:tab w:val="left" w:pos="677"/>
                    </w:tabs>
                    <w:jc w:val="center"/>
                    <w:rPr>
                      <w:rFonts w:hint="default" w:cs="Times New Roman"/>
                      <w:color w:val="auto"/>
                      <w:sz w:val="21"/>
                      <w:szCs w:val="21"/>
                      <w:lang w:val="en-US" w:eastAsia="zh-CN"/>
                    </w:rPr>
                  </w:pPr>
                  <w:r>
                    <w:rPr>
                      <w:rFonts w:hint="default" w:cs="Times New Roman"/>
                      <w:color w:val="auto"/>
                      <w:sz w:val="21"/>
                      <w:szCs w:val="21"/>
                      <w:lang w:val="en-US" w:eastAsia="zh-CN"/>
                    </w:rPr>
                    <w:t>SW17</w:t>
                  </w:r>
                  <w:r>
                    <w:rPr>
                      <w:rFonts w:hint="eastAsia" w:cs="Times New Roman"/>
                      <w:color w:val="auto"/>
                      <w:sz w:val="21"/>
                      <w:szCs w:val="21"/>
                      <w:lang w:val="en-US" w:eastAsia="zh-CN"/>
                    </w:rPr>
                    <w:t>：900-001-S17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4</w:t>
                  </w:r>
                </w:p>
              </w:tc>
              <w:tc>
                <w:tcPr>
                  <w:tcW w:w="1967"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一般废弃包装材料</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原料包装</w:t>
                  </w:r>
                </w:p>
              </w:tc>
              <w:tc>
                <w:tcPr>
                  <w:tcW w:w="1065"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否</w:t>
                  </w:r>
                </w:p>
              </w:tc>
              <w:tc>
                <w:tcPr>
                  <w:tcW w:w="2144" w:type="dxa"/>
                  <w:vAlign w:val="center"/>
                </w:tcPr>
                <w:p>
                  <w:pPr>
                    <w:tabs>
                      <w:tab w:val="left" w:pos="677"/>
                    </w:tabs>
                    <w:jc w:val="center"/>
                    <w:rPr>
                      <w:rFonts w:hint="default" w:cs="Times New Roman"/>
                      <w:color w:val="auto"/>
                      <w:sz w:val="21"/>
                      <w:szCs w:val="21"/>
                      <w:lang w:val="en-US" w:eastAsia="zh-CN"/>
                    </w:rPr>
                  </w:pPr>
                  <w:r>
                    <w:rPr>
                      <w:rFonts w:hint="default" w:cs="Times New Roman"/>
                      <w:color w:val="auto"/>
                      <w:sz w:val="21"/>
                      <w:szCs w:val="21"/>
                      <w:lang w:val="en-US" w:eastAsia="zh-CN"/>
                    </w:rPr>
                    <w:t>SW17</w:t>
                  </w:r>
                  <w:r>
                    <w:rPr>
                      <w:rFonts w:hint="eastAsia" w:cs="Times New Roman"/>
                      <w:color w:val="auto"/>
                      <w:sz w:val="21"/>
                      <w:szCs w:val="21"/>
                      <w:lang w:val="en-US" w:eastAsia="zh-CN"/>
                    </w:rPr>
                    <w:t>：900-003-S17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5</w:t>
                  </w:r>
                </w:p>
              </w:tc>
              <w:tc>
                <w:tcPr>
                  <w:tcW w:w="196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收集的金属粉尘</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除尘工序</w:t>
                  </w:r>
                </w:p>
              </w:tc>
              <w:tc>
                <w:tcPr>
                  <w:tcW w:w="1065"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cs="Times New Roman"/>
                      <w:bCs/>
                      <w:color w:val="auto"/>
                      <w:sz w:val="21"/>
                      <w:szCs w:val="21"/>
                      <w:lang w:val="en-US" w:eastAsia="zh-CN"/>
                    </w:rPr>
                    <w:t>否</w:t>
                  </w:r>
                </w:p>
              </w:tc>
              <w:tc>
                <w:tcPr>
                  <w:tcW w:w="2144"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cs="Times New Roman"/>
                      <w:color w:val="auto"/>
                      <w:sz w:val="21"/>
                      <w:szCs w:val="21"/>
                      <w:lang w:val="en-US" w:eastAsia="zh-CN"/>
                    </w:rPr>
                    <w:t>SW17</w:t>
                  </w:r>
                  <w:r>
                    <w:rPr>
                      <w:rFonts w:hint="eastAsia" w:cs="Times New Roman"/>
                      <w:color w:val="auto"/>
                      <w:sz w:val="21"/>
                      <w:szCs w:val="21"/>
                      <w:lang w:val="en-US" w:eastAsia="zh-CN"/>
                    </w:rPr>
                    <w:t>：900-001-S17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6</w:t>
                  </w:r>
                </w:p>
              </w:tc>
              <w:tc>
                <w:tcPr>
                  <w:tcW w:w="1967"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废催化块</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Cs/>
                      <w:color w:val="auto"/>
                      <w:sz w:val="21"/>
                      <w:szCs w:val="21"/>
                      <w:lang w:val="en-US" w:eastAsia="zh-CN"/>
                    </w:rPr>
                    <w:t>否</w:t>
                  </w:r>
                </w:p>
              </w:tc>
              <w:tc>
                <w:tcPr>
                  <w:tcW w:w="2144"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SW</w:t>
                  </w:r>
                  <w:r>
                    <w:rPr>
                      <w:rFonts w:hint="eastAsia" w:cs="Times New Roman"/>
                      <w:color w:val="auto"/>
                      <w:sz w:val="21"/>
                      <w:szCs w:val="21"/>
                      <w:lang w:val="en-US" w:eastAsia="zh-CN"/>
                    </w:rPr>
                    <w:t>59：900-004-S59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7</w:t>
                  </w:r>
                </w:p>
              </w:tc>
              <w:tc>
                <w:tcPr>
                  <w:tcW w:w="1967"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漆渣</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喷漆及刷漆工序</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是</w:t>
                  </w:r>
                </w:p>
              </w:tc>
              <w:tc>
                <w:tcPr>
                  <w:tcW w:w="2144"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12</w:t>
                  </w: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252</w:t>
                  </w:r>
                  <w:r>
                    <w:rPr>
                      <w:rFonts w:hint="default" w:ascii="Times New Roman" w:hAnsi="Times New Roman" w:cs="Times New Roman"/>
                      <w:color w:val="auto"/>
                      <w:sz w:val="21"/>
                      <w:szCs w:val="21"/>
                      <w:lang w:val="en-US" w:eastAsia="zh-CN"/>
                    </w:rPr>
                    <w:t>-1</w:t>
                  </w:r>
                  <w:r>
                    <w:rPr>
                      <w:rFonts w:hint="eastAsia" w:ascii="Times New Roman" w:hAnsi="Times New Roman" w:cs="Times New Roman"/>
                      <w:color w:val="auto"/>
                      <w:sz w:val="21"/>
                      <w:szCs w:val="21"/>
                      <w:lang w:val="en-US" w:eastAsia="zh-CN"/>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8</w:t>
                  </w:r>
                </w:p>
              </w:tc>
              <w:tc>
                <w:tcPr>
                  <w:tcW w:w="196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废活性炭</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是</w:t>
                  </w:r>
                </w:p>
              </w:tc>
              <w:tc>
                <w:tcPr>
                  <w:tcW w:w="2144"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039</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9</w:t>
                  </w:r>
                </w:p>
              </w:tc>
              <w:tc>
                <w:tcPr>
                  <w:tcW w:w="196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废过滤棉</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废气处理</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是</w:t>
                  </w:r>
                </w:p>
              </w:tc>
              <w:tc>
                <w:tcPr>
                  <w:tcW w:w="2144"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cs="Times New Roman"/>
                      <w:bCs/>
                      <w:color w:val="auto"/>
                      <w:kern w:val="2"/>
                      <w:sz w:val="21"/>
                      <w:szCs w:val="21"/>
                      <w:lang w:val="en-US" w:eastAsia="zh-CN" w:bidi="ar-SA"/>
                    </w:rPr>
                  </w:pPr>
                  <w:r>
                    <w:rPr>
                      <w:rFonts w:hint="eastAsia" w:cs="Times New Roman"/>
                      <w:bCs/>
                      <w:color w:val="auto"/>
                      <w:kern w:val="2"/>
                      <w:sz w:val="21"/>
                      <w:szCs w:val="21"/>
                      <w:lang w:val="en-US" w:eastAsia="zh-CN" w:bidi="ar-SA"/>
                    </w:rPr>
                    <w:t>10</w:t>
                  </w:r>
                </w:p>
              </w:tc>
              <w:tc>
                <w:tcPr>
                  <w:tcW w:w="1967"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水喷淋废液</w:t>
                  </w:r>
                </w:p>
              </w:tc>
              <w:tc>
                <w:tcPr>
                  <w:tcW w:w="177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是</w:t>
                  </w:r>
                </w:p>
              </w:tc>
              <w:tc>
                <w:tcPr>
                  <w:tcW w:w="2144"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cs="Times New Roman"/>
                      <w:bCs/>
                      <w:color w:val="auto"/>
                      <w:kern w:val="2"/>
                      <w:sz w:val="21"/>
                      <w:szCs w:val="21"/>
                      <w:lang w:val="en-US" w:eastAsia="zh-CN" w:bidi="ar-SA"/>
                    </w:rPr>
                  </w:pPr>
                  <w:r>
                    <w:rPr>
                      <w:rFonts w:hint="eastAsia" w:cs="Times New Roman"/>
                      <w:bCs/>
                      <w:color w:val="auto"/>
                      <w:kern w:val="2"/>
                      <w:sz w:val="21"/>
                      <w:szCs w:val="21"/>
                      <w:lang w:val="en-US" w:eastAsia="zh-CN" w:bidi="ar-SA"/>
                    </w:rPr>
                    <w:t>11</w:t>
                  </w:r>
                </w:p>
              </w:tc>
              <w:tc>
                <w:tcPr>
                  <w:tcW w:w="1967"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废油漆桶</w:t>
                  </w:r>
                </w:p>
              </w:tc>
              <w:tc>
                <w:tcPr>
                  <w:tcW w:w="1772"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油漆包装</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是</w:t>
                  </w:r>
                </w:p>
              </w:tc>
              <w:tc>
                <w:tcPr>
                  <w:tcW w:w="2144"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cs="Times New Roman"/>
                      <w:bCs/>
                      <w:color w:val="auto"/>
                      <w:kern w:val="2"/>
                      <w:sz w:val="21"/>
                      <w:szCs w:val="21"/>
                      <w:lang w:val="en-US" w:eastAsia="zh-CN" w:bidi="ar-SA"/>
                    </w:rPr>
                  </w:pPr>
                  <w:r>
                    <w:rPr>
                      <w:rFonts w:hint="eastAsia" w:cs="Times New Roman"/>
                      <w:bCs/>
                      <w:color w:val="auto"/>
                      <w:kern w:val="2"/>
                      <w:sz w:val="21"/>
                      <w:szCs w:val="21"/>
                      <w:lang w:val="en-US" w:eastAsia="zh-CN" w:bidi="ar-SA"/>
                    </w:rPr>
                    <w:t>12</w:t>
                  </w:r>
                </w:p>
              </w:tc>
              <w:tc>
                <w:tcPr>
                  <w:tcW w:w="1967"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bCs/>
                      <w:color w:val="auto"/>
                      <w:sz w:val="21"/>
                      <w:szCs w:val="21"/>
                      <w:lang w:val="en-US" w:eastAsia="zh-CN"/>
                    </w:rPr>
                    <w:t>废毛刷</w:t>
                  </w:r>
                </w:p>
              </w:tc>
              <w:tc>
                <w:tcPr>
                  <w:tcW w:w="177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刷漆工序</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是</w:t>
                  </w:r>
                </w:p>
              </w:tc>
              <w:tc>
                <w:tcPr>
                  <w:tcW w:w="2144"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jc w:val="center"/>
              </w:trPr>
              <w:tc>
                <w:tcPr>
                  <w:tcW w:w="0" w:type="auto"/>
                  <w:vAlign w:val="center"/>
                </w:tcPr>
                <w:p>
                  <w:pPr>
                    <w:snapToGrid w:val="0"/>
                    <w:jc w:val="center"/>
                    <w:rPr>
                      <w:rFonts w:hint="default" w:cs="Times New Roman"/>
                      <w:bCs/>
                      <w:color w:val="auto"/>
                      <w:kern w:val="2"/>
                      <w:sz w:val="21"/>
                      <w:szCs w:val="21"/>
                      <w:lang w:val="en-US" w:eastAsia="zh-CN" w:bidi="ar-SA"/>
                    </w:rPr>
                  </w:pPr>
                  <w:r>
                    <w:rPr>
                      <w:rFonts w:hint="eastAsia" w:cs="Times New Roman"/>
                      <w:bCs/>
                      <w:color w:val="auto"/>
                      <w:kern w:val="2"/>
                      <w:sz w:val="21"/>
                      <w:szCs w:val="21"/>
                      <w:lang w:val="en-US" w:eastAsia="zh-CN" w:bidi="ar-SA"/>
                    </w:rPr>
                    <w:t>13</w:t>
                  </w:r>
                </w:p>
              </w:tc>
              <w:tc>
                <w:tcPr>
                  <w:tcW w:w="1967" w:type="dxa"/>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喷枪清洗废液</w:t>
                  </w:r>
                </w:p>
              </w:tc>
              <w:tc>
                <w:tcPr>
                  <w:tcW w:w="1772"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w:t>
                  </w:r>
                </w:p>
              </w:tc>
              <w:tc>
                <w:tcPr>
                  <w:tcW w:w="1065"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是</w:t>
                  </w:r>
                </w:p>
              </w:tc>
              <w:tc>
                <w:tcPr>
                  <w:tcW w:w="214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HW</w:t>
                  </w:r>
                  <w:r>
                    <w:rPr>
                      <w:rFonts w:hint="eastAsia"/>
                      <w:color w:val="auto"/>
                      <w:sz w:val="21"/>
                      <w:szCs w:val="21"/>
                      <w:lang w:val="en-US" w:eastAsia="zh-CN"/>
                    </w:rPr>
                    <w:t>12</w:t>
                  </w:r>
                  <w:r>
                    <w:rPr>
                      <w:rFonts w:hint="eastAsia"/>
                      <w:color w:val="auto"/>
                      <w:sz w:val="21"/>
                      <w:szCs w:val="21"/>
                    </w:rPr>
                    <w:t>：900-</w:t>
                  </w:r>
                  <w:r>
                    <w:rPr>
                      <w:rFonts w:hint="eastAsia"/>
                      <w:color w:val="auto"/>
                      <w:sz w:val="21"/>
                      <w:szCs w:val="21"/>
                      <w:lang w:val="en-US" w:eastAsia="zh-CN"/>
                    </w:rPr>
                    <w:t>252</w:t>
                  </w:r>
                  <w:r>
                    <w:rPr>
                      <w:rFonts w:hint="eastAsia"/>
                      <w:color w:val="auto"/>
                      <w:sz w:val="21"/>
                      <w:szCs w:val="21"/>
                    </w:rPr>
                    <w:t>-</w:t>
                  </w:r>
                  <w:r>
                    <w:rPr>
                      <w:rFonts w:hint="eastAsia"/>
                      <w:color w:val="auto"/>
                      <w:sz w:val="21"/>
                      <w:szCs w:val="21"/>
                      <w:lang w:val="en-US" w:eastAsia="zh-CN"/>
                    </w:rPr>
                    <w:t>12</w:t>
                  </w:r>
                </w:p>
              </w:tc>
            </w:tr>
          </w:tbl>
          <w:p>
            <w:pPr>
              <w:tabs>
                <w:tab w:val="left" w:pos="4288"/>
              </w:tabs>
              <w:spacing w:line="360" w:lineRule="auto"/>
              <w:ind w:firstLine="480" w:firstLineChars="200"/>
              <w:outlineLvl w:val="2"/>
              <w:rPr>
                <w:rFonts w:hint="default" w:ascii="Times New Roman" w:hAnsi="Times New Roman" w:cs="Times New Roman"/>
                <w:color w:val="auto"/>
                <w:szCs w:val="24"/>
              </w:rPr>
            </w:pP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（4）固体废物贮存情况</w:t>
            </w:r>
          </w:p>
          <w:p>
            <w:pPr>
              <w:tabs>
                <w:tab w:val="left" w:pos="4288"/>
              </w:tabs>
              <w:spacing w:line="360" w:lineRule="auto"/>
              <w:ind w:firstLine="480" w:firstLineChars="200"/>
              <w:outlineLvl w:val="2"/>
              <w:rPr>
                <w:rFonts w:hint="default" w:ascii="Times New Roman" w:hAnsi="Times New Roman" w:cs="Times New Roman"/>
                <w:color w:val="FF0000"/>
                <w:szCs w:val="24"/>
              </w:rPr>
            </w:pPr>
            <w:r>
              <w:rPr>
                <w:rFonts w:hint="default" w:ascii="Times New Roman" w:hAnsi="Times New Roman" w:cs="Times New Roman"/>
                <w:color w:val="auto"/>
                <w:szCs w:val="24"/>
              </w:rPr>
              <w:t>本项目生活垃圾设置垃圾桶存放，由环卫部门定期清理；</w:t>
            </w:r>
            <w:r>
              <w:rPr>
                <w:rFonts w:hint="eastAsia"/>
                <w:color w:val="auto"/>
                <w:szCs w:val="24"/>
              </w:rPr>
              <w:t>收集的塑粉回用于生产；</w:t>
            </w:r>
            <w:r>
              <w:rPr>
                <w:rFonts w:hint="eastAsia" w:eastAsia="宋体"/>
                <w:color w:val="auto"/>
                <w:szCs w:val="24"/>
                <w:lang w:val="en-US" w:eastAsia="zh-CN"/>
              </w:rPr>
              <w:t>废滤芯及废布袋</w:t>
            </w:r>
            <w:r>
              <w:rPr>
                <w:rFonts w:hint="eastAsia"/>
                <w:color w:val="auto"/>
                <w:szCs w:val="24"/>
                <w:lang w:val="en-US" w:eastAsia="zh-CN"/>
              </w:rPr>
              <w:t>、</w:t>
            </w:r>
            <w:r>
              <w:rPr>
                <w:rFonts w:hint="eastAsia" w:eastAsia="宋体"/>
                <w:color w:val="auto"/>
                <w:szCs w:val="24"/>
                <w:lang w:val="en-US" w:eastAsia="zh-CN"/>
              </w:rPr>
              <w:t>废塑粉</w:t>
            </w:r>
            <w:r>
              <w:rPr>
                <w:rFonts w:hint="eastAsia"/>
                <w:color w:val="auto"/>
                <w:szCs w:val="24"/>
                <w:lang w:val="en-US" w:eastAsia="zh-CN"/>
              </w:rPr>
              <w:t>、</w:t>
            </w:r>
            <w:r>
              <w:rPr>
                <w:rFonts w:hint="eastAsia" w:eastAsia="宋体"/>
                <w:color w:val="auto"/>
                <w:szCs w:val="24"/>
                <w:lang w:val="en-US" w:eastAsia="zh-CN"/>
              </w:rPr>
              <w:t>废催化块</w:t>
            </w:r>
            <w:r>
              <w:rPr>
                <w:rFonts w:hint="eastAsia" w:cs="Times New Roman"/>
                <w:color w:val="auto"/>
                <w:szCs w:val="24"/>
                <w:lang w:val="en-US" w:eastAsia="zh-CN"/>
              </w:rPr>
              <w:t>由</w:t>
            </w:r>
            <w:r>
              <w:rPr>
                <w:rFonts w:hint="default" w:ascii="Times New Roman" w:hAnsi="Times New Roman" w:cs="Times New Roman"/>
                <w:color w:val="auto"/>
                <w:lang w:val="en-US" w:eastAsia="zh-CN"/>
              </w:rPr>
              <w:t>供应商回收；</w:t>
            </w:r>
            <w:r>
              <w:rPr>
                <w:rFonts w:hint="eastAsia" w:eastAsia="宋体"/>
                <w:color w:val="auto"/>
                <w:szCs w:val="24"/>
                <w:lang w:val="en-US" w:eastAsia="zh-CN"/>
              </w:rPr>
              <w:t>废金刚砂、一般废弃包装材料、收集的金属粉尘</w:t>
            </w:r>
            <w:r>
              <w:rPr>
                <w:rFonts w:hint="eastAsia"/>
                <w:color w:val="auto"/>
                <w:szCs w:val="24"/>
                <w:lang w:val="en-US" w:eastAsia="zh-CN"/>
              </w:rPr>
              <w:t>出售给物资回收公司</w:t>
            </w:r>
            <w:r>
              <w:rPr>
                <w:rFonts w:hint="eastAsia" w:cs="Times New Roman"/>
                <w:color w:val="auto"/>
                <w:lang w:val="en-US" w:eastAsia="zh-CN"/>
              </w:rPr>
              <w:t>；</w:t>
            </w:r>
            <w:r>
              <w:rPr>
                <w:rFonts w:hint="eastAsia"/>
                <w:color w:val="auto"/>
              </w:rPr>
              <w:t>漆渣</w:t>
            </w:r>
            <w:r>
              <w:rPr>
                <w:rFonts w:hint="eastAsia"/>
                <w:color w:val="auto"/>
                <w:lang w:eastAsia="zh-CN"/>
              </w:rPr>
              <w:t>、</w:t>
            </w:r>
            <w:r>
              <w:rPr>
                <w:rFonts w:hint="eastAsia"/>
                <w:color w:val="auto"/>
              </w:rPr>
              <w:t>废活性炭</w:t>
            </w:r>
            <w:r>
              <w:rPr>
                <w:rFonts w:hint="eastAsia"/>
                <w:color w:val="auto"/>
                <w:lang w:eastAsia="zh-CN"/>
              </w:rPr>
              <w:t>、</w:t>
            </w:r>
            <w:r>
              <w:rPr>
                <w:rFonts w:hint="eastAsia"/>
                <w:color w:val="auto"/>
                <w:szCs w:val="24"/>
                <w:lang w:val="en-US" w:eastAsia="zh-CN"/>
              </w:rPr>
              <w:t>废过滤棉、水喷淋废液、废油漆</w:t>
            </w:r>
            <w:r>
              <w:rPr>
                <w:color w:val="auto"/>
              </w:rPr>
              <w:t>桶</w:t>
            </w:r>
            <w:r>
              <w:rPr>
                <w:rFonts w:hint="eastAsia"/>
                <w:color w:val="auto"/>
                <w:lang w:eastAsia="zh-CN"/>
              </w:rPr>
              <w:t>、</w:t>
            </w:r>
            <w:r>
              <w:rPr>
                <w:rFonts w:hint="eastAsia"/>
                <w:color w:val="auto"/>
                <w:lang w:val="en-US" w:eastAsia="zh-CN"/>
              </w:rPr>
              <w:t>废毛刷</w:t>
            </w:r>
            <w:r>
              <w:rPr>
                <w:rFonts w:hint="default" w:ascii="Times New Roman" w:hAnsi="Times New Roman" w:cs="Times New Roman"/>
                <w:color w:val="auto"/>
                <w:szCs w:val="24"/>
                <w:lang w:val="en-US" w:eastAsia="zh-CN"/>
              </w:rPr>
              <w:t>收集后</w:t>
            </w:r>
            <w:r>
              <w:rPr>
                <w:rFonts w:hint="default" w:ascii="Times New Roman" w:hAnsi="Times New Roman" w:cs="Times New Roman"/>
                <w:color w:val="auto"/>
                <w:szCs w:val="24"/>
              </w:rPr>
              <w:t>委托有资质单位进行处置。</w:t>
            </w:r>
          </w:p>
          <w:p>
            <w:pPr>
              <w:tabs>
                <w:tab w:val="left" w:pos="4288"/>
              </w:tabs>
              <w:spacing w:line="360" w:lineRule="auto"/>
              <w:ind w:firstLine="480" w:firstLineChars="200"/>
              <w:outlineLvl w:val="2"/>
              <w:rPr>
                <w:rFonts w:hint="default" w:ascii="Times New Roman" w:hAnsi="Times New Roman" w:cs="Times New Roman"/>
                <w:color w:val="FF0000"/>
                <w:szCs w:val="24"/>
              </w:rPr>
            </w:pPr>
            <w:r>
              <w:rPr>
                <w:rFonts w:hint="eastAsia" w:eastAsia="宋体"/>
                <w:color w:val="auto"/>
                <w:szCs w:val="24"/>
                <w:lang w:val="en-US" w:eastAsia="zh-CN"/>
              </w:rPr>
              <w:t>废塑粉、废金刚砂、一般废弃包装材料、收集的金属粉尘</w:t>
            </w:r>
            <w:r>
              <w:rPr>
                <w:color w:val="auto"/>
                <w:szCs w:val="24"/>
              </w:rPr>
              <w:t>在出售</w:t>
            </w:r>
            <w:r>
              <w:rPr>
                <w:rFonts w:hint="eastAsia"/>
                <w:color w:val="auto"/>
                <w:szCs w:val="24"/>
                <w:lang w:val="en-US" w:eastAsia="zh-CN"/>
              </w:rPr>
              <w:t>或回收</w:t>
            </w:r>
            <w:r>
              <w:rPr>
                <w:color w:val="auto"/>
                <w:szCs w:val="24"/>
              </w:rPr>
              <w:t>之前，需在</w:t>
            </w:r>
            <w:r>
              <w:rPr>
                <w:rFonts w:hint="eastAsia"/>
                <w:color w:val="auto"/>
                <w:szCs w:val="24"/>
                <w:lang w:val="en-US" w:eastAsia="zh-CN"/>
              </w:rPr>
              <w:t>厂区</w:t>
            </w:r>
            <w:r>
              <w:rPr>
                <w:color w:val="auto"/>
                <w:szCs w:val="24"/>
              </w:rPr>
              <w:t>内集中收集暂存于一般固废贮存场所；</w:t>
            </w:r>
            <w:r>
              <w:rPr>
                <w:rFonts w:hint="eastAsia"/>
                <w:color w:val="auto"/>
              </w:rPr>
              <w:t>漆渣</w:t>
            </w:r>
            <w:r>
              <w:rPr>
                <w:rFonts w:hint="eastAsia"/>
                <w:color w:val="auto"/>
                <w:lang w:eastAsia="zh-CN"/>
              </w:rPr>
              <w:t>、</w:t>
            </w:r>
            <w:r>
              <w:rPr>
                <w:rFonts w:hint="eastAsia"/>
                <w:color w:val="auto"/>
              </w:rPr>
              <w:t>废活性炭</w:t>
            </w:r>
            <w:r>
              <w:rPr>
                <w:rFonts w:hint="eastAsia"/>
                <w:color w:val="auto"/>
                <w:lang w:eastAsia="zh-CN"/>
              </w:rPr>
              <w:t>、</w:t>
            </w:r>
            <w:r>
              <w:rPr>
                <w:rFonts w:hint="eastAsia"/>
                <w:color w:val="auto"/>
                <w:szCs w:val="24"/>
                <w:lang w:val="en-US" w:eastAsia="zh-CN"/>
              </w:rPr>
              <w:t>废过滤棉、水喷淋废液、废油漆</w:t>
            </w:r>
            <w:r>
              <w:rPr>
                <w:color w:val="auto"/>
              </w:rPr>
              <w:t>桶</w:t>
            </w:r>
            <w:r>
              <w:rPr>
                <w:rFonts w:hint="eastAsia"/>
                <w:color w:val="auto"/>
                <w:lang w:eastAsia="zh-CN"/>
              </w:rPr>
              <w:t>、</w:t>
            </w:r>
            <w:r>
              <w:rPr>
                <w:rFonts w:hint="eastAsia"/>
                <w:color w:val="auto"/>
                <w:lang w:val="en-US" w:eastAsia="zh-CN"/>
              </w:rPr>
              <w:t>废毛刷</w:t>
            </w:r>
            <w:r>
              <w:rPr>
                <w:rFonts w:hint="default" w:ascii="Times New Roman" w:hAnsi="Times New Roman" w:cs="Times New Roman"/>
                <w:color w:val="auto"/>
                <w:szCs w:val="24"/>
              </w:rPr>
              <w:t>在委托处置之前，需在</w:t>
            </w:r>
            <w:r>
              <w:rPr>
                <w:rFonts w:hint="eastAsia" w:cs="Times New Roman"/>
                <w:color w:val="auto"/>
                <w:szCs w:val="24"/>
                <w:lang w:val="en-US" w:eastAsia="zh-CN"/>
              </w:rPr>
              <w:t>厂区</w:t>
            </w:r>
            <w:r>
              <w:rPr>
                <w:rFonts w:hint="default" w:ascii="Times New Roman" w:hAnsi="Times New Roman" w:cs="Times New Roman"/>
                <w:color w:val="auto"/>
                <w:szCs w:val="24"/>
              </w:rPr>
              <w:t>内集中收集后暂存于危废仓库中，危废仓库建筑面积约</w:t>
            </w:r>
            <w:r>
              <w:rPr>
                <w:rFonts w:hint="eastAsia" w:cs="Times New Roman"/>
                <w:color w:val="auto"/>
                <w:szCs w:val="24"/>
                <w:lang w:val="en-US" w:eastAsia="zh-CN"/>
              </w:rPr>
              <w:t>25</w:t>
            </w:r>
            <w:r>
              <w:rPr>
                <w:rFonts w:hint="default" w:ascii="Times New Roman" w:hAnsi="Times New Roman" w:cs="Times New Roman"/>
                <w:color w:val="auto"/>
                <w:szCs w:val="24"/>
              </w:rPr>
              <w:t>m</w:t>
            </w:r>
            <w:r>
              <w:rPr>
                <w:rFonts w:hint="default" w:ascii="Times New Roman" w:hAnsi="Times New Roman" w:cs="Times New Roman"/>
                <w:color w:val="auto"/>
                <w:szCs w:val="24"/>
                <w:vertAlign w:val="superscript"/>
              </w:rPr>
              <w:t>2</w:t>
            </w:r>
            <w:r>
              <w:rPr>
                <w:rFonts w:hint="default" w:ascii="Times New Roman" w:hAnsi="Times New Roman" w:cs="Times New Roman"/>
                <w:color w:val="auto"/>
                <w:szCs w:val="24"/>
              </w:rPr>
              <w:t>，贮存能力约</w:t>
            </w:r>
            <w:r>
              <w:rPr>
                <w:rFonts w:hint="eastAsia" w:cs="Times New Roman"/>
                <w:color w:val="auto"/>
                <w:szCs w:val="24"/>
                <w:lang w:val="en-US" w:eastAsia="zh-CN"/>
              </w:rPr>
              <w:t>3</w:t>
            </w:r>
            <w:r>
              <w:rPr>
                <w:rFonts w:hint="default" w:ascii="Times New Roman" w:hAnsi="Times New Roman" w:cs="Times New Roman"/>
                <w:color w:val="auto"/>
                <w:szCs w:val="24"/>
                <w:lang w:val="en-US" w:eastAsia="zh-CN"/>
              </w:rPr>
              <w:t>0</w:t>
            </w:r>
            <w:r>
              <w:rPr>
                <w:rFonts w:hint="default" w:ascii="Times New Roman" w:hAnsi="Times New Roman" w:cs="Times New Roman"/>
                <w:color w:val="auto"/>
                <w:szCs w:val="24"/>
              </w:rPr>
              <w:t>t，本项目实施后最大暂存量约为</w:t>
            </w:r>
            <w:r>
              <w:rPr>
                <w:rFonts w:hint="eastAsia" w:cs="Times New Roman"/>
                <w:color w:val="auto"/>
                <w:szCs w:val="24"/>
                <w:lang w:val="en-US" w:eastAsia="zh-CN"/>
              </w:rPr>
              <w:t>21.87</w:t>
            </w:r>
            <w:r>
              <w:rPr>
                <w:rFonts w:hint="default" w:ascii="Times New Roman" w:hAnsi="Times New Roman" w:cs="Times New Roman"/>
                <w:color w:val="auto"/>
                <w:szCs w:val="24"/>
              </w:rPr>
              <w:t>t，故满足暂存要求。企业应严格根据GB18597-2023《危险废物贮存污染控制标准》要求设计建设危废仓库。</w:t>
            </w:r>
          </w:p>
          <w:p>
            <w:pPr>
              <w:tabs>
                <w:tab w:val="left" w:pos="4288"/>
              </w:tabs>
              <w:spacing w:line="240" w:lineRule="auto"/>
              <w:ind w:firstLine="480" w:firstLineChars="200"/>
              <w:outlineLvl w:val="2"/>
              <w:rPr>
                <w:rFonts w:hint="default" w:ascii="Times New Roman" w:hAnsi="Times New Roman" w:cs="Times New Roman"/>
                <w:color w:val="FF0000"/>
                <w:szCs w:val="24"/>
              </w:rPr>
            </w:pP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（5）环境管理要求</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企业应严格对固体废物进行分类收集，建立台账制度。</w:t>
            </w:r>
            <w:r>
              <w:rPr>
                <w:rFonts w:hint="eastAsia" w:cs="Times New Roman"/>
                <w:color w:val="auto"/>
                <w:szCs w:val="24"/>
                <w:lang w:val="en-US" w:eastAsia="zh-CN"/>
              </w:rPr>
              <w:t>现有的</w:t>
            </w:r>
            <w:r>
              <w:rPr>
                <w:rFonts w:hint="default" w:ascii="Times New Roman" w:hAnsi="Times New Roman" w:cs="Times New Roman"/>
                <w:color w:val="auto"/>
                <w:szCs w:val="24"/>
              </w:rPr>
              <w:t>危废暂存区域采用混凝土浇筑，防渗系数保证符合标准要求，贮存（暂存）区域均为独立全封闭的区域，均按照《危险废物贮存污染控制标准》相关规定，做好防风、防雨、防晒、防渗漏等“四防措施”，以“减量化、资源化、无害化”为基本原则，在自身加强利用的基础上，并合理处置，另外企业必须对在生产运行过程中产生的危险固废进行申报登记，制定定期外运制度，并对危险废物的流向和最终处置进行跟踪，确保固废得到有效处置，禁止在转移过程中将危险废物排放至环境中。</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（6）影响分析</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只要企业落实好各类废物的收集、贮存、运输、利用、处置等各环节污染防治措施及环境管理措施，以“减量化、资源化、无害化”为基本原则，加强管理，及时处置，则固体废物对环境的影响不大。企业已承诺在项目投产前与有处理资质单位签订“危险废物委托处置协议书”，并委托资质单位进行处理，产生的危险废物对周边环境不会产生影响。</w:t>
            </w:r>
          </w:p>
          <w:p>
            <w:pPr>
              <w:pStyle w:val="14"/>
              <w:spacing w:line="240" w:lineRule="auto"/>
              <w:rPr>
                <w:rFonts w:hint="default" w:ascii="Times New Roman" w:hAnsi="Times New Roman" w:cs="Times New Roman"/>
                <w:color w:val="FF0000"/>
              </w:rPr>
            </w:pPr>
          </w:p>
          <w:p>
            <w:pPr>
              <w:tabs>
                <w:tab w:val="left" w:pos="4288"/>
              </w:tabs>
              <w:spacing w:line="240" w:lineRule="auto"/>
              <w:outlineLvl w:val="2"/>
              <w:rPr>
                <w:rFonts w:hint="default" w:ascii="Times New Roman" w:hAnsi="Times New Roman" w:eastAsia="幼圆" w:cs="Times New Roman"/>
                <w:color w:val="FF0000"/>
              </w:rPr>
            </w:pPr>
          </w:p>
        </w:tc>
      </w:tr>
    </w:tbl>
    <w:p>
      <w:pPr>
        <w:widowControl/>
        <w:jc w:val="left"/>
        <w:rPr>
          <w:rFonts w:hint="default" w:ascii="Times New Roman" w:hAnsi="Times New Roman" w:cs="Times New Roman"/>
          <w:color w:val="FF0000"/>
        </w:rPr>
      </w:pPr>
    </w:p>
    <w:p>
      <w:pPr>
        <w:pStyle w:val="38"/>
        <w:rPr>
          <w:rFonts w:hint="default" w:ascii="Times New Roman" w:hAnsi="Times New Roman" w:cs="Times New Roman"/>
          <w:color w:val="FF0000"/>
        </w:rPr>
        <w:sectPr>
          <w:pgSz w:w="11906" w:h="16838"/>
          <w:pgMar w:top="1440" w:right="1797" w:bottom="1440" w:left="1797" w:header="851" w:footer="992" w:gutter="0"/>
          <w:pgBorders>
            <w:top w:val="none" w:sz="0" w:space="0"/>
            <w:left w:val="none" w:sz="0" w:space="0"/>
            <w:bottom w:val="none" w:sz="0" w:space="0"/>
            <w:right w:val="none" w:sz="0" w:space="0"/>
          </w:pgBorders>
          <w:cols w:space="720" w:num="1"/>
          <w:docGrid w:type="lines" w:linePitch="312" w:charSpace="0"/>
        </w:sectPr>
      </w:pPr>
    </w:p>
    <w:tbl>
      <w:tblPr>
        <w:tblStyle w:val="29"/>
        <w:tblW w:w="13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
        <w:gridCol w:w="13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0" w:hRule="atLeast"/>
          <w:jc w:val="center"/>
        </w:trPr>
        <w:tc>
          <w:tcPr>
            <w:tcW w:w="676" w:type="dxa"/>
            <w:vAlign w:val="center"/>
          </w:tcPr>
          <w:p>
            <w:pPr>
              <w:jc w:val="center"/>
              <w:rPr>
                <w:rFonts w:hint="default" w:ascii="Times New Roman" w:hAnsi="Times New Roman" w:cs="Times New Roman"/>
                <w:b/>
                <w:color w:val="FF0000"/>
                <w:szCs w:val="24"/>
              </w:rPr>
            </w:pPr>
          </w:p>
        </w:tc>
        <w:tc>
          <w:tcPr>
            <w:tcW w:w="13216" w:type="dxa"/>
          </w:tcPr>
          <w:p>
            <w:pPr>
              <w:pStyle w:val="40"/>
              <w:spacing w:line="360" w:lineRule="auto"/>
              <w:rPr>
                <w:rFonts w:hint="default" w:ascii="Times New Roman" w:hAnsi="Times New Roman" w:eastAsia="宋体" w:cs="Times New Roman"/>
                <w:b/>
                <w:color w:val="auto"/>
                <w:sz w:val="24"/>
                <w:highlight w:val="none"/>
                <w:lang w:eastAsia="zh-CN"/>
              </w:rPr>
            </w:pPr>
            <w:r>
              <w:rPr>
                <w:rFonts w:hint="default" w:ascii="Times New Roman" w:hAnsi="Times New Roman" w:eastAsia="宋体" w:cs="Times New Roman"/>
                <w:b/>
                <w:color w:val="auto"/>
                <w:sz w:val="24"/>
                <w:highlight w:val="none"/>
              </w:rPr>
              <w:t>固废污染源强核算及环境管理要求</w:t>
            </w:r>
            <w:r>
              <w:rPr>
                <w:rFonts w:hint="default" w:ascii="Times New Roman" w:hAnsi="Times New Roman" w:eastAsia="宋体" w:cs="Times New Roman"/>
                <w:b/>
                <w:color w:val="auto"/>
                <w:sz w:val="24"/>
                <w:highlight w:val="none"/>
                <w:lang w:eastAsia="zh-CN"/>
              </w:rPr>
              <w:t>：</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18</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固体废物污染源源强核算结果及相关参数一览表</w:t>
            </w:r>
          </w:p>
          <w:tbl>
            <w:tblPr>
              <w:tblStyle w:val="29"/>
              <w:tblW w:w="13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4"/>
              <w:gridCol w:w="1105"/>
              <w:gridCol w:w="1528"/>
              <w:gridCol w:w="663"/>
              <w:gridCol w:w="1062"/>
              <w:gridCol w:w="792"/>
              <w:gridCol w:w="1354"/>
              <w:gridCol w:w="937"/>
              <w:gridCol w:w="1157"/>
              <w:gridCol w:w="999"/>
              <w:gridCol w:w="762"/>
              <w:gridCol w:w="691"/>
              <w:gridCol w:w="15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434" w:type="dxa"/>
                  <w:vAlign w:val="center"/>
                </w:tcPr>
                <w:p>
                  <w:pPr>
                    <w:keepNext w:val="0"/>
                    <w:keepLines w:val="0"/>
                    <w:pageBreakBefore w:val="0"/>
                    <w:widowControl/>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b/>
                      <w:bCs w:val="0"/>
                      <w:color w:val="auto"/>
                      <w:sz w:val="21"/>
                      <w:szCs w:val="21"/>
                      <w:highlight w:val="none"/>
                    </w:rPr>
                  </w:pPr>
                  <w:r>
                    <w:rPr>
                      <w:rFonts w:hint="default" w:ascii="Times New Roman" w:hAnsi="Times New Roman" w:cs="Times New Roman"/>
                      <w:b/>
                      <w:bCs w:val="0"/>
                      <w:color w:val="auto"/>
                      <w:sz w:val="21"/>
                      <w:szCs w:val="21"/>
                      <w:highlight w:val="none"/>
                    </w:rPr>
                    <w:t>序号</w:t>
                  </w:r>
                </w:p>
              </w:tc>
              <w:tc>
                <w:tcPr>
                  <w:tcW w:w="1105"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固废名称</w:t>
                  </w:r>
                </w:p>
              </w:tc>
              <w:tc>
                <w:tcPr>
                  <w:tcW w:w="1528"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产生工序</w:t>
                  </w:r>
                </w:p>
              </w:tc>
              <w:tc>
                <w:tcPr>
                  <w:tcW w:w="663"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形态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属性</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废物类别</w:t>
                  </w:r>
                </w:p>
              </w:tc>
              <w:tc>
                <w:tcPr>
                  <w:tcW w:w="1354"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废物代码</w:t>
                  </w:r>
                </w:p>
              </w:tc>
              <w:tc>
                <w:tcPr>
                  <w:tcW w:w="937"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lang w:eastAsia="zh-CN"/>
                    </w:rPr>
                  </w:pPr>
                  <w:r>
                    <w:rPr>
                      <w:rFonts w:hint="default" w:ascii="Times New Roman" w:hAnsi="Times New Roman" w:eastAsia="宋体" w:cs="Times New Roman"/>
                      <w:b/>
                      <w:bCs w:val="0"/>
                      <w:color w:val="auto"/>
                      <w:sz w:val="21"/>
                      <w:szCs w:val="21"/>
                    </w:rPr>
                    <w:t>产生量</w:t>
                  </w:r>
                  <w:r>
                    <w:rPr>
                      <w:rFonts w:hint="default" w:ascii="Times New Roman" w:hAnsi="Times New Roman" w:eastAsia="宋体" w:cs="Times New Roman"/>
                      <w:b/>
                      <w:bCs w:val="0"/>
                      <w:color w:val="auto"/>
                      <w:sz w:val="21"/>
                      <w:szCs w:val="21"/>
                      <w:lang w:eastAsia="zh-CN"/>
                    </w:rPr>
                    <w:t>（</w:t>
                  </w:r>
                  <w:r>
                    <w:rPr>
                      <w:rFonts w:hint="default" w:ascii="Times New Roman" w:hAnsi="Times New Roman" w:eastAsia="宋体" w:cs="Times New Roman"/>
                      <w:b/>
                      <w:bCs w:val="0"/>
                      <w:color w:val="auto"/>
                      <w:sz w:val="21"/>
                      <w:szCs w:val="21"/>
                      <w:lang w:val="en-US" w:eastAsia="zh-CN"/>
                    </w:rPr>
                    <w:t>t/a</w:t>
                  </w:r>
                  <w:r>
                    <w:rPr>
                      <w:rFonts w:hint="default" w:ascii="Times New Roman" w:hAnsi="Times New Roman" w:eastAsia="宋体" w:cs="Times New Roman"/>
                      <w:b/>
                      <w:bCs w:val="0"/>
                      <w:color w:val="auto"/>
                      <w:sz w:val="21"/>
                      <w:szCs w:val="21"/>
                      <w:lang w:eastAsia="zh-CN"/>
                    </w:rPr>
                    <w:t>）</w:t>
                  </w:r>
                </w:p>
              </w:tc>
              <w:tc>
                <w:tcPr>
                  <w:tcW w:w="1157"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主要成分</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有害</w:t>
                  </w:r>
                </w:p>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成分</w:t>
                  </w:r>
                </w:p>
              </w:tc>
              <w:tc>
                <w:tcPr>
                  <w:tcW w:w="7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产废</w:t>
                  </w:r>
                </w:p>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周期</w:t>
                  </w:r>
                </w:p>
              </w:tc>
              <w:tc>
                <w:tcPr>
                  <w:tcW w:w="691"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危险</w:t>
                  </w:r>
                </w:p>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特性</w:t>
                  </w:r>
                </w:p>
              </w:tc>
              <w:tc>
                <w:tcPr>
                  <w:tcW w:w="1555" w:type="dxa"/>
                  <w:vAlign w:val="center"/>
                </w:tcPr>
                <w:p>
                  <w:pPr>
                    <w:tabs>
                      <w:tab w:val="left" w:pos="677"/>
                    </w:tabs>
                    <w:jc w:val="center"/>
                    <w:rPr>
                      <w:rFonts w:hint="default" w:ascii="Times New Roman" w:hAnsi="Times New Roman" w:eastAsia="宋体" w:cs="Times New Roman"/>
                      <w:b/>
                      <w:bCs w:val="0"/>
                      <w:color w:val="auto"/>
                      <w:sz w:val="21"/>
                      <w:szCs w:val="21"/>
                    </w:rPr>
                  </w:pPr>
                  <w:r>
                    <w:rPr>
                      <w:rFonts w:hint="default" w:ascii="Times New Roman" w:hAnsi="Times New Roman" w:eastAsia="宋体" w:cs="Times New Roman"/>
                      <w:b/>
                      <w:bCs w:val="0"/>
                      <w:color w:val="auto"/>
                      <w:sz w:val="21"/>
                      <w:szCs w:val="21"/>
                    </w:rPr>
                    <w:t>防治措施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434"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w:t>
                  </w:r>
                </w:p>
              </w:tc>
              <w:tc>
                <w:tcPr>
                  <w:tcW w:w="1105"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生活垃圾</w:t>
                  </w:r>
                </w:p>
              </w:tc>
              <w:tc>
                <w:tcPr>
                  <w:tcW w:w="1528"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员工生活</w:t>
                  </w:r>
                </w:p>
              </w:tc>
              <w:tc>
                <w:tcPr>
                  <w:tcW w:w="663"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固态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1354"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937"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w:t>
                  </w:r>
                </w:p>
              </w:tc>
              <w:tc>
                <w:tcPr>
                  <w:tcW w:w="1157"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生活垃圾</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7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1天</w:t>
                  </w:r>
                </w:p>
              </w:tc>
              <w:tc>
                <w:tcPr>
                  <w:tcW w:w="691"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1555" w:type="dxa"/>
                  <w:vAlign w:val="center"/>
                </w:tcPr>
                <w:p>
                  <w:pPr>
                    <w:tabs>
                      <w:tab w:val="left" w:pos="677"/>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委托当地环卫部门清运处理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434"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w:t>
                  </w:r>
                </w:p>
              </w:tc>
              <w:tc>
                <w:tcPr>
                  <w:tcW w:w="1105"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sz w:val="21"/>
                      <w:szCs w:val="21"/>
                      <w:lang w:val="en-US" w:eastAsia="zh-CN"/>
                    </w:rPr>
                    <w:t>废滤芯及废布袋</w:t>
                  </w:r>
                </w:p>
              </w:tc>
              <w:tc>
                <w:tcPr>
                  <w:tcW w:w="1528"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除尘工序</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一般固废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SW</w:t>
                  </w:r>
                  <w:r>
                    <w:rPr>
                      <w:rFonts w:hint="eastAsia" w:cs="Times New Roman"/>
                      <w:color w:val="auto"/>
                      <w:sz w:val="21"/>
                      <w:szCs w:val="21"/>
                      <w:lang w:val="en-US" w:eastAsia="zh-CN"/>
                    </w:rPr>
                    <w:t>59</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900-009-S59</w:t>
                  </w:r>
                </w:p>
              </w:tc>
              <w:tc>
                <w:tcPr>
                  <w:tcW w:w="9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1.7</w:t>
                  </w:r>
                </w:p>
              </w:tc>
              <w:tc>
                <w:tcPr>
                  <w:tcW w:w="115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滤芯、滤袋</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7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r>
                    <w:rPr>
                      <w:rFonts w:hint="eastAsia" w:cs="Times New Roman"/>
                      <w:color w:val="auto"/>
                      <w:sz w:val="21"/>
                      <w:szCs w:val="21"/>
                      <w:lang w:val="en-US" w:eastAsia="zh-CN"/>
                    </w:rPr>
                    <w:t>年</w:t>
                  </w:r>
                </w:p>
              </w:tc>
              <w:tc>
                <w:tcPr>
                  <w:tcW w:w="691"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1555" w:type="dxa"/>
                  <w:vAlign w:val="center"/>
                </w:tcPr>
                <w:p>
                  <w:pPr>
                    <w:tabs>
                      <w:tab w:val="left" w:pos="677"/>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供应商回收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434"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3</w:t>
                  </w:r>
                </w:p>
              </w:tc>
              <w:tc>
                <w:tcPr>
                  <w:tcW w:w="1105"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rPr>
                    <w:t>收集的塑粉</w:t>
                  </w:r>
                </w:p>
              </w:tc>
              <w:tc>
                <w:tcPr>
                  <w:tcW w:w="152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滤芯除尘工序</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eastAsia="zh-CN"/>
                    </w:rPr>
                  </w:pPr>
                  <w:r>
                    <w:rPr>
                      <w:rFonts w:hint="eastAsia" w:eastAsia="宋体" w:cs="Times New Roman"/>
                      <w:color w:val="auto"/>
                      <w:sz w:val="21"/>
                      <w:szCs w:val="21"/>
                      <w:lang w:val="en-US" w:eastAsia="zh-CN"/>
                    </w:rPr>
                    <w:t>/</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w:t>
                  </w:r>
                </w:p>
              </w:tc>
              <w:tc>
                <w:tcPr>
                  <w:tcW w:w="9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48.9</w:t>
                  </w:r>
                </w:p>
              </w:tc>
              <w:tc>
                <w:tcPr>
                  <w:tcW w:w="115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塑粉</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7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1</w:t>
                  </w:r>
                  <w:r>
                    <w:rPr>
                      <w:rFonts w:hint="eastAsia" w:cs="Times New Roman"/>
                      <w:color w:val="auto"/>
                      <w:sz w:val="21"/>
                      <w:szCs w:val="21"/>
                      <w:lang w:val="en-US" w:eastAsia="zh-CN"/>
                    </w:rPr>
                    <w:t>天</w:t>
                  </w:r>
                </w:p>
              </w:tc>
              <w:tc>
                <w:tcPr>
                  <w:tcW w:w="691"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1555" w:type="dxa"/>
                  <w:vAlign w:val="center"/>
                </w:tcPr>
                <w:p>
                  <w:pPr>
                    <w:jc w:val="center"/>
                    <w:rPr>
                      <w:rFonts w:hint="default" w:ascii="Times New Roman" w:hAnsi="Times New Roman"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回用于生产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434"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4</w:t>
                  </w:r>
                </w:p>
              </w:tc>
              <w:tc>
                <w:tcPr>
                  <w:tcW w:w="1105"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废塑粉</w:t>
                  </w:r>
                </w:p>
              </w:tc>
              <w:tc>
                <w:tcPr>
                  <w:tcW w:w="152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除尘工序</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一般固废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cs="Times New Roman"/>
                      <w:color w:val="auto"/>
                      <w:sz w:val="21"/>
                      <w:szCs w:val="21"/>
                      <w:lang w:val="en-US" w:eastAsia="zh-CN"/>
                    </w:rPr>
                    <w:t>SW17</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900-009-S17</w:t>
                  </w:r>
                </w:p>
              </w:tc>
              <w:tc>
                <w:tcPr>
                  <w:tcW w:w="9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10.1</w:t>
                  </w:r>
                </w:p>
              </w:tc>
              <w:tc>
                <w:tcPr>
                  <w:tcW w:w="115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塑粉</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w:t>
                  </w:r>
                </w:p>
              </w:tc>
              <w:tc>
                <w:tcPr>
                  <w:tcW w:w="7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r>
                    <w:rPr>
                      <w:rFonts w:hint="eastAsia" w:cs="Times New Roman"/>
                      <w:color w:val="auto"/>
                      <w:sz w:val="21"/>
                      <w:szCs w:val="21"/>
                      <w:lang w:val="en-US" w:eastAsia="zh-CN"/>
                    </w:rPr>
                    <w:t>天</w:t>
                  </w:r>
                </w:p>
              </w:tc>
              <w:tc>
                <w:tcPr>
                  <w:tcW w:w="691"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1555" w:type="dxa"/>
                  <w:vAlign w:val="center"/>
                </w:tcPr>
                <w:p>
                  <w:pPr>
                    <w:tabs>
                      <w:tab w:val="left" w:pos="677"/>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供应商回收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434" w:type="dxa"/>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5</w:t>
                  </w:r>
                </w:p>
              </w:tc>
              <w:tc>
                <w:tcPr>
                  <w:tcW w:w="1105"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废金刚砂</w:t>
                  </w:r>
                </w:p>
              </w:tc>
              <w:tc>
                <w:tcPr>
                  <w:tcW w:w="152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抛丸</w:t>
                  </w:r>
                  <w:r>
                    <w:rPr>
                      <w:rFonts w:hint="eastAsia"/>
                      <w:color w:val="auto"/>
                      <w:sz w:val="21"/>
                      <w:szCs w:val="21"/>
                      <w:lang w:val="en-US" w:eastAsia="zh-CN"/>
                    </w:rPr>
                    <w:t>工序</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一般固废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FF0000"/>
                      <w:kern w:val="2"/>
                      <w:sz w:val="21"/>
                      <w:szCs w:val="21"/>
                      <w:lang w:val="en-US" w:eastAsia="zh-CN" w:bidi="ar-SA"/>
                    </w:rPr>
                  </w:pPr>
                  <w:r>
                    <w:rPr>
                      <w:rFonts w:hint="default" w:cs="Times New Roman"/>
                      <w:color w:val="auto"/>
                      <w:sz w:val="21"/>
                      <w:szCs w:val="21"/>
                      <w:lang w:val="en-US" w:eastAsia="zh-CN"/>
                    </w:rPr>
                    <w:t>SW17</w:t>
                  </w:r>
                </w:p>
              </w:tc>
              <w:tc>
                <w:tcPr>
                  <w:tcW w:w="1354" w:type="dxa"/>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900-001-S17</w:t>
                  </w:r>
                </w:p>
              </w:tc>
              <w:tc>
                <w:tcPr>
                  <w:tcW w:w="9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30</w:t>
                  </w:r>
                </w:p>
              </w:tc>
              <w:tc>
                <w:tcPr>
                  <w:tcW w:w="115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金刚砂</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cs="Times New Roman"/>
                      <w:color w:val="auto"/>
                      <w:sz w:val="21"/>
                      <w:szCs w:val="21"/>
                    </w:rPr>
                  </w:pPr>
                  <w:r>
                    <w:rPr>
                      <w:rFonts w:hint="eastAsia" w:cs="Times New Roman"/>
                      <w:color w:val="auto"/>
                      <w:sz w:val="21"/>
                      <w:szCs w:val="21"/>
                      <w:lang w:val="en-US" w:eastAsia="zh-CN"/>
                    </w:rPr>
                    <w:t>/</w:t>
                  </w:r>
                </w:p>
              </w:tc>
              <w:tc>
                <w:tcPr>
                  <w:tcW w:w="7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10天</w:t>
                  </w:r>
                </w:p>
              </w:tc>
              <w:tc>
                <w:tcPr>
                  <w:tcW w:w="691"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1555" w:type="dxa"/>
                  <w:vMerge w:val="restart"/>
                  <w:vAlign w:val="center"/>
                </w:tcPr>
                <w:p>
                  <w:pPr>
                    <w:tabs>
                      <w:tab w:val="left" w:pos="677"/>
                    </w:tabs>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出售给废旧物资回收公司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6</w:t>
                  </w:r>
                </w:p>
              </w:tc>
              <w:tc>
                <w:tcPr>
                  <w:tcW w:w="1105"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一般废弃包装材料</w:t>
                  </w:r>
                </w:p>
              </w:tc>
              <w:tc>
                <w:tcPr>
                  <w:tcW w:w="152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原料包装</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一般固废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cs="Times New Roman"/>
                      <w:color w:val="auto"/>
                      <w:sz w:val="21"/>
                      <w:szCs w:val="21"/>
                      <w:lang w:val="en-US" w:eastAsia="zh-CN"/>
                    </w:rPr>
                    <w:t>SW17</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900-003-S17</w:t>
                  </w:r>
                </w:p>
              </w:tc>
              <w:tc>
                <w:tcPr>
                  <w:tcW w:w="9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10</w:t>
                  </w:r>
                </w:p>
              </w:tc>
              <w:tc>
                <w:tcPr>
                  <w:tcW w:w="115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包装袋、纸箱</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1天</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1555" w:type="dxa"/>
                  <w:vMerge w:val="continue"/>
                  <w:vAlign w:val="center"/>
                </w:tcPr>
                <w:p>
                  <w:pPr>
                    <w:tabs>
                      <w:tab w:val="left" w:pos="677"/>
                    </w:tabs>
                    <w:jc w:val="center"/>
                    <w:rPr>
                      <w:rFonts w:hint="default" w:ascii="Times New Roman" w:hAnsi="Times New Roman" w:eastAsia="宋体" w:cs="Times New Roman"/>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7</w:t>
                  </w:r>
                </w:p>
              </w:tc>
              <w:tc>
                <w:tcPr>
                  <w:tcW w:w="1105"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收集的金属粉尘</w:t>
                  </w:r>
                </w:p>
              </w:tc>
              <w:tc>
                <w:tcPr>
                  <w:tcW w:w="152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除尘工序</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10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一般固废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cs="Times New Roman"/>
                      <w:color w:val="auto"/>
                      <w:sz w:val="21"/>
                      <w:szCs w:val="21"/>
                      <w:lang w:val="en-US" w:eastAsia="zh-CN"/>
                    </w:rPr>
                    <w:t>SW17</w:t>
                  </w:r>
                </w:p>
              </w:tc>
              <w:tc>
                <w:tcPr>
                  <w:tcW w:w="1354"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eastAsia" w:cs="Times New Roman"/>
                      <w:color w:val="auto"/>
                      <w:sz w:val="21"/>
                      <w:szCs w:val="21"/>
                      <w:lang w:val="en-US" w:eastAsia="zh-CN"/>
                    </w:rPr>
                    <w:t>900-001-S17</w:t>
                  </w:r>
                </w:p>
              </w:tc>
              <w:tc>
                <w:tcPr>
                  <w:tcW w:w="9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91.75</w:t>
                  </w:r>
                </w:p>
              </w:tc>
              <w:tc>
                <w:tcPr>
                  <w:tcW w:w="115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金属件</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1天</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1555" w:type="dxa"/>
                  <w:vMerge w:val="continue"/>
                  <w:vAlign w:val="center"/>
                </w:tcPr>
                <w:p>
                  <w:pPr>
                    <w:tabs>
                      <w:tab w:val="left" w:pos="677"/>
                    </w:tabs>
                    <w:jc w:val="center"/>
                    <w:rPr>
                      <w:rFonts w:hint="default" w:ascii="Times New Roman" w:hAnsi="Times New Roman" w:eastAsia="宋体" w:cs="Times New Roman"/>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8</w:t>
                  </w:r>
                </w:p>
              </w:tc>
              <w:tc>
                <w:tcPr>
                  <w:tcW w:w="1105"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废催化块</w:t>
                  </w:r>
                </w:p>
              </w:tc>
              <w:tc>
                <w:tcPr>
                  <w:tcW w:w="152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一般固废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SW</w:t>
                  </w:r>
                  <w:r>
                    <w:rPr>
                      <w:rFonts w:hint="eastAsia" w:cs="Times New Roman"/>
                      <w:color w:val="auto"/>
                      <w:sz w:val="21"/>
                      <w:szCs w:val="21"/>
                      <w:lang w:val="en-US" w:eastAsia="zh-CN"/>
                    </w:rPr>
                    <w:t>59</w:t>
                  </w:r>
                </w:p>
              </w:tc>
              <w:tc>
                <w:tcPr>
                  <w:tcW w:w="1354"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eastAsia" w:cs="Times New Roman"/>
                      <w:color w:val="auto"/>
                      <w:sz w:val="21"/>
                      <w:szCs w:val="21"/>
                      <w:lang w:val="en-US" w:eastAsia="zh-CN"/>
                    </w:rPr>
                    <w:t>900-004-S59</w:t>
                  </w:r>
                </w:p>
              </w:tc>
              <w:tc>
                <w:tcPr>
                  <w:tcW w:w="9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0.15</w:t>
                  </w:r>
                  <w:r>
                    <w:rPr>
                      <w:rFonts w:hint="default" w:ascii="Times New Roman" w:hAnsi="Times New Roman" w:cs="Times New Roman"/>
                      <w:color w:val="auto"/>
                      <w:sz w:val="21"/>
                      <w:szCs w:val="21"/>
                      <w:lang w:val="en-US" w:eastAsia="zh-CN"/>
                    </w:rPr>
                    <w:t>t/</w:t>
                  </w:r>
                  <w:r>
                    <w:rPr>
                      <w:rFonts w:hint="eastAsia" w:cs="Times New Roman"/>
                      <w:color w:val="auto"/>
                      <w:sz w:val="21"/>
                      <w:szCs w:val="21"/>
                      <w:lang w:val="en-US" w:eastAsia="zh-CN"/>
                    </w:rPr>
                    <w:t>2</w:t>
                  </w:r>
                  <w:r>
                    <w:rPr>
                      <w:rFonts w:hint="default" w:ascii="Times New Roman" w:hAnsi="Times New Roman" w:cs="Times New Roman"/>
                      <w:color w:val="auto"/>
                      <w:sz w:val="21"/>
                      <w:szCs w:val="21"/>
                      <w:lang w:val="en-US" w:eastAsia="zh-CN"/>
                    </w:rPr>
                    <w:t>a</w:t>
                  </w:r>
                </w:p>
              </w:tc>
              <w:tc>
                <w:tcPr>
                  <w:tcW w:w="115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催化块</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w:t>
                  </w:r>
                </w:p>
              </w:tc>
              <w:tc>
                <w:tcPr>
                  <w:tcW w:w="76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2年</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eastAsia="宋体" w:cs="Times New Roman"/>
                      <w:color w:val="auto"/>
                      <w:sz w:val="21"/>
                      <w:szCs w:val="21"/>
                      <w:lang w:val="en-US" w:eastAsia="zh-CN"/>
                    </w:rPr>
                  </w:pPr>
                  <w:r>
                    <w:rPr>
                      <w:rFonts w:hint="eastAsia" w:cs="Times New Roman"/>
                      <w:color w:val="auto"/>
                      <w:sz w:val="21"/>
                      <w:szCs w:val="21"/>
                      <w:lang w:val="en-US" w:eastAsia="zh-CN"/>
                    </w:rPr>
                    <w:t>/</w:t>
                  </w:r>
                </w:p>
              </w:tc>
              <w:tc>
                <w:tcPr>
                  <w:tcW w:w="1555" w:type="dxa"/>
                  <w:vAlign w:val="center"/>
                </w:tcPr>
                <w:p>
                  <w:pPr>
                    <w:tabs>
                      <w:tab w:val="left" w:pos="677"/>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供应商回收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9</w:t>
                  </w:r>
                </w:p>
              </w:tc>
              <w:tc>
                <w:tcPr>
                  <w:tcW w:w="1105"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漆渣</w:t>
                  </w:r>
                </w:p>
              </w:tc>
              <w:tc>
                <w:tcPr>
                  <w:tcW w:w="152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喷漆及刷漆工序</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rPr>
                    <w:t>固态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危险固废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12</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252</w:t>
                  </w:r>
                  <w:r>
                    <w:rPr>
                      <w:rFonts w:hint="default" w:ascii="Times New Roman" w:hAnsi="Times New Roman" w:cs="Times New Roman"/>
                      <w:color w:val="auto"/>
                      <w:sz w:val="21"/>
                      <w:szCs w:val="21"/>
                      <w:lang w:val="en-US" w:eastAsia="zh-CN"/>
                    </w:rPr>
                    <w:t>-1</w:t>
                  </w:r>
                  <w:r>
                    <w:rPr>
                      <w:rFonts w:hint="eastAsia" w:ascii="Times New Roman" w:hAnsi="Times New Roman" w:cs="Times New Roman"/>
                      <w:color w:val="auto"/>
                      <w:sz w:val="21"/>
                      <w:szCs w:val="21"/>
                      <w:lang w:val="en-US" w:eastAsia="zh-CN"/>
                    </w:rPr>
                    <w:t>2</w:t>
                  </w:r>
                </w:p>
              </w:tc>
              <w:tc>
                <w:tcPr>
                  <w:tcW w:w="93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5</w:t>
                  </w:r>
                </w:p>
              </w:tc>
              <w:tc>
                <w:tcPr>
                  <w:tcW w:w="115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漆渣</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cs="Times New Roman"/>
                      <w:color w:val="auto"/>
                      <w:sz w:val="21"/>
                      <w:szCs w:val="21"/>
                    </w:rPr>
                  </w:pPr>
                  <w:r>
                    <w:rPr>
                      <w:rFonts w:hint="eastAsia" w:cs="Times New Roman"/>
                      <w:color w:val="auto"/>
                      <w:sz w:val="21"/>
                      <w:szCs w:val="21"/>
                      <w:lang w:val="en-US" w:eastAsia="zh-CN"/>
                    </w:rPr>
                    <w:t>油漆</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1天</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T，I</w:t>
                  </w:r>
                </w:p>
              </w:tc>
              <w:tc>
                <w:tcPr>
                  <w:tcW w:w="1555" w:type="dxa"/>
                  <w:vMerge w:val="restart"/>
                  <w:vAlign w:val="center"/>
                </w:tcPr>
                <w:p>
                  <w:pPr>
                    <w:tabs>
                      <w:tab w:val="left" w:pos="677"/>
                    </w:tabs>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委托资质单位进行处置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10</w:t>
                  </w:r>
                </w:p>
              </w:tc>
              <w:tc>
                <w:tcPr>
                  <w:tcW w:w="1105"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废活性炭</w:t>
                  </w:r>
                </w:p>
              </w:tc>
              <w:tc>
                <w:tcPr>
                  <w:tcW w:w="152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有机废气处理</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危险固废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039</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c>
                <w:tcPr>
                  <w:tcW w:w="9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11.89</w:t>
                  </w:r>
                </w:p>
              </w:tc>
              <w:tc>
                <w:tcPr>
                  <w:tcW w:w="115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活性炭</w:t>
                  </w:r>
                </w:p>
              </w:tc>
              <w:tc>
                <w:tcPr>
                  <w:tcW w:w="999" w:type="dxa"/>
                  <w:vAlign w:val="center"/>
                </w:tcPr>
                <w:p>
                  <w:pPr>
                    <w:tabs>
                      <w:tab w:val="left" w:pos="677"/>
                    </w:tabs>
                    <w:jc w:val="center"/>
                    <w:rPr>
                      <w:rFonts w:hint="default" w:ascii="Times New Roman" w:hAnsi="Times New Roman" w:eastAsia="宋体" w:cs="Times New Roman"/>
                      <w:color w:val="FF0000"/>
                      <w:kern w:val="2"/>
                      <w:sz w:val="21"/>
                      <w:szCs w:val="21"/>
                      <w:lang w:val="en-US" w:eastAsia="zh-CN" w:bidi="ar-SA"/>
                    </w:rPr>
                  </w:pPr>
                  <w:r>
                    <w:rPr>
                      <w:rFonts w:hint="eastAsia"/>
                      <w:color w:val="auto"/>
                      <w:sz w:val="21"/>
                      <w:szCs w:val="21"/>
                    </w:rPr>
                    <w:t>活性炭</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6月</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T</w:t>
                  </w:r>
                </w:p>
              </w:tc>
              <w:tc>
                <w:tcPr>
                  <w:tcW w:w="1555" w:type="dxa"/>
                  <w:vMerge w:val="continue"/>
                  <w:vAlign w:val="center"/>
                </w:tcPr>
                <w:p>
                  <w:pPr>
                    <w:tabs>
                      <w:tab w:val="left" w:pos="677"/>
                    </w:tabs>
                    <w:jc w:val="center"/>
                    <w:rPr>
                      <w:rFonts w:hint="default" w:ascii="Times New Roman" w:hAnsi="Times New Roman" w:eastAsia="宋体"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11</w:t>
                  </w:r>
                </w:p>
              </w:tc>
              <w:tc>
                <w:tcPr>
                  <w:tcW w:w="1105"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废过滤棉</w:t>
                  </w:r>
                </w:p>
              </w:tc>
              <w:tc>
                <w:tcPr>
                  <w:tcW w:w="1528"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废气处理</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危险固废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FF0000"/>
                      <w:kern w:val="2"/>
                      <w:sz w:val="21"/>
                      <w:szCs w:val="21"/>
                      <w:lang w:val="en-US" w:eastAsia="zh-CN" w:bidi="ar-SA"/>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c>
                <w:tcPr>
                  <w:tcW w:w="937" w:type="dxa"/>
                  <w:vAlign w:val="center"/>
                </w:tcPr>
                <w:p>
                  <w:pPr>
                    <w:snapToGrid w:val="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0.08</w:t>
                  </w:r>
                </w:p>
              </w:tc>
              <w:tc>
                <w:tcPr>
                  <w:tcW w:w="1157"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过滤棉</w:t>
                  </w:r>
                </w:p>
              </w:tc>
              <w:tc>
                <w:tcPr>
                  <w:tcW w:w="999"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过滤棉</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3月</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T/In</w:t>
                  </w:r>
                </w:p>
              </w:tc>
              <w:tc>
                <w:tcPr>
                  <w:tcW w:w="1555" w:type="dxa"/>
                  <w:vMerge w:val="continue"/>
                  <w:vAlign w:val="center"/>
                </w:tcPr>
                <w:p>
                  <w:pPr>
                    <w:tabs>
                      <w:tab w:val="left" w:pos="677"/>
                    </w:tabs>
                    <w:jc w:val="center"/>
                    <w:rPr>
                      <w:rFonts w:hint="default" w:ascii="Times New Roman" w:hAnsi="Times New Roman" w:eastAsia="宋体"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cs="Times New Roman"/>
                      <w:color w:val="auto"/>
                      <w:sz w:val="21"/>
                      <w:szCs w:val="21"/>
                      <w:lang w:val="en-US" w:eastAsia="zh-CN"/>
                    </w:rPr>
                  </w:pPr>
                  <w:r>
                    <w:rPr>
                      <w:rFonts w:hint="eastAsia" w:cs="Times New Roman"/>
                      <w:color w:val="auto"/>
                      <w:sz w:val="21"/>
                      <w:szCs w:val="21"/>
                      <w:lang w:val="en-US" w:eastAsia="zh-CN"/>
                    </w:rPr>
                    <w:t>12</w:t>
                  </w:r>
                </w:p>
              </w:tc>
              <w:tc>
                <w:tcPr>
                  <w:tcW w:w="1105" w:type="dxa"/>
                  <w:vAlign w:val="center"/>
                </w:tcPr>
                <w:p>
                  <w:pPr>
                    <w:snapToGrid w:val="0"/>
                    <w:jc w:val="center"/>
                    <w:rPr>
                      <w:rFonts w:hint="eastAsia" w:cs="Times New Roman"/>
                      <w:color w:val="auto"/>
                      <w:sz w:val="21"/>
                      <w:szCs w:val="21"/>
                      <w:lang w:val="en-US" w:eastAsia="zh-CN"/>
                    </w:rPr>
                  </w:pPr>
                  <w:r>
                    <w:rPr>
                      <w:rFonts w:hint="eastAsia"/>
                      <w:color w:val="auto"/>
                      <w:sz w:val="21"/>
                      <w:szCs w:val="21"/>
                      <w:lang w:val="en-US" w:eastAsia="zh-CN"/>
                    </w:rPr>
                    <w:t>水喷淋废液</w:t>
                  </w:r>
                </w:p>
              </w:tc>
              <w:tc>
                <w:tcPr>
                  <w:tcW w:w="1528" w:type="dxa"/>
                  <w:vAlign w:val="center"/>
                </w:tcPr>
                <w:p>
                  <w:pPr>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有机废气处理</w:t>
                  </w:r>
                </w:p>
              </w:tc>
              <w:tc>
                <w:tcPr>
                  <w:tcW w:w="663" w:type="dxa"/>
                  <w:vAlign w:val="center"/>
                </w:tcPr>
                <w:p>
                  <w:pPr>
                    <w:snapToGrid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液态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危险固废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cs="Times New Roman"/>
                      <w:bCs/>
                      <w:color w:val="FF0000"/>
                      <w:sz w:val="21"/>
                      <w:szCs w:val="21"/>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c>
                <w:tcPr>
                  <w:tcW w:w="937"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w:t>
                  </w:r>
                </w:p>
              </w:tc>
              <w:tc>
                <w:tcPr>
                  <w:tcW w:w="1157"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废液</w:t>
                  </w:r>
                </w:p>
              </w:tc>
              <w:tc>
                <w:tcPr>
                  <w:tcW w:w="999" w:type="dxa"/>
                  <w:vAlign w:val="center"/>
                </w:tcPr>
                <w:p>
                  <w:pPr>
                    <w:snapToGrid w:val="0"/>
                    <w:jc w:val="center"/>
                    <w:rPr>
                      <w:rFonts w:hint="eastAsia" w:cs="Times New Roman"/>
                      <w:color w:val="auto"/>
                      <w:sz w:val="21"/>
                      <w:szCs w:val="21"/>
                      <w:lang w:val="en-US" w:eastAsia="zh-CN"/>
                    </w:rPr>
                  </w:pPr>
                  <w:r>
                    <w:rPr>
                      <w:rFonts w:hint="eastAsia" w:cs="Times New Roman"/>
                      <w:color w:val="auto"/>
                      <w:sz w:val="21"/>
                      <w:szCs w:val="21"/>
                      <w:lang w:val="en-US" w:eastAsia="zh-CN"/>
                    </w:rPr>
                    <w:t>废液</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cs="Times New Roman"/>
                      <w:color w:val="auto"/>
                      <w:sz w:val="21"/>
                      <w:szCs w:val="21"/>
                      <w:lang w:val="en-US" w:eastAsia="zh-CN"/>
                    </w:rPr>
                  </w:pPr>
                  <w:r>
                    <w:rPr>
                      <w:rFonts w:hint="eastAsia" w:cs="Times New Roman"/>
                      <w:color w:val="auto"/>
                      <w:sz w:val="21"/>
                      <w:szCs w:val="21"/>
                      <w:lang w:val="en-US" w:eastAsia="zh-CN"/>
                    </w:rPr>
                    <w:t>6月</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T/In</w:t>
                  </w:r>
                </w:p>
              </w:tc>
              <w:tc>
                <w:tcPr>
                  <w:tcW w:w="1555" w:type="dxa"/>
                  <w:vMerge w:val="continue"/>
                  <w:vAlign w:val="center"/>
                </w:tcPr>
                <w:p>
                  <w:pPr>
                    <w:tabs>
                      <w:tab w:val="left" w:pos="677"/>
                    </w:tabs>
                    <w:jc w:val="center"/>
                    <w:rPr>
                      <w:rFonts w:hint="default" w:ascii="Times New Roman" w:hAnsi="Times New Roman" w:eastAsia="宋体" w:cs="Times New Roman"/>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cs="Times New Roman"/>
                      <w:color w:val="auto"/>
                      <w:sz w:val="21"/>
                      <w:szCs w:val="21"/>
                      <w:lang w:val="en-US" w:eastAsia="zh-CN"/>
                    </w:rPr>
                  </w:pPr>
                  <w:r>
                    <w:rPr>
                      <w:rFonts w:hint="eastAsia" w:cs="Times New Roman"/>
                      <w:color w:val="auto"/>
                      <w:sz w:val="21"/>
                      <w:szCs w:val="21"/>
                      <w:lang w:val="en-US" w:eastAsia="zh-CN"/>
                    </w:rPr>
                    <w:t>13</w:t>
                  </w:r>
                </w:p>
              </w:tc>
              <w:tc>
                <w:tcPr>
                  <w:tcW w:w="1105" w:type="dxa"/>
                  <w:vAlign w:val="center"/>
                </w:tcPr>
                <w:p>
                  <w:pPr>
                    <w:jc w:val="center"/>
                    <w:rPr>
                      <w:rFonts w:hint="eastAsia" w:cs="Times New Roman"/>
                      <w:color w:val="auto"/>
                      <w:sz w:val="21"/>
                      <w:szCs w:val="21"/>
                      <w:lang w:val="en-US" w:eastAsia="zh-CN"/>
                    </w:rPr>
                  </w:pPr>
                  <w:r>
                    <w:rPr>
                      <w:rFonts w:hint="eastAsia"/>
                      <w:bCs/>
                      <w:color w:val="auto"/>
                      <w:sz w:val="21"/>
                      <w:szCs w:val="21"/>
                      <w:lang w:val="en-US" w:eastAsia="zh-CN"/>
                    </w:rPr>
                    <w:t>废油漆桶</w:t>
                  </w:r>
                </w:p>
              </w:tc>
              <w:tc>
                <w:tcPr>
                  <w:tcW w:w="1528" w:type="dxa"/>
                  <w:vAlign w:val="center"/>
                </w:tcPr>
                <w:p>
                  <w:pPr>
                    <w:snapToGrid w:val="0"/>
                    <w:jc w:val="center"/>
                    <w:rPr>
                      <w:rFonts w:hint="default" w:ascii="Times New Roman" w:hAnsi="Times New Roman" w:cs="Times New Roman"/>
                      <w:color w:val="auto"/>
                      <w:sz w:val="21"/>
                      <w:szCs w:val="21"/>
                      <w:lang w:val="en-US" w:eastAsia="zh-CN"/>
                    </w:rPr>
                  </w:pPr>
                  <w:r>
                    <w:rPr>
                      <w:rFonts w:hint="eastAsia"/>
                      <w:color w:val="auto"/>
                      <w:sz w:val="21"/>
                      <w:szCs w:val="21"/>
                      <w:lang w:val="en-US" w:eastAsia="zh-CN"/>
                    </w:rPr>
                    <w:t>油漆包装</w:t>
                  </w:r>
                </w:p>
              </w:tc>
              <w:tc>
                <w:tcPr>
                  <w:tcW w:w="663" w:type="dxa"/>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固态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危险固废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cs="Times New Roman"/>
                      <w:bCs/>
                      <w:color w:val="FF0000"/>
                      <w:sz w:val="21"/>
                      <w:szCs w:val="21"/>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c>
                <w:tcPr>
                  <w:tcW w:w="937" w:type="dxa"/>
                  <w:vAlign w:val="center"/>
                </w:tcPr>
                <w:p>
                  <w:pPr>
                    <w:snapToGrid w:val="0"/>
                    <w:jc w:val="center"/>
                    <w:rPr>
                      <w:rFonts w:hint="eastAsia" w:ascii="Times New Roman" w:hAnsi="Times New Roman" w:eastAsia="宋体" w:cs="Times New Roman"/>
                      <w:color w:val="FF0000"/>
                      <w:kern w:val="2"/>
                      <w:sz w:val="21"/>
                      <w:szCs w:val="21"/>
                      <w:lang w:val="en-US" w:eastAsia="zh-CN" w:bidi="ar-SA"/>
                    </w:rPr>
                  </w:pPr>
                  <w:r>
                    <w:rPr>
                      <w:rFonts w:hint="eastAsia" w:cs="Times New Roman"/>
                      <w:color w:val="auto"/>
                      <w:sz w:val="21"/>
                      <w:szCs w:val="21"/>
                      <w:lang w:val="en-US" w:eastAsia="zh-CN"/>
                    </w:rPr>
                    <w:t>2.5</w:t>
                  </w:r>
                </w:p>
              </w:tc>
              <w:tc>
                <w:tcPr>
                  <w:tcW w:w="1157"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金属桶</w:t>
                  </w:r>
                </w:p>
              </w:tc>
              <w:tc>
                <w:tcPr>
                  <w:tcW w:w="999" w:type="dxa"/>
                  <w:vAlign w:val="center"/>
                </w:tcPr>
                <w:p>
                  <w:pPr>
                    <w:snapToGrid w:val="0"/>
                    <w:jc w:val="center"/>
                    <w:rPr>
                      <w:rFonts w:hint="default" w:cs="Times New Roman"/>
                      <w:color w:val="auto"/>
                      <w:sz w:val="21"/>
                      <w:szCs w:val="21"/>
                      <w:lang w:val="en-US" w:eastAsia="zh-CN"/>
                    </w:rPr>
                  </w:pPr>
                  <w:r>
                    <w:rPr>
                      <w:rFonts w:hint="eastAsia" w:cs="Times New Roman"/>
                      <w:color w:val="auto"/>
                      <w:sz w:val="21"/>
                      <w:szCs w:val="21"/>
                      <w:lang w:val="en-US" w:eastAsia="zh-CN"/>
                    </w:rPr>
                    <w:t>油漆</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cs="Times New Roman"/>
                      <w:color w:val="auto"/>
                      <w:sz w:val="21"/>
                      <w:szCs w:val="21"/>
                      <w:lang w:val="en-US" w:eastAsia="zh-CN"/>
                    </w:rPr>
                  </w:pPr>
                  <w:r>
                    <w:rPr>
                      <w:rFonts w:hint="eastAsia" w:cs="Times New Roman"/>
                      <w:color w:val="auto"/>
                      <w:sz w:val="21"/>
                      <w:szCs w:val="21"/>
                      <w:lang w:val="en-US" w:eastAsia="zh-CN"/>
                    </w:rPr>
                    <w:t>1天</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T/In</w:t>
                  </w:r>
                </w:p>
              </w:tc>
              <w:tc>
                <w:tcPr>
                  <w:tcW w:w="1555" w:type="dxa"/>
                  <w:vMerge w:val="continue"/>
                  <w:vAlign w:val="center"/>
                </w:tcPr>
                <w:p>
                  <w:pPr>
                    <w:tabs>
                      <w:tab w:val="left" w:pos="677"/>
                    </w:tabs>
                    <w:jc w:val="center"/>
                    <w:rPr>
                      <w:rFonts w:hint="default" w:ascii="Times New Roman" w:hAnsi="Times New Roman" w:eastAsia="宋体" w:cs="Times New Roman"/>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14</w:t>
                  </w:r>
                </w:p>
              </w:tc>
              <w:tc>
                <w:tcPr>
                  <w:tcW w:w="1105"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bCs/>
                      <w:color w:val="auto"/>
                      <w:sz w:val="21"/>
                      <w:szCs w:val="21"/>
                      <w:lang w:val="en-US" w:eastAsia="zh-CN"/>
                    </w:rPr>
                    <w:t>废毛刷</w:t>
                  </w:r>
                </w:p>
              </w:tc>
              <w:tc>
                <w:tcPr>
                  <w:tcW w:w="1528"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刷漆工序</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固态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危险固废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bCs/>
                      <w:color w:val="FF0000"/>
                      <w:kern w:val="2"/>
                      <w:sz w:val="21"/>
                      <w:szCs w:val="21"/>
                      <w:lang w:val="en-US" w:eastAsia="zh-CN" w:bidi="ar-SA"/>
                    </w:rPr>
                  </w:pPr>
                  <w:r>
                    <w:rPr>
                      <w:rFonts w:hint="default" w:ascii="Times New Roman" w:hAnsi="Times New Roman" w:cs="Times New Roman"/>
                      <w:color w:val="auto"/>
                      <w:sz w:val="21"/>
                      <w:szCs w:val="21"/>
                      <w:lang w:val="en-US" w:eastAsia="zh-CN"/>
                    </w:rPr>
                    <w:t>HW</w:t>
                  </w:r>
                  <w:r>
                    <w:rPr>
                      <w:rFonts w:hint="eastAsia" w:ascii="Times New Roman" w:hAnsi="Times New Roman" w:cs="Times New Roman"/>
                      <w:color w:val="auto"/>
                      <w:sz w:val="21"/>
                      <w:szCs w:val="21"/>
                      <w:lang w:val="en-US" w:eastAsia="zh-CN"/>
                    </w:rPr>
                    <w:t>49</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900-</w:t>
                  </w:r>
                  <w:r>
                    <w:rPr>
                      <w:rFonts w:hint="eastAsia" w:ascii="Times New Roman" w:hAnsi="Times New Roman" w:cs="Times New Roman"/>
                      <w:color w:val="auto"/>
                      <w:sz w:val="21"/>
                      <w:szCs w:val="21"/>
                      <w:lang w:val="en-US" w:eastAsia="zh-CN"/>
                    </w:rPr>
                    <w:t>041</w:t>
                  </w:r>
                  <w:r>
                    <w:rPr>
                      <w:rFonts w:hint="default" w:ascii="Times New Roman" w:hAnsi="Times New Roman" w:cs="Times New Roman"/>
                      <w:color w:val="auto"/>
                      <w:sz w:val="21"/>
                      <w:szCs w:val="21"/>
                      <w:lang w:val="en-US" w:eastAsia="zh-CN"/>
                    </w:rPr>
                    <w:t>-</w:t>
                  </w:r>
                  <w:r>
                    <w:rPr>
                      <w:rFonts w:hint="eastAsia" w:ascii="Times New Roman" w:hAnsi="Times New Roman" w:cs="Times New Roman"/>
                      <w:color w:val="auto"/>
                      <w:sz w:val="21"/>
                      <w:szCs w:val="21"/>
                      <w:lang w:val="en-US" w:eastAsia="zh-CN"/>
                    </w:rPr>
                    <w:t>49</w:t>
                  </w:r>
                </w:p>
              </w:tc>
              <w:tc>
                <w:tcPr>
                  <w:tcW w:w="937" w:type="dxa"/>
                  <w:vAlign w:val="center"/>
                </w:tcPr>
                <w:p>
                  <w:pPr>
                    <w:snapToGrid w:val="0"/>
                    <w:jc w:val="center"/>
                    <w:rPr>
                      <w:rFonts w:hint="eastAsia" w:ascii="Times New Roman" w:hAnsi="Times New Roman" w:eastAsia="宋体" w:cs="Times New Roman"/>
                      <w:color w:val="FF0000"/>
                      <w:kern w:val="2"/>
                      <w:sz w:val="21"/>
                      <w:szCs w:val="21"/>
                      <w:lang w:val="en-US" w:eastAsia="zh-CN" w:bidi="ar-SA"/>
                    </w:rPr>
                  </w:pPr>
                  <w:r>
                    <w:rPr>
                      <w:rFonts w:hint="eastAsia" w:cs="Times New Roman"/>
                      <w:color w:val="auto"/>
                      <w:sz w:val="21"/>
                      <w:szCs w:val="21"/>
                      <w:lang w:val="en-US" w:eastAsia="zh-CN"/>
                    </w:rPr>
                    <w:t>0.2</w:t>
                  </w:r>
                </w:p>
              </w:tc>
              <w:tc>
                <w:tcPr>
                  <w:tcW w:w="1157"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毛刷</w:t>
                  </w:r>
                </w:p>
              </w:tc>
              <w:tc>
                <w:tcPr>
                  <w:tcW w:w="999"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油漆</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1天</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default" w:eastAsia="宋体" w:cs="Times New Roman"/>
                      <w:color w:val="auto"/>
                      <w:sz w:val="21"/>
                      <w:szCs w:val="21"/>
                      <w:lang w:val="en-US" w:eastAsia="zh-CN"/>
                    </w:rPr>
                    <w:t>T/In</w:t>
                  </w:r>
                </w:p>
              </w:tc>
              <w:tc>
                <w:tcPr>
                  <w:tcW w:w="1555" w:type="dxa"/>
                  <w:vMerge w:val="continue"/>
                  <w:vAlign w:val="center"/>
                </w:tcPr>
                <w:p>
                  <w:pPr>
                    <w:tabs>
                      <w:tab w:val="left" w:pos="677"/>
                    </w:tabs>
                    <w:jc w:val="center"/>
                    <w:rPr>
                      <w:rFonts w:hint="default" w:ascii="Times New Roman" w:hAnsi="Times New Roman" w:eastAsia="宋体" w:cs="Times New Roman"/>
                      <w:color w:val="FF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blHeader/>
                <w:jc w:val="center"/>
              </w:trPr>
              <w:tc>
                <w:tcPr>
                  <w:tcW w:w="0" w:type="auto"/>
                  <w:vAlign w:val="center"/>
                </w:tcPr>
                <w:p>
                  <w:pPr>
                    <w:keepNext w:val="0"/>
                    <w:keepLines w:val="0"/>
                    <w:pageBreakBefore w:val="0"/>
                    <w:kinsoku/>
                    <w:wordWrap/>
                    <w:overflowPunct/>
                    <w:topLinePunct w:val="0"/>
                    <w:autoSpaceDE/>
                    <w:autoSpaceDN/>
                    <w:bidi w:val="0"/>
                    <w:adjustRightInd/>
                    <w:snapToGrid w:val="0"/>
                    <w:spacing w:line="300" w:lineRule="exact"/>
                    <w:jc w:val="center"/>
                    <w:textAlignment w:val="auto"/>
                    <w:rPr>
                      <w:rFonts w:hint="default" w:cs="Times New Roman"/>
                      <w:color w:val="auto"/>
                      <w:sz w:val="21"/>
                      <w:szCs w:val="21"/>
                      <w:lang w:val="en-US" w:eastAsia="zh-CN"/>
                    </w:rPr>
                  </w:pPr>
                  <w:r>
                    <w:rPr>
                      <w:rFonts w:hint="eastAsia" w:cs="Times New Roman"/>
                      <w:color w:val="auto"/>
                      <w:sz w:val="21"/>
                      <w:szCs w:val="21"/>
                      <w:lang w:val="en-US" w:eastAsia="zh-CN"/>
                    </w:rPr>
                    <w:t>15</w:t>
                  </w:r>
                </w:p>
              </w:tc>
              <w:tc>
                <w:tcPr>
                  <w:tcW w:w="1105" w:type="dxa"/>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喷枪清洗废液</w:t>
                  </w:r>
                </w:p>
              </w:tc>
              <w:tc>
                <w:tcPr>
                  <w:tcW w:w="152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w:t>
                  </w:r>
                </w:p>
              </w:tc>
              <w:tc>
                <w:tcPr>
                  <w:tcW w:w="663"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液态</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危险固废</w:t>
                  </w:r>
                </w:p>
              </w:tc>
              <w:tc>
                <w:tcPr>
                  <w:tcW w:w="792"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HW</w:t>
                  </w:r>
                  <w:r>
                    <w:rPr>
                      <w:rFonts w:hint="eastAsia"/>
                      <w:color w:val="auto"/>
                      <w:sz w:val="21"/>
                      <w:szCs w:val="21"/>
                      <w:lang w:val="en-US" w:eastAsia="zh-CN"/>
                    </w:rPr>
                    <w:t>12</w:t>
                  </w:r>
                </w:p>
              </w:tc>
              <w:tc>
                <w:tcPr>
                  <w:tcW w:w="1354" w:type="dxa"/>
                  <w:vAlign w:val="center"/>
                </w:tcPr>
                <w:p>
                  <w:pPr>
                    <w:tabs>
                      <w:tab w:val="left" w:pos="677"/>
                    </w:tabs>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900-</w:t>
                  </w:r>
                  <w:r>
                    <w:rPr>
                      <w:rFonts w:hint="eastAsia"/>
                      <w:color w:val="auto"/>
                      <w:sz w:val="21"/>
                      <w:szCs w:val="21"/>
                      <w:lang w:val="en-US" w:eastAsia="zh-CN"/>
                    </w:rPr>
                    <w:t>252</w:t>
                  </w:r>
                  <w:r>
                    <w:rPr>
                      <w:rFonts w:hint="eastAsia"/>
                      <w:color w:val="auto"/>
                      <w:sz w:val="21"/>
                      <w:szCs w:val="21"/>
                    </w:rPr>
                    <w:t>-</w:t>
                  </w:r>
                  <w:r>
                    <w:rPr>
                      <w:rFonts w:hint="eastAsia"/>
                      <w:color w:val="auto"/>
                      <w:sz w:val="21"/>
                      <w:szCs w:val="21"/>
                      <w:lang w:val="en-US" w:eastAsia="zh-CN"/>
                    </w:rPr>
                    <w:t>12</w:t>
                  </w:r>
                </w:p>
              </w:tc>
              <w:tc>
                <w:tcPr>
                  <w:tcW w:w="937" w:type="dxa"/>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0.2</w:t>
                  </w:r>
                </w:p>
              </w:tc>
              <w:tc>
                <w:tcPr>
                  <w:tcW w:w="1157" w:type="dxa"/>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水、油漆</w:t>
                  </w:r>
                </w:p>
              </w:tc>
              <w:tc>
                <w:tcPr>
                  <w:tcW w:w="999" w:type="dxa"/>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油漆</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1天</w:t>
                  </w:r>
                </w:p>
              </w:tc>
              <w:tc>
                <w:tcPr>
                  <w:tcW w:w="0" w:type="auto"/>
                  <w:vAlign w:val="center"/>
                </w:tcPr>
                <w:p>
                  <w:pPr>
                    <w:keepNext w:val="0"/>
                    <w:keepLines w:val="0"/>
                    <w:pageBreakBefore w:val="0"/>
                    <w:tabs>
                      <w:tab w:val="left" w:pos="677"/>
                    </w:tabs>
                    <w:kinsoku/>
                    <w:wordWrap/>
                    <w:overflowPunct/>
                    <w:topLinePunct w:val="0"/>
                    <w:autoSpaceDE/>
                    <w:autoSpaceDN/>
                    <w:bidi w:val="0"/>
                    <w:adjustRightInd/>
                    <w:spacing w:line="30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T，I</w:t>
                  </w:r>
                </w:p>
              </w:tc>
              <w:tc>
                <w:tcPr>
                  <w:tcW w:w="1555" w:type="dxa"/>
                  <w:vMerge w:val="continue"/>
                  <w:vAlign w:val="center"/>
                </w:tcPr>
                <w:p>
                  <w:pPr>
                    <w:tabs>
                      <w:tab w:val="left" w:pos="677"/>
                    </w:tabs>
                    <w:jc w:val="center"/>
                    <w:rPr>
                      <w:rFonts w:hint="default" w:ascii="Times New Roman" w:hAnsi="Times New Roman" w:eastAsia="宋体" w:cs="Times New Roman"/>
                      <w:color w:val="FF0000"/>
                      <w:sz w:val="21"/>
                      <w:szCs w:val="21"/>
                    </w:rPr>
                  </w:pPr>
                </w:p>
              </w:tc>
            </w:tr>
          </w:tbl>
          <w:p>
            <w:pPr>
              <w:pStyle w:val="40"/>
              <w:rPr>
                <w:rFonts w:hint="default" w:ascii="Times New Roman" w:hAnsi="Times New Roman" w:eastAsia="宋体" w:cs="Times New Roman"/>
                <w:b/>
                <w:color w:val="FF0000"/>
                <w:sz w:val="24"/>
                <w:highlight w:val="none"/>
                <w:lang w:eastAsia="zh-CN"/>
              </w:rPr>
            </w:pPr>
          </w:p>
          <w:p>
            <w:pPr>
              <w:pStyle w:val="40"/>
              <w:rPr>
                <w:rFonts w:hint="default" w:ascii="Times New Roman" w:hAnsi="Times New Roman" w:eastAsia="宋体" w:cs="Times New Roman"/>
                <w:b/>
                <w:color w:val="FF0000"/>
                <w:sz w:val="24"/>
                <w:highlight w:val="none"/>
                <w:lang w:eastAsia="zh-CN"/>
              </w:rPr>
            </w:pPr>
          </w:p>
          <w:p>
            <w:pPr>
              <w:pStyle w:val="40"/>
              <w:rPr>
                <w:rFonts w:hint="default" w:ascii="Times New Roman" w:hAnsi="Times New Roman" w:eastAsia="宋体" w:cs="Times New Roman"/>
                <w:b/>
                <w:color w:val="FF0000"/>
                <w:sz w:val="24"/>
                <w:highlight w:val="none"/>
                <w:lang w:eastAsia="zh-CN"/>
              </w:rPr>
            </w:pPr>
          </w:p>
          <w:p>
            <w:pPr>
              <w:pStyle w:val="40"/>
              <w:rPr>
                <w:rFonts w:hint="default" w:ascii="Times New Roman" w:hAnsi="Times New Roman" w:eastAsia="宋体" w:cs="Times New Roman"/>
                <w:b/>
                <w:color w:val="FF0000"/>
                <w:sz w:val="24"/>
                <w:highlight w:val="none"/>
                <w:lang w:eastAsia="zh-CN"/>
              </w:rPr>
            </w:pPr>
          </w:p>
          <w:p>
            <w:pPr>
              <w:pStyle w:val="40"/>
              <w:rPr>
                <w:rFonts w:hint="default" w:ascii="Times New Roman" w:hAnsi="Times New Roman" w:eastAsia="宋体" w:cs="Times New Roman"/>
                <w:b/>
                <w:color w:val="FF0000"/>
                <w:sz w:val="24"/>
                <w:highlight w:val="no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0" w:hRule="atLeast"/>
          <w:jc w:val="center"/>
        </w:trPr>
        <w:tc>
          <w:tcPr>
            <w:tcW w:w="676"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营运期环境影响和保护措施</w:t>
            </w:r>
          </w:p>
        </w:tc>
        <w:tc>
          <w:tcPr>
            <w:tcW w:w="13216" w:type="dxa"/>
          </w:tcPr>
          <w:p>
            <w:pPr>
              <w:spacing w:line="360" w:lineRule="auto"/>
              <w:rPr>
                <w:rFonts w:hint="default" w:ascii="Times New Roman" w:hAnsi="Times New Roman" w:cs="Times New Roman"/>
                <w:b/>
                <w:color w:val="auto"/>
                <w:szCs w:val="24"/>
              </w:rPr>
            </w:pPr>
            <w:r>
              <w:rPr>
                <w:rFonts w:hint="default" w:ascii="Times New Roman" w:hAnsi="Times New Roman" w:cs="Times New Roman"/>
                <w:b/>
                <w:color w:val="auto"/>
                <w:szCs w:val="24"/>
              </w:rPr>
              <w:t>4.</w:t>
            </w:r>
            <w:r>
              <w:rPr>
                <w:rFonts w:hint="default" w:ascii="Times New Roman" w:hAnsi="Times New Roman" w:cs="Times New Roman"/>
                <w:b/>
                <w:color w:val="auto"/>
                <w:szCs w:val="24"/>
                <w:lang w:val="en-US" w:eastAsia="zh-CN"/>
              </w:rPr>
              <w:t>1</w:t>
            </w:r>
            <w:r>
              <w:rPr>
                <w:rFonts w:hint="default" w:ascii="Times New Roman" w:hAnsi="Times New Roman" w:cs="Times New Roman"/>
                <w:b/>
                <w:color w:val="auto"/>
                <w:szCs w:val="24"/>
              </w:rPr>
              <w:t>.4营运期噪声</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（1）噪声源强</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本项目营运期噪声主要来源于生产设备及废气处理设备运转过程中产生的噪声</w:t>
            </w:r>
            <w:r>
              <w:rPr>
                <w:rFonts w:hint="default" w:ascii="Times New Roman" w:hAnsi="Times New Roman" w:cs="Times New Roman"/>
                <w:color w:val="auto"/>
                <w:szCs w:val="24"/>
                <w:lang w:eastAsia="zh-CN"/>
              </w:rPr>
              <w:t>，</w:t>
            </w:r>
            <w:r>
              <w:rPr>
                <w:rFonts w:hint="eastAsia" w:cs="Times New Roman"/>
                <w:color w:val="auto"/>
                <w:szCs w:val="24"/>
                <w:lang w:val="en-US" w:eastAsia="zh-CN"/>
              </w:rPr>
              <w:t>除</w:t>
            </w:r>
            <w:r>
              <w:rPr>
                <w:rFonts w:hint="eastAsia"/>
                <w:color w:val="auto"/>
                <w:lang w:val="en-US" w:eastAsia="zh-CN"/>
              </w:rPr>
              <w:t>水喷淋+</w:t>
            </w:r>
            <w:r>
              <w:rPr>
                <w:color w:val="auto"/>
              </w:rPr>
              <w:t>干式过滤+</w:t>
            </w:r>
            <w:r>
              <w:rPr>
                <w:rFonts w:hint="eastAsia"/>
                <w:color w:val="auto"/>
                <w:lang w:val="en-US" w:eastAsia="zh-CN"/>
              </w:rPr>
              <w:t>活性炭吸脱附</w:t>
            </w:r>
            <w:r>
              <w:rPr>
                <w:color w:val="auto"/>
              </w:rPr>
              <w:t>装置</w:t>
            </w:r>
            <w:r>
              <w:rPr>
                <w:rFonts w:hint="eastAsia"/>
                <w:color w:val="auto"/>
                <w:lang w:val="en-US" w:eastAsia="zh-CN"/>
              </w:rPr>
              <w:t>外，其余</w:t>
            </w:r>
            <w:r>
              <w:rPr>
                <w:rFonts w:hint="default" w:ascii="Times New Roman" w:hAnsi="Times New Roman" w:cs="Times New Roman"/>
                <w:color w:val="auto"/>
                <w:szCs w:val="24"/>
              </w:rPr>
              <w:t>设备均放置于室内。通过对同类型项目的类比调查，本项目主要生产设备噪声强度如下：</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19</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工业企业噪声源强调查清单（室内声源）</w:t>
            </w:r>
          </w:p>
          <w:tbl>
            <w:tblPr>
              <w:tblStyle w:val="29"/>
              <w:tblW w:w="13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1"/>
              <w:gridCol w:w="618"/>
              <w:gridCol w:w="1345"/>
              <w:gridCol w:w="1096"/>
              <w:gridCol w:w="770"/>
              <w:gridCol w:w="636"/>
              <w:gridCol w:w="474"/>
              <w:gridCol w:w="474"/>
              <w:gridCol w:w="474"/>
              <w:gridCol w:w="474"/>
              <w:gridCol w:w="474"/>
              <w:gridCol w:w="474"/>
              <w:gridCol w:w="475"/>
              <w:gridCol w:w="536"/>
              <w:gridCol w:w="536"/>
              <w:gridCol w:w="536"/>
              <w:gridCol w:w="536"/>
              <w:gridCol w:w="612"/>
              <w:gridCol w:w="725"/>
              <w:gridCol w:w="788"/>
              <w:gridCol w:w="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71" w:type="dxa"/>
                  <w:vMerge w:val="restart"/>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序号</w:t>
                  </w:r>
                </w:p>
              </w:tc>
              <w:tc>
                <w:tcPr>
                  <w:tcW w:w="618" w:type="dxa"/>
                  <w:vMerge w:val="restart"/>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建筑物名称</w:t>
                  </w:r>
                </w:p>
              </w:tc>
              <w:tc>
                <w:tcPr>
                  <w:tcW w:w="1345" w:type="dxa"/>
                  <w:vMerge w:val="restart"/>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声源名称</w:t>
                  </w:r>
                </w:p>
              </w:tc>
              <w:tc>
                <w:tcPr>
                  <w:tcW w:w="1096" w:type="dxa"/>
                  <w:vMerge w:val="restart"/>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型号</w:t>
                  </w:r>
                </w:p>
              </w:tc>
              <w:tc>
                <w:tcPr>
                  <w:tcW w:w="770" w:type="dxa"/>
                  <w:vMerge w:val="restart"/>
                  <w:vAlign w:val="center"/>
                </w:tcPr>
                <w:p>
                  <w:pPr>
                    <w:keepNext w:val="0"/>
                    <w:keepLines w:val="0"/>
                    <w:pageBreakBefore w:val="0"/>
                    <w:widowControl w:val="0"/>
                    <w:kinsoku/>
                    <w:wordWrap/>
                    <w:overflowPunct/>
                    <w:topLinePunct w:val="0"/>
                    <w:autoSpaceDE/>
                    <w:autoSpaceDN/>
                    <w:bidi w:val="0"/>
                    <w:adjustRightInd/>
                    <w:snapToGrid w:val="0"/>
                    <w:spacing w:line="200" w:lineRule="exact"/>
                    <w:ind w:right="-12" w:rightChars="-5"/>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声源源强(声压级/距离)/dB(A)/m</w:t>
                  </w:r>
                </w:p>
              </w:tc>
              <w:tc>
                <w:tcPr>
                  <w:tcW w:w="636" w:type="dxa"/>
                  <w:vMerge w:val="restart"/>
                  <w:vAlign w:val="center"/>
                </w:tcPr>
                <w:p>
                  <w:pPr>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声源控制措施</w:t>
                  </w:r>
                </w:p>
              </w:tc>
              <w:tc>
                <w:tcPr>
                  <w:tcW w:w="1422" w:type="dxa"/>
                  <w:gridSpan w:val="3"/>
                  <w:vMerge w:val="restart"/>
                  <w:vAlign w:val="center"/>
                </w:tcPr>
                <w:p>
                  <w:pPr>
                    <w:snapToGrid w:val="0"/>
                    <w:ind w:right="-12" w:rightChars="-5"/>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空间相对位置/m(备注：</w:t>
                  </w:r>
                  <w:r>
                    <w:rPr>
                      <w:rFonts w:hint="default" w:ascii="Times New Roman" w:hAnsi="Times New Roman" w:cs="Times New Roman"/>
                      <w:b/>
                      <w:color w:val="auto"/>
                      <w:sz w:val="18"/>
                      <w:szCs w:val="18"/>
                      <w:lang w:val="en-US" w:eastAsia="zh-CN"/>
                    </w:rPr>
                    <w:t>生产车间</w:t>
                  </w:r>
                  <w:r>
                    <w:rPr>
                      <w:rFonts w:hint="default" w:ascii="Times New Roman" w:hAnsi="Times New Roman" w:cs="Times New Roman"/>
                      <w:b/>
                      <w:color w:val="auto"/>
                      <w:sz w:val="18"/>
                      <w:szCs w:val="18"/>
                    </w:rPr>
                    <w:t>中心为0、0、0)</w:t>
                  </w:r>
                </w:p>
              </w:tc>
              <w:tc>
                <w:tcPr>
                  <w:tcW w:w="1897" w:type="dxa"/>
                  <w:gridSpan w:val="4"/>
                  <w:vMerge w:val="restart"/>
                  <w:vAlign w:val="center"/>
                </w:tcPr>
                <w:p>
                  <w:pPr>
                    <w:snapToGrid w:val="0"/>
                    <w:ind w:right="-12" w:rightChars="-5"/>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距室内边界距离/m</w:t>
                  </w:r>
                </w:p>
              </w:tc>
              <w:tc>
                <w:tcPr>
                  <w:tcW w:w="2144" w:type="dxa"/>
                  <w:gridSpan w:val="4"/>
                  <w:vMerge w:val="restart"/>
                  <w:vAlign w:val="center"/>
                </w:tcPr>
                <w:p>
                  <w:pPr>
                    <w:snapToGrid w:val="0"/>
                    <w:ind w:right="-12" w:rightChars="-5"/>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室内边界声级/dB(A)</w:t>
                  </w:r>
                </w:p>
              </w:tc>
              <w:tc>
                <w:tcPr>
                  <w:tcW w:w="612" w:type="dxa"/>
                  <w:vMerge w:val="restart"/>
                  <w:vAlign w:val="center"/>
                </w:tcPr>
                <w:p>
                  <w:pPr>
                    <w:snapToGrid w:val="0"/>
                    <w:ind w:right="-12" w:rightChars="-5"/>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运行时段</w:t>
                  </w:r>
                </w:p>
              </w:tc>
              <w:tc>
                <w:tcPr>
                  <w:tcW w:w="725" w:type="dxa"/>
                  <w:vMerge w:val="restart"/>
                  <w:vAlign w:val="center"/>
                </w:tcPr>
                <w:p>
                  <w:pPr>
                    <w:snapToGrid w:val="0"/>
                    <w:ind w:right="-12" w:rightChars="-5"/>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建筑物插入损失值/dB(A)</w:t>
                  </w:r>
                </w:p>
              </w:tc>
              <w:tc>
                <w:tcPr>
                  <w:tcW w:w="1403" w:type="dxa"/>
                  <w:gridSpan w:val="2"/>
                  <w:vAlign w:val="center"/>
                </w:tcPr>
                <w:p>
                  <w:pPr>
                    <w:snapToGrid w:val="0"/>
                    <w:ind w:right="-12" w:rightChars="-5"/>
                    <w:jc w:val="center"/>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建筑物外噪声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71" w:type="dxa"/>
                  <w:vMerge w:val="continue"/>
                  <w:vAlign w:val="center"/>
                </w:tcPr>
                <w:p>
                  <w:pPr>
                    <w:jc w:val="center"/>
                    <w:rPr>
                      <w:rFonts w:hint="default" w:ascii="Times New Roman" w:hAnsi="Times New Roman" w:cs="Times New Roman"/>
                      <w:b/>
                      <w:bCs/>
                      <w:color w:val="auto"/>
                      <w:sz w:val="18"/>
                      <w:szCs w:val="18"/>
                    </w:rPr>
                  </w:pPr>
                </w:p>
              </w:tc>
              <w:tc>
                <w:tcPr>
                  <w:tcW w:w="618" w:type="dxa"/>
                  <w:vMerge w:val="continue"/>
                  <w:vAlign w:val="center"/>
                </w:tcPr>
                <w:p>
                  <w:pPr>
                    <w:jc w:val="center"/>
                    <w:rPr>
                      <w:rFonts w:hint="default" w:ascii="Times New Roman" w:hAnsi="Times New Roman" w:cs="Times New Roman"/>
                      <w:b/>
                      <w:bCs/>
                      <w:color w:val="auto"/>
                      <w:sz w:val="18"/>
                      <w:szCs w:val="18"/>
                    </w:rPr>
                  </w:pPr>
                </w:p>
              </w:tc>
              <w:tc>
                <w:tcPr>
                  <w:tcW w:w="1345" w:type="dxa"/>
                  <w:vMerge w:val="continue"/>
                  <w:vAlign w:val="center"/>
                </w:tcPr>
                <w:p>
                  <w:pPr>
                    <w:jc w:val="center"/>
                    <w:rPr>
                      <w:rFonts w:hint="default" w:ascii="Times New Roman" w:hAnsi="Times New Roman" w:cs="Times New Roman"/>
                      <w:b/>
                      <w:bCs/>
                      <w:color w:val="auto"/>
                      <w:sz w:val="18"/>
                      <w:szCs w:val="18"/>
                    </w:rPr>
                  </w:pPr>
                </w:p>
              </w:tc>
              <w:tc>
                <w:tcPr>
                  <w:tcW w:w="1096" w:type="dxa"/>
                  <w:vMerge w:val="continue"/>
                  <w:vAlign w:val="center"/>
                </w:tcPr>
                <w:p>
                  <w:pPr>
                    <w:jc w:val="center"/>
                    <w:rPr>
                      <w:rFonts w:hint="default" w:ascii="Times New Roman" w:hAnsi="Times New Roman" w:cs="Times New Roman"/>
                      <w:b/>
                      <w:bCs/>
                      <w:color w:val="auto"/>
                      <w:sz w:val="18"/>
                      <w:szCs w:val="18"/>
                    </w:rPr>
                  </w:pPr>
                </w:p>
              </w:tc>
              <w:tc>
                <w:tcPr>
                  <w:tcW w:w="770" w:type="dxa"/>
                  <w:vMerge w:val="continue"/>
                  <w:vAlign w:val="center"/>
                </w:tcPr>
                <w:p>
                  <w:pPr>
                    <w:jc w:val="center"/>
                    <w:rPr>
                      <w:rFonts w:hint="default" w:ascii="Times New Roman" w:hAnsi="Times New Roman" w:cs="Times New Roman"/>
                      <w:b/>
                      <w:bCs/>
                      <w:color w:val="auto"/>
                      <w:sz w:val="18"/>
                      <w:szCs w:val="18"/>
                    </w:rPr>
                  </w:pPr>
                </w:p>
              </w:tc>
              <w:tc>
                <w:tcPr>
                  <w:tcW w:w="636" w:type="dxa"/>
                  <w:vMerge w:val="continue"/>
                  <w:vAlign w:val="center"/>
                </w:tcPr>
                <w:p>
                  <w:pPr>
                    <w:jc w:val="center"/>
                    <w:rPr>
                      <w:rFonts w:hint="default" w:ascii="Times New Roman" w:hAnsi="Times New Roman" w:cs="Times New Roman"/>
                      <w:b/>
                      <w:bCs/>
                      <w:color w:val="auto"/>
                      <w:sz w:val="18"/>
                      <w:szCs w:val="18"/>
                    </w:rPr>
                  </w:pPr>
                </w:p>
              </w:tc>
              <w:tc>
                <w:tcPr>
                  <w:tcW w:w="1422" w:type="dxa"/>
                  <w:gridSpan w:val="3"/>
                  <w:vMerge w:val="continue"/>
                  <w:vAlign w:val="center"/>
                </w:tcPr>
                <w:p>
                  <w:pPr>
                    <w:jc w:val="center"/>
                    <w:rPr>
                      <w:rFonts w:hint="default" w:ascii="Times New Roman" w:hAnsi="Times New Roman" w:cs="Times New Roman"/>
                      <w:b/>
                      <w:bCs/>
                      <w:color w:val="auto"/>
                      <w:sz w:val="18"/>
                      <w:szCs w:val="18"/>
                    </w:rPr>
                  </w:pPr>
                </w:p>
              </w:tc>
              <w:tc>
                <w:tcPr>
                  <w:tcW w:w="1897" w:type="dxa"/>
                  <w:gridSpan w:val="4"/>
                  <w:vMerge w:val="continue"/>
                  <w:vAlign w:val="center"/>
                </w:tcPr>
                <w:p>
                  <w:pPr>
                    <w:jc w:val="center"/>
                    <w:rPr>
                      <w:rFonts w:hint="default" w:ascii="Times New Roman" w:hAnsi="Times New Roman" w:cs="Times New Roman"/>
                      <w:b/>
                      <w:bCs/>
                      <w:color w:val="auto"/>
                      <w:sz w:val="18"/>
                      <w:szCs w:val="18"/>
                    </w:rPr>
                  </w:pPr>
                </w:p>
              </w:tc>
              <w:tc>
                <w:tcPr>
                  <w:tcW w:w="2144" w:type="dxa"/>
                  <w:gridSpan w:val="4"/>
                  <w:vMerge w:val="continue"/>
                  <w:vAlign w:val="center"/>
                </w:tcPr>
                <w:p>
                  <w:pPr>
                    <w:jc w:val="center"/>
                    <w:rPr>
                      <w:rFonts w:hint="default" w:ascii="Times New Roman" w:hAnsi="Times New Roman" w:cs="Times New Roman"/>
                      <w:b/>
                      <w:bCs/>
                      <w:color w:val="auto"/>
                      <w:sz w:val="18"/>
                      <w:szCs w:val="18"/>
                    </w:rPr>
                  </w:pPr>
                </w:p>
              </w:tc>
              <w:tc>
                <w:tcPr>
                  <w:tcW w:w="612" w:type="dxa"/>
                  <w:vMerge w:val="continue"/>
                  <w:vAlign w:val="center"/>
                </w:tcPr>
                <w:p>
                  <w:pPr>
                    <w:jc w:val="center"/>
                    <w:rPr>
                      <w:rFonts w:hint="default" w:ascii="Times New Roman" w:hAnsi="Times New Roman" w:cs="Times New Roman"/>
                      <w:b/>
                      <w:bCs/>
                      <w:color w:val="auto"/>
                      <w:sz w:val="18"/>
                      <w:szCs w:val="18"/>
                    </w:rPr>
                  </w:pPr>
                </w:p>
              </w:tc>
              <w:tc>
                <w:tcPr>
                  <w:tcW w:w="725" w:type="dxa"/>
                  <w:vMerge w:val="continue"/>
                  <w:vAlign w:val="center"/>
                </w:tcPr>
                <w:p>
                  <w:pPr>
                    <w:jc w:val="center"/>
                    <w:rPr>
                      <w:rFonts w:hint="default" w:ascii="Times New Roman" w:hAnsi="Times New Roman" w:cs="Times New Roman"/>
                      <w:b/>
                      <w:bCs/>
                      <w:color w:val="auto"/>
                      <w:sz w:val="18"/>
                      <w:szCs w:val="18"/>
                    </w:rPr>
                  </w:pPr>
                </w:p>
              </w:tc>
              <w:tc>
                <w:tcPr>
                  <w:tcW w:w="788" w:type="dxa"/>
                  <w:vMerge w:val="restart"/>
                  <w:vAlign w:val="center"/>
                </w:tcPr>
                <w:p>
                  <w:pPr>
                    <w:keepNext w:val="0"/>
                    <w:keepLines w:val="0"/>
                    <w:pageBreakBefore w:val="0"/>
                    <w:widowControl w:val="0"/>
                    <w:kinsoku/>
                    <w:wordWrap/>
                    <w:overflowPunct/>
                    <w:topLinePunct w:val="0"/>
                    <w:autoSpaceDE/>
                    <w:autoSpaceDN/>
                    <w:bidi w:val="0"/>
                    <w:adjustRightInd/>
                    <w:snapToGrid w:val="0"/>
                    <w:spacing w:line="200" w:lineRule="exact"/>
                    <w:ind w:right="-12" w:rightChars="-5"/>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声压级/dB(A)</w:t>
                  </w:r>
                </w:p>
              </w:tc>
              <w:tc>
                <w:tcPr>
                  <w:tcW w:w="615" w:type="dxa"/>
                  <w:vMerge w:val="restart"/>
                  <w:vAlign w:val="center"/>
                </w:tcPr>
                <w:p>
                  <w:pPr>
                    <w:keepNext w:val="0"/>
                    <w:keepLines w:val="0"/>
                    <w:pageBreakBefore w:val="0"/>
                    <w:widowControl w:val="0"/>
                    <w:kinsoku/>
                    <w:wordWrap/>
                    <w:overflowPunct/>
                    <w:topLinePunct w:val="0"/>
                    <w:autoSpaceDE/>
                    <w:autoSpaceDN/>
                    <w:bidi w:val="0"/>
                    <w:adjustRightInd/>
                    <w:snapToGrid w:val="0"/>
                    <w:spacing w:line="200" w:lineRule="exact"/>
                    <w:ind w:right="-12" w:rightChars="-5"/>
                    <w:jc w:val="center"/>
                    <w:textAlignment w:val="auto"/>
                    <w:rPr>
                      <w:rFonts w:hint="default" w:ascii="Times New Roman" w:hAnsi="Times New Roman" w:cs="Times New Roman"/>
                      <w:b/>
                      <w:color w:val="auto"/>
                      <w:sz w:val="18"/>
                      <w:szCs w:val="18"/>
                    </w:rPr>
                  </w:pPr>
                  <w:r>
                    <w:rPr>
                      <w:rFonts w:hint="default" w:ascii="Times New Roman" w:hAnsi="Times New Roman" w:cs="Times New Roman"/>
                      <w:b/>
                      <w:color w:val="auto"/>
                      <w:sz w:val="18"/>
                      <w:szCs w:val="18"/>
                    </w:rPr>
                    <w:t>建筑物外距离/m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371" w:type="dxa"/>
                  <w:vMerge w:val="continue"/>
                  <w:vAlign w:val="center"/>
                </w:tcPr>
                <w:p>
                  <w:pPr>
                    <w:jc w:val="center"/>
                    <w:rPr>
                      <w:rFonts w:hint="default" w:ascii="Times New Roman" w:hAnsi="Times New Roman" w:cs="Times New Roman"/>
                      <w:b/>
                      <w:bCs/>
                      <w:color w:val="auto"/>
                      <w:sz w:val="18"/>
                      <w:szCs w:val="18"/>
                    </w:rPr>
                  </w:pPr>
                </w:p>
              </w:tc>
              <w:tc>
                <w:tcPr>
                  <w:tcW w:w="618" w:type="dxa"/>
                  <w:vMerge w:val="continue"/>
                  <w:vAlign w:val="center"/>
                </w:tcPr>
                <w:p>
                  <w:pPr>
                    <w:jc w:val="center"/>
                    <w:rPr>
                      <w:rFonts w:hint="default" w:ascii="Times New Roman" w:hAnsi="Times New Roman" w:cs="Times New Roman"/>
                      <w:b/>
                      <w:bCs/>
                      <w:color w:val="auto"/>
                      <w:sz w:val="18"/>
                      <w:szCs w:val="18"/>
                    </w:rPr>
                  </w:pPr>
                </w:p>
              </w:tc>
              <w:tc>
                <w:tcPr>
                  <w:tcW w:w="1345" w:type="dxa"/>
                  <w:vMerge w:val="continue"/>
                  <w:vAlign w:val="center"/>
                </w:tcPr>
                <w:p>
                  <w:pPr>
                    <w:jc w:val="center"/>
                    <w:rPr>
                      <w:rFonts w:hint="default" w:ascii="Times New Roman" w:hAnsi="Times New Roman" w:cs="Times New Roman"/>
                      <w:b/>
                      <w:bCs/>
                      <w:color w:val="auto"/>
                      <w:sz w:val="18"/>
                      <w:szCs w:val="18"/>
                    </w:rPr>
                  </w:pPr>
                </w:p>
              </w:tc>
              <w:tc>
                <w:tcPr>
                  <w:tcW w:w="1096" w:type="dxa"/>
                  <w:vMerge w:val="continue"/>
                  <w:vAlign w:val="center"/>
                </w:tcPr>
                <w:p>
                  <w:pPr>
                    <w:jc w:val="center"/>
                    <w:rPr>
                      <w:rFonts w:hint="default" w:ascii="Times New Roman" w:hAnsi="Times New Roman" w:cs="Times New Roman"/>
                      <w:b/>
                      <w:bCs/>
                      <w:color w:val="auto"/>
                      <w:sz w:val="18"/>
                      <w:szCs w:val="18"/>
                    </w:rPr>
                  </w:pPr>
                </w:p>
              </w:tc>
              <w:tc>
                <w:tcPr>
                  <w:tcW w:w="770" w:type="dxa"/>
                  <w:vMerge w:val="continue"/>
                  <w:vAlign w:val="center"/>
                </w:tcPr>
                <w:p>
                  <w:pPr>
                    <w:jc w:val="center"/>
                    <w:rPr>
                      <w:rFonts w:hint="default" w:ascii="Times New Roman" w:hAnsi="Times New Roman" w:cs="Times New Roman"/>
                      <w:b/>
                      <w:bCs/>
                      <w:color w:val="auto"/>
                      <w:sz w:val="18"/>
                      <w:szCs w:val="18"/>
                    </w:rPr>
                  </w:pPr>
                </w:p>
              </w:tc>
              <w:tc>
                <w:tcPr>
                  <w:tcW w:w="636" w:type="dxa"/>
                  <w:vMerge w:val="continue"/>
                  <w:vAlign w:val="center"/>
                </w:tcPr>
                <w:p>
                  <w:pPr>
                    <w:jc w:val="center"/>
                    <w:rPr>
                      <w:rFonts w:hint="default" w:ascii="Times New Roman" w:hAnsi="Times New Roman" w:cs="Times New Roman"/>
                      <w:b/>
                      <w:bCs/>
                      <w:color w:val="auto"/>
                      <w:sz w:val="18"/>
                      <w:szCs w:val="18"/>
                    </w:rPr>
                  </w:pPr>
                </w:p>
              </w:tc>
              <w:tc>
                <w:tcPr>
                  <w:tcW w:w="474"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X</w:t>
                  </w:r>
                </w:p>
              </w:tc>
              <w:tc>
                <w:tcPr>
                  <w:tcW w:w="474"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Y</w:t>
                  </w:r>
                </w:p>
              </w:tc>
              <w:tc>
                <w:tcPr>
                  <w:tcW w:w="474"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Z</w:t>
                  </w:r>
                </w:p>
              </w:tc>
              <w:tc>
                <w:tcPr>
                  <w:tcW w:w="474"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东</w:t>
                  </w:r>
                </w:p>
              </w:tc>
              <w:tc>
                <w:tcPr>
                  <w:tcW w:w="474"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南</w:t>
                  </w:r>
                </w:p>
              </w:tc>
              <w:tc>
                <w:tcPr>
                  <w:tcW w:w="474"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西</w:t>
                  </w:r>
                </w:p>
              </w:tc>
              <w:tc>
                <w:tcPr>
                  <w:tcW w:w="475"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北</w:t>
                  </w:r>
                </w:p>
              </w:tc>
              <w:tc>
                <w:tcPr>
                  <w:tcW w:w="536"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东</w:t>
                  </w:r>
                </w:p>
              </w:tc>
              <w:tc>
                <w:tcPr>
                  <w:tcW w:w="536"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南</w:t>
                  </w:r>
                </w:p>
              </w:tc>
              <w:tc>
                <w:tcPr>
                  <w:tcW w:w="536"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西</w:t>
                  </w:r>
                </w:p>
              </w:tc>
              <w:tc>
                <w:tcPr>
                  <w:tcW w:w="536" w:type="dxa"/>
                  <w:vAlign w:val="center"/>
                </w:tcPr>
                <w:p>
                  <w:pPr>
                    <w:jc w:val="center"/>
                    <w:rPr>
                      <w:rFonts w:hint="default" w:ascii="Times New Roman" w:hAnsi="Times New Roman" w:cs="Times New Roman"/>
                      <w:b/>
                      <w:bCs/>
                      <w:color w:val="auto"/>
                      <w:sz w:val="18"/>
                      <w:szCs w:val="18"/>
                    </w:rPr>
                  </w:pPr>
                  <w:r>
                    <w:rPr>
                      <w:rFonts w:hint="default" w:ascii="Times New Roman" w:hAnsi="Times New Roman" w:cs="Times New Roman"/>
                      <w:b/>
                      <w:bCs/>
                      <w:color w:val="auto"/>
                      <w:sz w:val="18"/>
                      <w:szCs w:val="18"/>
                    </w:rPr>
                    <w:t>北</w:t>
                  </w:r>
                </w:p>
              </w:tc>
              <w:tc>
                <w:tcPr>
                  <w:tcW w:w="612" w:type="dxa"/>
                  <w:vMerge w:val="continue"/>
                  <w:vAlign w:val="center"/>
                </w:tcPr>
                <w:p>
                  <w:pPr>
                    <w:jc w:val="center"/>
                    <w:rPr>
                      <w:rFonts w:hint="default" w:ascii="Times New Roman" w:hAnsi="Times New Roman" w:cs="Times New Roman"/>
                      <w:b/>
                      <w:bCs/>
                      <w:color w:val="auto"/>
                      <w:sz w:val="18"/>
                      <w:szCs w:val="18"/>
                    </w:rPr>
                  </w:pPr>
                </w:p>
              </w:tc>
              <w:tc>
                <w:tcPr>
                  <w:tcW w:w="725" w:type="dxa"/>
                  <w:vMerge w:val="continue"/>
                  <w:vAlign w:val="center"/>
                </w:tcPr>
                <w:p>
                  <w:pPr>
                    <w:jc w:val="center"/>
                    <w:rPr>
                      <w:rFonts w:hint="default" w:ascii="Times New Roman" w:hAnsi="Times New Roman" w:cs="Times New Roman"/>
                      <w:b/>
                      <w:bCs/>
                      <w:color w:val="auto"/>
                      <w:sz w:val="18"/>
                      <w:szCs w:val="18"/>
                    </w:rPr>
                  </w:pPr>
                </w:p>
              </w:tc>
              <w:tc>
                <w:tcPr>
                  <w:tcW w:w="788" w:type="dxa"/>
                  <w:vMerge w:val="continue"/>
                  <w:vAlign w:val="center"/>
                </w:tcPr>
                <w:p>
                  <w:pPr>
                    <w:jc w:val="center"/>
                    <w:rPr>
                      <w:rFonts w:hint="default" w:ascii="Times New Roman" w:hAnsi="Times New Roman" w:cs="Times New Roman"/>
                      <w:b/>
                      <w:bCs/>
                      <w:color w:val="auto"/>
                      <w:sz w:val="18"/>
                      <w:szCs w:val="18"/>
                    </w:rPr>
                  </w:pPr>
                </w:p>
              </w:tc>
              <w:tc>
                <w:tcPr>
                  <w:tcW w:w="615" w:type="dxa"/>
                  <w:vMerge w:val="continue"/>
                  <w:vAlign w:val="center"/>
                </w:tcPr>
                <w:p>
                  <w:pPr>
                    <w:jc w:val="center"/>
                    <w:rPr>
                      <w:rFonts w:hint="default" w:ascii="Times New Roman" w:hAnsi="Times New Roman" w:cs="Times New Roman"/>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restart"/>
                  <w:vAlign w:val="center"/>
                </w:tcPr>
                <w:p>
                  <w:pPr>
                    <w:jc w:val="center"/>
                    <w:rPr>
                      <w:rFonts w:hint="default" w:ascii="Times New Roman" w:hAnsi="Times New Roman" w:cs="Times New Roman"/>
                      <w:bCs/>
                      <w:color w:val="auto"/>
                      <w:sz w:val="18"/>
                      <w:szCs w:val="18"/>
                    </w:rPr>
                  </w:pPr>
                  <w:r>
                    <w:rPr>
                      <w:rFonts w:hint="default" w:ascii="Times New Roman" w:hAnsi="Times New Roman" w:cs="Times New Roman"/>
                      <w:bCs/>
                      <w:color w:val="auto"/>
                      <w:sz w:val="18"/>
                      <w:szCs w:val="18"/>
                    </w:rPr>
                    <w:t>1</w:t>
                  </w:r>
                </w:p>
              </w:tc>
              <w:tc>
                <w:tcPr>
                  <w:tcW w:w="618" w:type="dxa"/>
                  <w:vMerge w:val="restart"/>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涂装</w:t>
                  </w:r>
                  <w:r>
                    <w:rPr>
                      <w:rFonts w:hint="default" w:ascii="Times New Roman" w:hAnsi="Times New Roman" w:cs="Times New Roman"/>
                      <w:color w:val="auto"/>
                      <w:sz w:val="18"/>
                      <w:szCs w:val="18"/>
                    </w:rPr>
                    <w:t>生产车间</w:t>
                  </w:r>
                </w:p>
              </w:tc>
              <w:tc>
                <w:tcPr>
                  <w:tcW w:w="1345"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粉末涂覆线</w:t>
                  </w:r>
                </w:p>
              </w:tc>
              <w:tc>
                <w:tcPr>
                  <w:tcW w:w="1096"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c>
                <w:tcPr>
                  <w:tcW w:w="770" w:type="dxa"/>
                  <w:vAlign w:val="center"/>
                </w:tcPr>
                <w:p>
                  <w:pPr>
                    <w:snapToGrid w:val="0"/>
                    <w:ind w:right="-12" w:rightChars="-5"/>
                    <w:jc w:val="center"/>
                    <w:rPr>
                      <w:rFonts w:hint="default" w:ascii="Times New Roman" w:hAnsi="Times New Roman" w:cs="Times New Roman"/>
                      <w:color w:val="auto"/>
                      <w:sz w:val="18"/>
                      <w:szCs w:val="18"/>
                    </w:rPr>
                  </w:pPr>
                  <w:r>
                    <w:rPr>
                      <w:rFonts w:hint="eastAsia" w:cs="Times New Roman"/>
                      <w:color w:val="auto"/>
                      <w:sz w:val="18"/>
                      <w:szCs w:val="18"/>
                      <w:lang w:val="en-US" w:eastAsia="zh-CN"/>
                    </w:rPr>
                    <w:t>82</w:t>
                  </w:r>
                  <w:r>
                    <w:rPr>
                      <w:rFonts w:hint="default" w:ascii="Times New Roman" w:hAnsi="Times New Roman" w:cs="Times New Roman"/>
                      <w:color w:val="auto"/>
                      <w:sz w:val="18"/>
                      <w:szCs w:val="18"/>
                    </w:rPr>
                    <w:t>/1</w:t>
                  </w:r>
                </w:p>
              </w:tc>
              <w:tc>
                <w:tcPr>
                  <w:tcW w:w="636" w:type="dxa"/>
                  <w:vMerge w:val="restart"/>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营运期间关闭门窗</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2.0</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65</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30</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69</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80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52.3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52.6</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52.3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52.3</w:t>
                  </w:r>
                </w:p>
              </w:tc>
              <w:tc>
                <w:tcPr>
                  <w:tcW w:w="612" w:type="dxa"/>
                  <w:vMerge w:val="restart"/>
                  <w:vAlign w:val="center"/>
                </w:tcPr>
                <w:p>
                  <w:pPr>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昼间</w:t>
                  </w:r>
                </w:p>
              </w:tc>
              <w:tc>
                <w:tcPr>
                  <w:tcW w:w="725" w:type="dxa"/>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788" w:type="dxa"/>
                  <w:vMerge w:val="restart"/>
                  <w:vAlign w:val="center"/>
                </w:tcPr>
                <w:p>
                  <w:pPr>
                    <w:snapToGrid w:val="0"/>
                    <w:ind w:right="-12" w:rightChars="-5"/>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昼间</w:t>
                  </w:r>
                </w:p>
                <w:p>
                  <w:pPr>
                    <w:snapToGrid w:val="0"/>
                    <w:ind w:right="-12" w:rightChars="-5"/>
                    <w:jc w:val="left"/>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东:</w:t>
                  </w:r>
                  <w:r>
                    <w:rPr>
                      <w:rFonts w:hint="eastAsia" w:cs="Times New Roman"/>
                      <w:color w:val="auto"/>
                      <w:sz w:val="18"/>
                      <w:szCs w:val="18"/>
                      <w:lang w:val="en-US" w:eastAsia="zh-CN"/>
                    </w:rPr>
                    <w:t>44.3</w:t>
                  </w:r>
                  <w:r>
                    <w:rPr>
                      <w:rFonts w:hint="default" w:ascii="Times New Roman" w:hAnsi="Times New Roman" w:cs="Times New Roman"/>
                      <w:color w:val="auto"/>
                      <w:sz w:val="18"/>
                      <w:szCs w:val="18"/>
                    </w:rPr>
                    <w:t>南:</w:t>
                  </w:r>
                  <w:r>
                    <w:rPr>
                      <w:rFonts w:hint="eastAsia" w:cs="Times New Roman"/>
                      <w:color w:val="auto"/>
                      <w:sz w:val="18"/>
                      <w:szCs w:val="18"/>
                      <w:lang w:val="en-US" w:eastAsia="zh-CN"/>
                    </w:rPr>
                    <w:t>46.0</w:t>
                  </w:r>
                  <w:r>
                    <w:rPr>
                      <w:rFonts w:hint="default" w:ascii="Times New Roman" w:hAnsi="Times New Roman" w:cs="Times New Roman"/>
                      <w:color w:val="auto"/>
                      <w:sz w:val="18"/>
                      <w:szCs w:val="18"/>
                    </w:rPr>
                    <w:t>西:</w:t>
                  </w:r>
                  <w:r>
                    <w:rPr>
                      <w:rFonts w:hint="eastAsia" w:cs="Times New Roman"/>
                      <w:color w:val="auto"/>
                      <w:sz w:val="18"/>
                      <w:szCs w:val="18"/>
                      <w:lang w:val="en-US" w:eastAsia="zh-CN"/>
                    </w:rPr>
                    <w:t>44.3</w:t>
                  </w:r>
                  <w:r>
                    <w:rPr>
                      <w:rFonts w:hint="default" w:ascii="Times New Roman" w:hAnsi="Times New Roman" w:cs="Times New Roman"/>
                      <w:color w:val="auto"/>
                      <w:sz w:val="18"/>
                      <w:szCs w:val="18"/>
                    </w:rPr>
                    <w:t>北:</w:t>
                  </w:r>
                  <w:r>
                    <w:rPr>
                      <w:rFonts w:hint="eastAsia" w:cs="Times New Roman"/>
                      <w:color w:val="auto"/>
                      <w:sz w:val="18"/>
                      <w:szCs w:val="18"/>
                      <w:lang w:val="en-US" w:eastAsia="zh-CN"/>
                    </w:rPr>
                    <w:t>44</w:t>
                  </w:r>
                  <w:r>
                    <w:rPr>
                      <w:rFonts w:hint="default" w:ascii="Times New Roman" w:hAnsi="Times New Roman" w:cs="Times New Roman"/>
                      <w:color w:val="auto"/>
                      <w:sz w:val="18"/>
                      <w:szCs w:val="18"/>
                      <w:lang w:val="en-US" w:eastAsia="zh-CN"/>
                    </w:rPr>
                    <w:t>.</w:t>
                  </w:r>
                  <w:r>
                    <w:rPr>
                      <w:rFonts w:hint="eastAsia" w:cs="Times New Roman"/>
                      <w:color w:val="auto"/>
                      <w:sz w:val="18"/>
                      <w:szCs w:val="18"/>
                      <w:lang w:val="en-US" w:eastAsia="zh-CN"/>
                    </w:rPr>
                    <w:t>3</w:t>
                  </w:r>
                </w:p>
              </w:tc>
              <w:tc>
                <w:tcPr>
                  <w:tcW w:w="615" w:type="dxa"/>
                  <w:vAlign w:val="center"/>
                </w:tcPr>
                <w:p>
                  <w:pPr>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auto"/>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抛丸机</w:t>
                  </w:r>
                </w:p>
              </w:tc>
              <w:tc>
                <w:tcPr>
                  <w:tcW w:w="1096"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c>
                <w:tcPr>
                  <w:tcW w:w="770" w:type="dxa"/>
                  <w:vAlign w:val="center"/>
                </w:tcPr>
                <w:p>
                  <w:pPr>
                    <w:snapToGrid w:val="0"/>
                    <w:ind w:right="-12" w:rightChars="-5"/>
                    <w:jc w:val="center"/>
                    <w:rPr>
                      <w:rFonts w:hint="default" w:ascii="Times New Roman" w:hAnsi="Times New Roman" w:cs="Times New Roman"/>
                      <w:color w:val="auto"/>
                      <w:sz w:val="18"/>
                      <w:szCs w:val="18"/>
                    </w:rPr>
                  </w:pPr>
                  <w:r>
                    <w:rPr>
                      <w:rFonts w:hint="eastAsia" w:cs="Times New Roman"/>
                      <w:color w:val="auto"/>
                      <w:sz w:val="18"/>
                      <w:szCs w:val="18"/>
                      <w:lang w:val="en-US" w:eastAsia="zh-CN"/>
                    </w:rPr>
                    <w:t>85</w:t>
                  </w:r>
                  <w:r>
                    <w:rPr>
                      <w:rFonts w:hint="default" w:ascii="Times New Roman" w:hAnsi="Times New Roman" w:cs="Times New Roman"/>
                      <w:color w:val="auto"/>
                      <w:sz w:val="18"/>
                      <w:szCs w:val="18"/>
                    </w:rPr>
                    <w:t>/1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2.0</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70</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20</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64</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90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auto"/>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抛丸机</w:t>
                  </w:r>
                </w:p>
              </w:tc>
              <w:tc>
                <w:tcPr>
                  <w:tcW w:w="1096"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c>
                <w:tcPr>
                  <w:tcW w:w="770" w:type="dxa"/>
                  <w:vAlign w:val="center"/>
                </w:tcPr>
                <w:p>
                  <w:pPr>
                    <w:snapToGrid w:val="0"/>
                    <w:ind w:right="-12" w:rightChars="-5"/>
                    <w:jc w:val="center"/>
                    <w:rPr>
                      <w:rFonts w:hint="default" w:ascii="Times New Roman" w:hAnsi="Times New Roman" w:cs="Times New Roman"/>
                      <w:color w:val="auto"/>
                      <w:sz w:val="18"/>
                      <w:szCs w:val="18"/>
                    </w:rPr>
                  </w:pPr>
                  <w:r>
                    <w:rPr>
                      <w:rFonts w:hint="eastAsia" w:cs="Times New Roman"/>
                      <w:color w:val="auto"/>
                      <w:sz w:val="18"/>
                      <w:szCs w:val="18"/>
                      <w:lang w:val="en-US" w:eastAsia="zh-CN"/>
                    </w:rPr>
                    <w:t>85</w:t>
                  </w:r>
                  <w:r>
                    <w:rPr>
                      <w:rFonts w:hint="default" w:ascii="Times New Roman" w:hAnsi="Times New Roman" w:cs="Times New Roman"/>
                      <w:color w:val="auto"/>
                      <w:sz w:val="18"/>
                      <w:szCs w:val="18"/>
                    </w:rPr>
                    <w:t>/1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2.0</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50</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20</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84</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90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55.4</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auto"/>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抛丸机</w:t>
                  </w:r>
                </w:p>
              </w:tc>
              <w:tc>
                <w:tcPr>
                  <w:tcW w:w="1096"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c>
                <w:tcPr>
                  <w:tcW w:w="770"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sz w:val="18"/>
                      <w:szCs w:val="18"/>
                      <w:lang w:val="en-US" w:eastAsia="zh-CN"/>
                    </w:rPr>
                    <w:t>85</w:t>
                  </w:r>
                  <w:r>
                    <w:rPr>
                      <w:rFonts w:hint="default" w:ascii="Times New Roman" w:hAnsi="Times New Roman" w:cs="Times New Roman"/>
                      <w:color w:val="auto"/>
                      <w:sz w:val="18"/>
                      <w:szCs w:val="18"/>
                    </w:rPr>
                    <w:t>/1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-75</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2.0</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65</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15</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69</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95</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56.5</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auto"/>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脉冲布袋除尘装置</w:t>
                  </w:r>
                </w:p>
              </w:tc>
              <w:tc>
                <w:tcPr>
                  <w:tcW w:w="1096"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20000m</w:t>
                  </w:r>
                  <w:r>
                    <w:rPr>
                      <w:rFonts w:hint="eastAsia" w:ascii="Times New Roman" w:hAnsi="Times New Roman" w:eastAsia="宋体" w:cs="Times New Roman"/>
                      <w:color w:val="auto"/>
                      <w:sz w:val="18"/>
                      <w:szCs w:val="18"/>
                      <w:vertAlign w:val="superscript"/>
                      <w:lang w:val="en-US" w:eastAsia="zh-CN"/>
                    </w:rPr>
                    <w:t>3</w:t>
                  </w:r>
                  <w:r>
                    <w:rPr>
                      <w:rFonts w:hint="eastAsia" w:ascii="Times New Roman" w:hAnsi="Times New Roman" w:eastAsia="宋体" w:cs="Times New Roman"/>
                      <w:color w:val="auto"/>
                      <w:sz w:val="18"/>
                      <w:szCs w:val="18"/>
                      <w:lang w:val="en-US" w:eastAsia="zh-CN"/>
                    </w:rPr>
                    <w:t>/h</w:t>
                  </w:r>
                </w:p>
              </w:tc>
              <w:tc>
                <w:tcPr>
                  <w:tcW w:w="770"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sz w:val="18"/>
                      <w:szCs w:val="18"/>
                      <w:lang w:val="en-US" w:eastAsia="zh-CN"/>
                    </w:rPr>
                    <w:t>85</w:t>
                  </w:r>
                  <w:r>
                    <w:rPr>
                      <w:rFonts w:hint="default" w:ascii="Times New Roman" w:hAnsi="Times New Roman" w:cs="Times New Roman"/>
                      <w:color w:val="auto"/>
                      <w:sz w:val="18"/>
                      <w:szCs w:val="18"/>
                    </w:rPr>
                    <w:t>/1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35</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-70</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1.5</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45</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20</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89</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90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55.4</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auto"/>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脉冲布袋除尘装置</w:t>
                  </w:r>
                </w:p>
              </w:tc>
              <w:tc>
                <w:tcPr>
                  <w:tcW w:w="1096"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eastAsia="宋体" w:cs="Times New Roman"/>
                      <w:color w:val="auto"/>
                      <w:sz w:val="18"/>
                      <w:szCs w:val="18"/>
                      <w:lang w:val="en-US" w:eastAsia="zh-CN"/>
                    </w:rPr>
                    <w:t>4</w:t>
                  </w:r>
                  <w:r>
                    <w:rPr>
                      <w:rFonts w:hint="eastAsia" w:ascii="Times New Roman" w:hAnsi="Times New Roman" w:eastAsia="宋体" w:cs="Times New Roman"/>
                      <w:color w:val="auto"/>
                      <w:sz w:val="18"/>
                      <w:szCs w:val="18"/>
                      <w:lang w:val="en-US" w:eastAsia="zh-CN"/>
                    </w:rPr>
                    <w:t>0000m</w:t>
                  </w:r>
                  <w:r>
                    <w:rPr>
                      <w:rFonts w:hint="eastAsia" w:ascii="Times New Roman" w:hAnsi="Times New Roman" w:eastAsia="宋体" w:cs="Times New Roman"/>
                      <w:color w:val="auto"/>
                      <w:sz w:val="18"/>
                      <w:szCs w:val="18"/>
                      <w:vertAlign w:val="superscript"/>
                      <w:lang w:val="en-US" w:eastAsia="zh-CN"/>
                    </w:rPr>
                    <w:t>3</w:t>
                  </w:r>
                  <w:r>
                    <w:rPr>
                      <w:rFonts w:hint="eastAsia" w:ascii="Times New Roman" w:hAnsi="Times New Roman" w:eastAsia="宋体" w:cs="Times New Roman"/>
                      <w:color w:val="auto"/>
                      <w:sz w:val="18"/>
                      <w:szCs w:val="18"/>
                      <w:lang w:val="en-US" w:eastAsia="zh-CN"/>
                    </w:rPr>
                    <w:t>/h</w:t>
                  </w:r>
                </w:p>
              </w:tc>
              <w:tc>
                <w:tcPr>
                  <w:tcW w:w="770"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86/1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-70</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1.5</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85</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20</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49</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90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57.0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56.4</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auto"/>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脉冲布袋除尘装置</w:t>
                  </w:r>
                </w:p>
              </w:tc>
              <w:tc>
                <w:tcPr>
                  <w:tcW w:w="1096"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eastAsia="宋体" w:cs="Times New Roman"/>
                      <w:color w:val="auto"/>
                      <w:sz w:val="18"/>
                      <w:szCs w:val="18"/>
                      <w:lang w:val="en-US" w:eastAsia="zh-CN"/>
                    </w:rPr>
                    <w:t>4</w:t>
                  </w:r>
                  <w:r>
                    <w:rPr>
                      <w:rFonts w:hint="eastAsia" w:ascii="Times New Roman" w:hAnsi="Times New Roman" w:eastAsia="宋体" w:cs="Times New Roman"/>
                      <w:color w:val="auto"/>
                      <w:sz w:val="18"/>
                      <w:szCs w:val="18"/>
                      <w:lang w:val="en-US" w:eastAsia="zh-CN"/>
                    </w:rPr>
                    <w:t>0000m</w:t>
                  </w:r>
                  <w:r>
                    <w:rPr>
                      <w:rFonts w:hint="eastAsia" w:ascii="Times New Roman" w:hAnsi="Times New Roman" w:eastAsia="宋体" w:cs="Times New Roman"/>
                      <w:color w:val="auto"/>
                      <w:sz w:val="18"/>
                      <w:szCs w:val="18"/>
                      <w:vertAlign w:val="superscript"/>
                      <w:lang w:val="en-US" w:eastAsia="zh-CN"/>
                    </w:rPr>
                    <w:t>3</w:t>
                  </w:r>
                  <w:r>
                    <w:rPr>
                      <w:rFonts w:hint="eastAsia" w:ascii="Times New Roman" w:hAnsi="Times New Roman" w:eastAsia="宋体" w:cs="Times New Roman"/>
                      <w:color w:val="auto"/>
                      <w:sz w:val="18"/>
                      <w:szCs w:val="18"/>
                      <w:lang w:val="en-US" w:eastAsia="zh-CN"/>
                    </w:rPr>
                    <w:t>/h</w:t>
                  </w:r>
                </w:p>
              </w:tc>
              <w:tc>
                <w:tcPr>
                  <w:tcW w:w="770"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86/1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12</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-75</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68</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66</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95</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57.5</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56.3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cs="Times New Roman"/>
                      <w:color w:val="auto"/>
                      <w:sz w:val="18"/>
                      <w:szCs w:val="18"/>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FF0000"/>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FF0000"/>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滤芯除尘+脉冲布袋+两级活性炭装置</w:t>
                  </w:r>
                </w:p>
              </w:tc>
              <w:tc>
                <w:tcPr>
                  <w:tcW w:w="1096"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eastAsia="宋体" w:cs="Times New Roman"/>
                      <w:color w:val="auto"/>
                      <w:sz w:val="18"/>
                      <w:szCs w:val="18"/>
                      <w:lang w:val="en-US" w:eastAsia="zh-CN"/>
                    </w:rPr>
                    <w:t>15</w:t>
                  </w:r>
                  <w:r>
                    <w:rPr>
                      <w:rFonts w:hint="eastAsia" w:ascii="Times New Roman" w:hAnsi="Times New Roman" w:eastAsia="宋体" w:cs="Times New Roman"/>
                      <w:color w:val="auto"/>
                      <w:sz w:val="18"/>
                      <w:szCs w:val="18"/>
                      <w:lang w:val="en-US" w:eastAsia="zh-CN"/>
                    </w:rPr>
                    <w:t>000m</w:t>
                  </w:r>
                  <w:r>
                    <w:rPr>
                      <w:rFonts w:hint="eastAsia" w:ascii="Times New Roman" w:hAnsi="Times New Roman" w:eastAsia="宋体" w:cs="Times New Roman"/>
                      <w:color w:val="auto"/>
                      <w:sz w:val="18"/>
                      <w:szCs w:val="18"/>
                      <w:vertAlign w:val="superscript"/>
                      <w:lang w:val="en-US" w:eastAsia="zh-CN"/>
                    </w:rPr>
                    <w:t>3</w:t>
                  </w:r>
                  <w:r>
                    <w:rPr>
                      <w:rFonts w:hint="eastAsia" w:ascii="Times New Roman" w:hAnsi="Times New Roman" w:eastAsia="宋体" w:cs="Times New Roman"/>
                      <w:color w:val="auto"/>
                      <w:sz w:val="18"/>
                      <w:szCs w:val="18"/>
                      <w:lang w:val="en-US" w:eastAsia="zh-CN"/>
                    </w:rPr>
                    <w:t>/h</w:t>
                  </w:r>
                </w:p>
              </w:tc>
              <w:tc>
                <w:tcPr>
                  <w:tcW w:w="770" w:type="dxa"/>
                  <w:vAlign w:val="center"/>
                </w:tcPr>
                <w:p>
                  <w:pPr>
                    <w:snapToGrid w:val="0"/>
                    <w:ind w:right="-12" w:rightChars="-5"/>
                    <w:jc w:val="center"/>
                    <w:rPr>
                      <w:rFonts w:hint="default" w:ascii="Times New Roman" w:hAnsi="Times New Roman" w:eastAsia="宋体" w:cs="Times New Roman"/>
                      <w:color w:val="FF0000"/>
                      <w:sz w:val="18"/>
                      <w:szCs w:val="18"/>
                      <w:lang w:val="en-US" w:eastAsia="zh-CN"/>
                    </w:rPr>
                  </w:pPr>
                  <w:r>
                    <w:rPr>
                      <w:rFonts w:hint="eastAsia" w:cs="Times New Roman"/>
                      <w:color w:val="auto"/>
                      <w:sz w:val="18"/>
                      <w:szCs w:val="18"/>
                      <w:lang w:val="en-US" w:eastAsia="zh-CN"/>
                    </w:rPr>
                    <w:t>85</w:t>
                  </w:r>
                  <w:r>
                    <w:rPr>
                      <w:rFonts w:hint="default" w:ascii="Times New Roman" w:hAnsi="Times New Roman" w:cs="Times New Roman"/>
                      <w:color w:val="auto"/>
                      <w:sz w:val="18"/>
                      <w:szCs w:val="18"/>
                    </w:rPr>
                    <w:t>/1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30</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-60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50</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30</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84</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80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55.4</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55.6</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FF0000"/>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FF0000"/>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auto"/>
                      <w:sz w:val="18"/>
                      <w:szCs w:val="18"/>
                      <w:lang w:val="en-US" w:eastAsia="zh-CN"/>
                    </w:rPr>
                    <w:t>滤芯除尘+脉冲布袋+两级活性炭装置</w:t>
                  </w:r>
                </w:p>
              </w:tc>
              <w:tc>
                <w:tcPr>
                  <w:tcW w:w="1096" w:type="dxa"/>
                  <w:vAlign w:val="center"/>
                </w:tcPr>
                <w:p>
                  <w:pPr>
                    <w:jc w:val="center"/>
                    <w:rPr>
                      <w:rFonts w:hint="default" w:ascii="Times New Roman" w:hAnsi="Times New Roman" w:eastAsia="宋体" w:cs="Times New Roman"/>
                      <w:color w:val="FF0000"/>
                      <w:kern w:val="2"/>
                      <w:sz w:val="18"/>
                      <w:szCs w:val="18"/>
                      <w:lang w:val="en-US" w:eastAsia="zh-CN" w:bidi="ar-SA"/>
                    </w:rPr>
                  </w:pPr>
                  <w:r>
                    <w:rPr>
                      <w:rFonts w:hint="eastAsia" w:eastAsia="宋体" w:cs="Times New Roman"/>
                      <w:color w:val="auto"/>
                      <w:sz w:val="18"/>
                      <w:szCs w:val="18"/>
                      <w:lang w:val="en-US" w:eastAsia="zh-CN"/>
                    </w:rPr>
                    <w:t>15</w:t>
                  </w:r>
                  <w:r>
                    <w:rPr>
                      <w:rFonts w:hint="eastAsia" w:ascii="Times New Roman" w:hAnsi="Times New Roman" w:eastAsia="宋体" w:cs="Times New Roman"/>
                      <w:color w:val="auto"/>
                      <w:sz w:val="18"/>
                      <w:szCs w:val="18"/>
                      <w:lang w:val="en-US" w:eastAsia="zh-CN"/>
                    </w:rPr>
                    <w:t>000m</w:t>
                  </w:r>
                  <w:r>
                    <w:rPr>
                      <w:rFonts w:hint="eastAsia" w:ascii="Times New Roman" w:hAnsi="Times New Roman" w:eastAsia="宋体" w:cs="Times New Roman"/>
                      <w:color w:val="auto"/>
                      <w:sz w:val="18"/>
                      <w:szCs w:val="18"/>
                      <w:vertAlign w:val="superscript"/>
                      <w:lang w:val="en-US" w:eastAsia="zh-CN"/>
                    </w:rPr>
                    <w:t>3</w:t>
                  </w:r>
                  <w:r>
                    <w:rPr>
                      <w:rFonts w:hint="eastAsia" w:ascii="Times New Roman" w:hAnsi="Times New Roman" w:eastAsia="宋体" w:cs="Times New Roman"/>
                      <w:color w:val="auto"/>
                      <w:sz w:val="18"/>
                      <w:szCs w:val="18"/>
                      <w:lang w:val="en-US" w:eastAsia="zh-CN"/>
                    </w:rPr>
                    <w:t>/h</w:t>
                  </w:r>
                </w:p>
              </w:tc>
              <w:tc>
                <w:tcPr>
                  <w:tcW w:w="770" w:type="dxa"/>
                  <w:vAlign w:val="center"/>
                </w:tcPr>
                <w:p>
                  <w:pPr>
                    <w:snapToGrid w:val="0"/>
                    <w:ind w:right="-12" w:rightChars="-5"/>
                    <w:jc w:val="center"/>
                    <w:rPr>
                      <w:rFonts w:hint="default" w:ascii="Times New Roman" w:hAnsi="Times New Roman" w:cs="Times New Roman"/>
                      <w:color w:val="FF0000"/>
                      <w:sz w:val="18"/>
                      <w:szCs w:val="18"/>
                    </w:rPr>
                  </w:pPr>
                  <w:r>
                    <w:rPr>
                      <w:rFonts w:hint="eastAsia" w:cs="Times New Roman"/>
                      <w:color w:val="auto"/>
                      <w:sz w:val="18"/>
                      <w:szCs w:val="18"/>
                      <w:lang w:val="en-US" w:eastAsia="zh-CN"/>
                    </w:rPr>
                    <w:t>85</w:t>
                  </w:r>
                  <w:r>
                    <w:rPr>
                      <w:rFonts w:hint="default" w:ascii="Times New Roman" w:hAnsi="Times New Roman" w:cs="Times New Roman"/>
                      <w:color w:val="auto"/>
                      <w:sz w:val="18"/>
                      <w:szCs w:val="18"/>
                    </w:rPr>
                    <w:t>/1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-60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65</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30</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69</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80</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55.6</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1" w:type="dxa"/>
                  <w:vMerge w:val="continue"/>
                  <w:vAlign w:val="center"/>
                </w:tcPr>
                <w:p>
                  <w:pPr>
                    <w:jc w:val="center"/>
                    <w:rPr>
                      <w:rFonts w:hint="default" w:ascii="Times New Roman" w:hAnsi="Times New Roman" w:cs="Times New Roman"/>
                      <w:bCs/>
                      <w:color w:val="FF0000"/>
                      <w:sz w:val="18"/>
                      <w:szCs w:val="18"/>
                    </w:rPr>
                  </w:pPr>
                </w:p>
              </w:tc>
              <w:tc>
                <w:tcPr>
                  <w:tcW w:w="618" w:type="dxa"/>
                  <w:vMerge w:val="continue"/>
                  <w:vAlign w:val="center"/>
                </w:tcPr>
                <w:p>
                  <w:pPr>
                    <w:snapToGrid w:val="0"/>
                    <w:ind w:right="-12" w:rightChars="-5"/>
                    <w:jc w:val="center"/>
                    <w:rPr>
                      <w:rFonts w:hint="default" w:ascii="Times New Roman" w:hAnsi="Times New Roman" w:cs="Times New Roman"/>
                      <w:color w:val="FF0000"/>
                      <w:sz w:val="18"/>
                      <w:szCs w:val="18"/>
                    </w:rPr>
                  </w:pPr>
                </w:p>
              </w:tc>
              <w:tc>
                <w:tcPr>
                  <w:tcW w:w="1345" w:type="dxa"/>
                  <w:vAlign w:val="center"/>
                </w:tcPr>
                <w:p>
                  <w:pPr>
                    <w:snapToGrid w:val="0"/>
                    <w:ind w:right="-12" w:rightChars="-5"/>
                    <w:jc w:val="center"/>
                    <w:rPr>
                      <w:rFonts w:hint="default" w:ascii="Times New Roman" w:hAnsi="Times New Roman" w:eastAsia="宋体" w:cs="Times New Roman"/>
                      <w:color w:val="FF0000"/>
                      <w:sz w:val="18"/>
                      <w:szCs w:val="18"/>
                      <w:lang w:val="en-US" w:eastAsia="zh-CN"/>
                    </w:rPr>
                  </w:pPr>
                  <w:r>
                    <w:rPr>
                      <w:rFonts w:hint="eastAsia" w:ascii="Times New Roman" w:hAnsi="Times New Roman" w:eastAsia="宋体" w:cs="Times New Roman"/>
                      <w:color w:val="auto"/>
                      <w:sz w:val="18"/>
                      <w:szCs w:val="18"/>
                      <w:lang w:val="en-US" w:eastAsia="zh-CN"/>
                    </w:rPr>
                    <w:t>滤芯除尘+脉冲布袋+两级活性炭装置</w:t>
                  </w:r>
                </w:p>
              </w:tc>
              <w:tc>
                <w:tcPr>
                  <w:tcW w:w="1096" w:type="dxa"/>
                  <w:vAlign w:val="center"/>
                </w:tcPr>
                <w:p>
                  <w:pPr>
                    <w:jc w:val="center"/>
                    <w:rPr>
                      <w:rFonts w:hint="default" w:ascii="Times New Roman" w:hAnsi="Times New Roman" w:cs="Times New Roman"/>
                      <w:color w:val="FF0000"/>
                      <w:sz w:val="18"/>
                      <w:szCs w:val="18"/>
                      <w:lang w:val="en-US" w:eastAsia="zh-CN"/>
                    </w:rPr>
                  </w:pPr>
                  <w:r>
                    <w:rPr>
                      <w:rFonts w:hint="eastAsia" w:eastAsia="宋体" w:cs="Times New Roman"/>
                      <w:color w:val="auto"/>
                      <w:sz w:val="18"/>
                      <w:szCs w:val="18"/>
                      <w:lang w:val="en-US" w:eastAsia="zh-CN"/>
                    </w:rPr>
                    <w:t>20</w:t>
                  </w:r>
                  <w:r>
                    <w:rPr>
                      <w:rFonts w:hint="eastAsia" w:ascii="Times New Roman" w:hAnsi="Times New Roman" w:eastAsia="宋体" w:cs="Times New Roman"/>
                      <w:color w:val="auto"/>
                      <w:sz w:val="18"/>
                      <w:szCs w:val="18"/>
                      <w:lang w:val="en-US" w:eastAsia="zh-CN"/>
                    </w:rPr>
                    <w:t>000m</w:t>
                  </w:r>
                  <w:r>
                    <w:rPr>
                      <w:rFonts w:hint="eastAsia" w:ascii="Times New Roman" w:hAnsi="Times New Roman" w:eastAsia="宋体" w:cs="Times New Roman"/>
                      <w:color w:val="auto"/>
                      <w:sz w:val="18"/>
                      <w:szCs w:val="18"/>
                      <w:vertAlign w:val="superscript"/>
                      <w:lang w:val="en-US" w:eastAsia="zh-CN"/>
                    </w:rPr>
                    <w:t>3</w:t>
                  </w:r>
                  <w:r>
                    <w:rPr>
                      <w:rFonts w:hint="eastAsia" w:ascii="Times New Roman" w:hAnsi="Times New Roman" w:eastAsia="宋体" w:cs="Times New Roman"/>
                      <w:color w:val="auto"/>
                      <w:sz w:val="18"/>
                      <w:szCs w:val="18"/>
                      <w:lang w:val="en-US" w:eastAsia="zh-CN"/>
                    </w:rPr>
                    <w:t>/h</w:t>
                  </w:r>
                </w:p>
              </w:tc>
              <w:tc>
                <w:tcPr>
                  <w:tcW w:w="770" w:type="dxa"/>
                  <w:vAlign w:val="center"/>
                </w:tcPr>
                <w:p>
                  <w:pPr>
                    <w:snapToGrid w:val="0"/>
                    <w:ind w:right="-12" w:rightChars="-5"/>
                    <w:jc w:val="center"/>
                    <w:rPr>
                      <w:rFonts w:hint="default" w:ascii="Times New Roman" w:hAnsi="Times New Roman" w:cs="Times New Roman"/>
                      <w:color w:val="FF0000"/>
                      <w:sz w:val="18"/>
                      <w:szCs w:val="18"/>
                    </w:rPr>
                  </w:pPr>
                  <w:r>
                    <w:rPr>
                      <w:rFonts w:hint="eastAsia" w:cs="Times New Roman"/>
                      <w:color w:val="auto"/>
                      <w:sz w:val="18"/>
                      <w:szCs w:val="18"/>
                      <w:lang w:val="en-US" w:eastAsia="zh-CN"/>
                    </w:rPr>
                    <w:t>85</w:t>
                  </w:r>
                  <w:r>
                    <w:rPr>
                      <w:rFonts w:hint="default" w:ascii="Times New Roman" w:hAnsi="Times New Roman" w:cs="Times New Roman"/>
                      <w:color w:val="auto"/>
                      <w:sz w:val="18"/>
                      <w:szCs w:val="18"/>
                    </w:rPr>
                    <w:t>/1</w:t>
                  </w:r>
                </w:p>
              </w:tc>
              <w:tc>
                <w:tcPr>
                  <w:tcW w:w="636" w:type="dxa"/>
                  <w:vMerge w:val="continue"/>
                  <w:vAlign w:val="center"/>
                </w:tcPr>
                <w:p>
                  <w:pPr>
                    <w:snapToGrid w:val="0"/>
                    <w:ind w:right="-12" w:rightChars="-5"/>
                    <w:jc w:val="center"/>
                    <w:rPr>
                      <w:rFonts w:hint="default" w:ascii="Times New Roman" w:hAnsi="Times New Roman" w:cs="Times New Roman"/>
                      <w:color w:val="auto"/>
                      <w:sz w:val="18"/>
                      <w:szCs w:val="18"/>
                    </w:rPr>
                  </w:pP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35</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-85</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45</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474" w:type="dxa"/>
                  <w:vAlign w:val="center"/>
                </w:tcPr>
                <w:p>
                  <w:pPr>
                    <w:snapToGrid w:val="0"/>
                    <w:ind w:right="-12" w:rightChars="-5"/>
                    <w:jc w:val="center"/>
                    <w:rPr>
                      <w:rFonts w:hint="default" w:cs="Times New Roman"/>
                      <w:color w:val="auto"/>
                      <w:kern w:val="2"/>
                      <w:sz w:val="18"/>
                      <w:szCs w:val="18"/>
                      <w:lang w:val="en-US" w:eastAsia="zh-CN" w:bidi="ar-SA"/>
                    </w:rPr>
                  </w:pPr>
                  <w:r>
                    <w:rPr>
                      <w:rFonts w:hint="eastAsia" w:cs="Times New Roman"/>
                      <w:color w:val="auto"/>
                      <w:kern w:val="2"/>
                      <w:sz w:val="18"/>
                      <w:szCs w:val="18"/>
                      <w:lang w:val="en-US" w:eastAsia="zh-CN" w:bidi="ar-SA"/>
                    </w:rPr>
                    <w:t>89</w:t>
                  </w:r>
                </w:p>
              </w:tc>
              <w:tc>
                <w:tcPr>
                  <w:tcW w:w="475"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w w:val="90"/>
                      <w:sz w:val="18"/>
                      <w:szCs w:val="18"/>
                      <w:lang w:val="en-US" w:eastAsia="zh-CN"/>
                    </w:rPr>
                    <w:t>105</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55.4</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61.3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55.3</w:t>
                  </w:r>
                </w:p>
              </w:tc>
              <w:tc>
                <w:tcPr>
                  <w:tcW w:w="612" w:type="dxa"/>
                  <w:vMerge w:val="continue"/>
                  <w:vAlign w:val="center"/>
                </w:tcPr>
                <w:p>
                  <w:pPr>
                    <w:jc w:val="center"/>
                    <w:rPr>
                      <w:rFonts w:hint="default" w:ascii="Times New Roman" w:hAnsi="Times New Roman" w:cs="Times New Roman"/>
                      <w:color w:val="auto"/>
                      <w:sz w:val="18"/>
                      <w:szCs w:val="18"/>
                    </w:rPr>
                  </w:pPr>
                </w:p>
              </w:tc>
              <w:tc>
                <w:tcPr>
                  <w:tcW w:w="725" w:type="dxa"/>
                  <w:vAlign w:val="center"/>
                </w:tcPr>
                <w:p>
                  <w:pPr>
                    <w:snapToGrid w:val="0"/>
                    <w:ind w:right="-12" w:rightChars="-5"/>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cs="Times New Roman"/>
                      <w:color w:val="auto"/>
                      <w:sz w:val="18"/>
                      <w:szCs w:val="18"/>
                    </w:rPr>
                    <w:t>15</w:t>
                  </w:r>
                </w:p>
              </w:tc>
              <w:tc>
                <w:tcPr>
                  <w:tcW w:w="788" w:type="dxa"/>
                  <w:vMerge w:val="continue"/>
                  <w:vAlign w:val="center"/>
                </w:tcPr>
                <w:p>
                  <w:pPr>
                    <w:snapToGrid w:val="0"/>
                    <w:ind w:right="-12" w:rightChars="-5"/>
                    <w:jc w:val="left"/>
                    <w:rPr>
                      <w:rFonts w:hint="default" w:ascii="Times New Roman" w:hAnsi="Times New Roman" w:cs="Times New Roman"/>
                      <w:color w:val="auto"/>
                      <w:sz w:val="18"/>
                      <w:szCs w:val="18"/>
                    </w:rPr>
                  </w:pPr>
                </w:p>
              </w:tc>
              <w:tc>
                <w:tcPr>
                  <w:tcW w:w="615" w:type="dxa"/>
                  <w:vAlign w:val="center"/>
                </w:tcPr>
                <w:p>
                  <w:pPr>
                    <w:jc w:val="center"/>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cs="Times New Roman"/>
                      <w:color w:val="auto"/>
                      <w:sz w:val="18"/>
                      <w:szCs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9" w:hRule="atLeast"/>
                <w:jc w:val="center"/>
              </w:trPr>
              <w:tc>
                <w:tcPr>
                  <w:tcW w:w="371" w:type="dxa"/>
                  <w:vAlign w:val="center"/>
                </w:tcPr>
                <w:p>
                  <w:pPr>
                    <w:jc w:val="center"/>
                    <w:rPr>
                      <w:rFonts w:hint="eastAsia" w:ascii="Times New Roman" w:hAnsi="Times New Roman" w:eastAsia="宋体" w:cs="Times New Roman"/>
                      <w:bCs/>
                      <w:color w:val="auto"/>
                      <w:sz w:val="18"/>
                      <w:szCs w:val="18"/>
                      <w:lang w:val="en-US" w:eastAsia="zh-CN"/>
                    </w:rPr>
                  </w:pPr>
                  <w:r>
                    <w:rPr>
                      <w:rFonts w:hint="eastAsia" w:cs="Times New Roman"/>
                      <w:bCs/>
                      <w:color w:val="auto"/>
                      <w:sz w:val="18"/>
                      <w:szCs w:val="18"/>
                      <w:lang w:val="en-US" w:eastAsia="zh-CN"/>
                    </w:rPr>
                    <w:t>2</w:t>
                  </w:r>
                </w:p>
              </w:tc>
              <w:tc>
                <w:tcPr>
                  <w:tcW w:w="618"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喷漆车间</w:t>
                  </w:r>
                </w:p>
              </w:tc>
              <w:tc>
                <w:tcPr>
                  <w:tcW w:w="1345" w:type="dxa"/>
                  <w:vAlign w:val="center"/>
                </w:tcPr>
                <w:p>
                  <w:pPr>
                    <w:snapToGrid w:val="0"/>
                    <w:ind w:right="-12" w:rightChars="-5"/>
                    <w:jc w:val="center"/>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sz w:val="18"/>
                      <w:szCs w:val="18"/>
                      <w:lang w:val="en-US" w:eastAsia="zh-CN"/>
                    </w:rPr>
                    <w:t>喷漆房</w:t>
                  </w:r>
                </w:p>
              </w:tc>
              <w:tc>
                <w:tcPr>
                  <w:tcW w:w="1096" w:type="dxa"/>
                  <w:vAlign w:val="center"/>
                </w:tcPr>
                <w:p>
                  <w:pPr>
                    <w:snapToGrid w:val="0"/>
                    <w:ind w:right="-12" w:rightChars="-5"/>
                    <w:jc w:val="center"/>
                    <w:rPr>
                      <w:rFonts w:hint="eastAsia"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lang w:val="en-US" w:eastAsia="zh-CN"/>
                    </w:rPr>
                    <w:t>/</w:t>
                  </w:r>
                </w:p>
              </w:tc>
              <w:tc>
                <w:tcPr>
                  <w:tcW w:w="770" w:type="dxa"/>
                  <w:vAlign w:val="center"/>
                </w:tcPr>
                <w:p>
                  <w:pPr>
                    <w:snapToGrid w:val="0"/>
                    <w:ind w:right="-12" w:rightChars="-5"/>
                    <w:jc w:val="center"/>
                    <w:rPr>
                      <w:rFonts w:hint="eastAsia" w:ascii="Times New Roman" w:hAnsi="Times New Roman" w:eastAsia="宋体" w:cs="Times New Roman"/>
                      <w:color w:val="auto"/>
                      <w:kern w:val="2"/>
                      <w:sz w:val="18"/>
                      <w:szCs w:val="18"/>
                      <w:lang w:val="en-US" w:eastAsia="zh-CN" w:bidi="ar-SA"/>
                    </w:rPr>
                  </w:pPr>
                  <w:r>
                    <w:rPr>
                      <w:rFonts w:hint="eastAsia" w:cs="Times New Roman"/>
                      <w:color w:val="auto"/>
                      <w:sz w:val="18"/>
                      <w:szCs w:val="18"/>
                      <w:lang w:val="en-US" w:eastAsia="zh-CN"/>
                    </w:rPr>
                    <w:t>8</w:t>
                  </w:r>
                  <w:r>
                    <w:rPr>
                      <w:rFonts w:hint="default" w:ascii="Times New Roman" w:hAnsi="Times New Roman" w:cs="Times New Roman"/>
                      <w:color w:val="auto"/>
                      <w:sz w:val="18"/>
                      <w:szCs w:val="18"/>
                      <w:lang w:val="en-US" w:eastAsia="zh-CN"/>
                    </w:rPr>
                    <w:t>2</w:t>
                  </w:r>
                  <w:r>
                    <w:rPr>
                      <w:rFonts w:hint="default" w:ascii="Times New Roman" w:hAnsi="Times New Roman" w:cs="Times New Roman"/>
                      <w:color w:val="auto"/>
                      <w:sz w:val="18"/>
                      <w:szCs w:val="18"/>
                    </w:rPr>
                    <w:t>/1</w:t>
                  </w:r>
                </w:p>
              </w:tc>
              <w:tc>
                <w:tcPr>
                  <w:tcW w:w="636"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default" w:ascii="Times New Roman" w:hAnsi="Times New Roman" w:cs="Times New Roman"/>
                      <w:color w:val="auto"/>
                      <w:sz w:val="18"/>
                      <w:szCs w:val="18"/>
                    </w:rPr>
                    <w:t>营运期间</w:t>
                  </w:r>
                  <w:r>
                    <w:rPr>
                      <w:rFonts w:hint="eastAsia" w:cs="Times New Roman"/>
                      <w:color w:val="auto"/>
                      <w:sz w:val="18"/>
                      <w:szCs w:val="18"/>
                      <w:lang w:val="en-US" w:eastAsia="zh-CN"/>
                    </w:rPr>
                    <w:t>车间封闭</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25</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20</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2.0</w:t>
                  </w:r>
                </w:p>
              </w:tc>
              <w:tc>
                <w:tcPr>
                  <w:tcW w:w="474" w:type="dxa"/>
                  <w:vAlign w:val="center"/>
                </w:tcPr>
                <w:p>
                  <w:pPr>
                    <w:snapToGrid w:val="0"/>
                    <w:ind w:right="-12" w:rightChars="-5"/>
                    <w:jc w:val="center"/>
                    <w:rPr>
                      <w:rFonts w:hint="default" w:ascii="Times New Roman" w:hAnsi="Times New Roman" w:cs="Times New Roman"/>
                      <w:color w:val="auto"/>
                      <w:sz w:val="18"/>
                      <w:szCs w:val="18"/>
                      <w:lang w:val="en-US" w:eastAsia="zh-CN"/>
                    </w:rPr>
                  </w:pPr>
                  <w:r>
                    <w:rPr>
                      <w:rFonts w:hint="eastAsia" w:cs="Times New Roman"/>
                      <w:color w:val="auto"/>
                      <w:sz w:val="18"/>
                      <w:szCs w:val="18"/>
                      <w:lang w:val="en-US" w:eastAsia="zh-CN"/>
                    </w:rPr>
                    <w:t>1</w:t>
                  </w:r>
                </w:p>
              </w:tc>
              <w:tc>
                <w:tcPr>
                  <w:tcW w:w="474"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c>
                <w:tcPr>
                  <w:tcW w:w="474"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c>
                <w:tcPr>
                  <w:tcW w:w="475" w:type="dxa"/>
                  <w:vAlign w:val="center"/>
                </w:tcPr>
                <w:p>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73.9</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73.9</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73.9</w:t>
                  </w:r>
                </w:p>
              </w:tc>
              <w:tc>
                <w:tcPr>
                  <w:tcW w:w="536" w:type="dxa"/>
                  <w:vAlign w:val="center"/>
                </w:tcPr>
                <w:p>
                  <w:pPr>
                    <w:keepNext w:val="0"/>
                    <w:keepLines w:val="0"/>
                    <w:widowControl/>
                    <w:suppressLineNumbers w:val="0"/>
                    <w:jc w:val="center"/>
                    <w:textAlignment w:val="center"/>
                    <w:rPr>
                      <w:rFonts w:hint="default" w:cs="Times New Roman"/>
                      <w:color w:val="auto"/>
                      <w:sz w:val="18"/>
                      <w:szCs w:val="18"/>
                      <w:lang w:val="en-US" w:eastAsia="zh-CN"/>
                    </w:rPr>
                  </w:pPr>
                  <w:r>
                    <w:rPr>
                      <w:rFonts w:hint="eastAsia" w:cs="Times New Roman"/>
                      <w:color w:val="auto"/>
                      <w:sz w:val="18"/>
                      <w:szCs w:val="18"/>
                      <w:lang w:val="en-US" w:eastAsia="zh-CN"/>
                    </w:rPr>
                    <w:t>73.9</w:t>
                  </w:r>
                </w:p>
              </w:tc>
              <w:tc>
                <w:tcPr>
                  <w:tcW w:w="612" w:type="dxa"/>
                  <w:vAlign w:val="center"/>
                </w:tcPr>
                <w:p>
                  <w:pPr>
                    <w:jc w:val="center"/>
                    <w:rPr>
                      <w:rFonts w:hint="default" w:ascii="Times New Roman" w:hAnsi="Times New Roman" w:cs="Times New Roman"/>
                      <w:color w:val="auto"/>
                      <w:sz w:val="18"/>
                      <w:szCs w:val="18"/>
                    </w:rPr>
                  </w:pPr>
                  <w:r>
                    <w:rPr>
                      <w:rFonts w:hint="eastAsia" w:cs="Times New Roman"/>
                      <w:color w:val="auto"/>
                      <w:sz w:val="18"/>
                      <w:szCs w:val="18"/>
                      <w:lang w:val="en-US" w:eastAsia="zh-CN"/>
                    </w:rPr>
                    <w:t>昼间</w:t>
                  </w:r>
                </w:p>
              </w:tc>
              <w:tc>
                <w:tcPr>
                  <w:tcW w:w="725" w:type="dxa"/>
                  <w:vAlign w:val="center"/>
                </w:tcPr>
                <w:p>
                  <w:pPr>
                    <w:snapToGrid w:val="0"/>
                    <w:ind w:right="-12" w:rightChars="-5"/>
                    <w:jc w:val="center"/>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15</w:t>
                  </w:r>
                </w:p>
              </w:tc>
              <w:tc>
                <w:tcPr>
                  <w:tcW w:w="788" w:type="dxa"/>
                  <w:vAlign w:val="center"/>
                </w:tcPr>
                <w:p>
                  <w:pPr>
                    <w:snapToGrid w:val="0"/>
                    <w:ind w:right="-12" w:rightChars="-5"/>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昼间</w:t>
                  </w:r>
                </w:p>
                <w:p>
                  <w:pPr>
                    <w:snapToGrid w:val="0"/>
                    <w:ind w:right="-12" w:rightChars="-5"/>
                    <w:jc w:val="left"/>
                    <w:rPr>
                      <w:rFonts w:hint="default" w:ascii="Times New Roman" w:hAnsi="Times New Roman" w:cs="Times New Roman"/>
                      <w:color w:val="auto"/>
                      <w:sz w:val="18"/>
                      <w:szCs w:val="18"/>
                    </w:rPr>
                  </w:pPr>
                  <w:r>
                    <w:rPr>
                      <w:rFonts w:hint="default" w:ascii="Times New Roman" w:hAnsi="Times New Roman" w:cs="Times New Roman"/>
                      <w:color w:val="auto"/>
                      <w:sz w:val="18"/>
                      <w:szCs w:val="18"/>
                    </w:rPr>
                    <w:t>东:</w:t>
                  </w:r>
                  <w:r>
                    <w:rPr>
                      <w:rFonts w:hint="eastAsia" w:cs="Times New Roman"/>
                      <w:color w:val="auto"/>
                      <w:sz w:val="18"/>
                      <w:szCs w:val="18"/>
                      <w:lang w:val="en-US" w:eastAsia="zh-CN"/>
                    </w:rPr>
                    <w:t>52.9</w:t>
                  </w:r>
                  <w:r>
                    <w:rPr>
                      <w:rFonts w:hint="default" w:ascii="Times New Roman" w:hAnsi="Times New Roman" w:cs="Times New Roman"/>
                      <w:color w:val="auto"/>
                      <w:sz w:val="18"/>
                      <w:szCs w:val="18"/>
                    </w:rPr>
                    <w:t>南:</w:t>
                  </w:r>
                  <w:r>
                    <w:rPr>
                      <w:rFonts w:hint="eastAsia" w:cs="Times New Roman"/>
                      <w:color w:val="auto"/>
                      <w:sz w:val="18"/>
                      <w:szCs w:val="18"/>
                      <w:lang w:val="en-US" w:eastAsia="zh-CN"/>
                    </w:rPr>
                    <w:t>52.9</w:t>
                  </w:r>
                  <w:r>
                    <w:rPr>
                      <w:rFonts w:hint="default" w:ascii="Times New Roman" w:hAnsi="Times New Roman" w:cs="Times New Roman"/>
                      <w:color w:val="auto"/>
                      <w:sz w:val="18"/>
                      <w:szCs w:val="18"/>
                    </w:rPr>
                    <w:t>西:</w:t>
                  </w:r>
                  <w:r>
                    <w:rPr>
                      <w:rFonts w:hint="eastAsia" w:cs="Times New Roman"/>
                      <w:color w:val="auto"/>
                      <w:sz w:val="18"/>
                      <w:szCs w:val="18"/>
                      <w:lang w:val="en-US" w:eastAsia="zh-CN"/>
                    </w:rPr>
                    <w:t>52.9</w:t>
                  </w:r>
                  <w:r>
                    <w:rPr>
                      <w:rFonts w:hint="default" w:ascii="Times New Roman" w:hAnsi="Times New Roman" w:cs="Times New Roman"/>
                      <w:color w:val="auto"/>
                      <w:sz w:val="18"/>
                      <w:szCs w:val="18"/>
                    </w:rPr>
                    <w:t>北:</w:t>
                  </w:r>
                  <w:r>
                    <w:rPr>
                      <w:rFonts w:hint="eastAsia" w:cs="Times New Roman"/>
                      <w:color w:val="auto"/>
                      <w:sz w:val="18"/>
                      <w:szCs w:val="18"/>
                      <w:lang w:val="en-US" w:eastAsia="zh-CN"/>
                    </w:rPr>
                    <w:t>52.9</w:t>
                  </w:r>
                </w:p>
              </w:tc>
              <w:tc>
                <w:tcPr>
                  <w:tcW w:w="615" w:type="dxa"/>
                  <w:vAlign w:val="center"/>
                </w:tcPr>
                <w:p>
                  <w:pPr>
                    <w:jc w:val="center"/>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r>
          </w:tbl>
          <w:p>
            <w:pPr>
              <w:pStyle w:val="40"/>
              <w:rPr>
                <w:rFonts w:hint="default" w:ascii="Times New Roman" w:hAnsi="Times New Roman" w:cs="Times New Roman"/>
                <w:color w:val="FF0000"/>
                <w:sz w:val="21"/>
                <w:szCs w:val="20"/>
              </w:rPr>
            </w:pPr>
          </w:p>
          <w:p>
            <w:pPr>
              <w:spacing w:line="360" w:lineRule="auto"/>
              <w:jc w:val="center"/>
              <w:rPr>
                <w:b/>
                <w:color w:val="auto"/>
              </w:rPr>
            </w:pPr>
            <w:r>
              <w:rPr>
                <w:b/>
                <w:color w:val="auto"/>
              </w:rPr>
              <w:t>表4-</w:t>
            </w:r>
            <w:r>
              <w:rPr>
                <w:rFonts w:hint="eastAsia"/>
                <w:b/>
                <w:color w:val="auto"/>
              </w:rPr>
              <w:t>2</w:t>
            </w:r>
            <w:r>
              <w:rPr>
                <w:rFonts w:hint="eastAsia"/>
                <w:b/>
                <w:color w:val="auto"/>
                <w:lang w:val="en-US" w:eastAsia="zh-CN"/>
              </w:rPr>
              <w:t xml:space="preserve">0  </w:t>
            </w:r>
            <w:r>
              <w:rPr>
                <w:b/>
                <w:color w:val="auto"/>
              </w:rPr>
              <w:t>工业企业噪声源强调查清单（室</w:t>
            </w:r>
            <w:r>
              <w:rPr>
                <w:rFonts w:hint="eastAsia"/>
                <w:b/>
                <w:color w:val="auto"/>
              </w:rPr>
              <w:t>外</w:t>
            </w:r>
            <w:r>
              <w:rPr>
                <w:b/>
                <w:color w:val="auto"/>
              </w:rPr>
              <w:t>声源）</w:t>
            </w:r>
          </w:p>
          <w:tbl>
            <w:tblPr>
              <w:tblStyle w:val="29"/>
              <w:tblW w:w="13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7"/>
              <w:gridCol w:w="1954"/>
              <w:gridCol w:w="1499"/>
              <w:gridCol w:w="1507"/>
              <w:gridCol w:w="1172"/>
              <w:gridCol w:w="1044"/>
              <w:gridCol w:w="1683"/>
              <w:gridCol w:w="2521"/>
              <w:gridCol w:w="1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7" w:type="dxa"/>
                  <w:vMerge w:val="restart"/>
                  <w:vAlign w:val="center"/>
                </w:tcPr>
                <w:p>
                  <w:pPr>
                    <w:jc w:val="center"/>
                    <w:rPr>
                      <w:b/>
                      <w:bCs/>
                      <w:color w:val="auto"/>
                      <w:sz w:val="18"/>
                      <w:szCs w:val="18"/>
                    </w:rPr>
                  </w:pPr>
                  <w:r>
                    <w:rPr>
                      <w:b/>
                      <w:bCs/>
                      <w:color w:val="auto"/>
                      <w:sz w:val="18"/>
                      <w:szCs w:val="18"/>
                    </w:rPr>
                    <w:t>序号</w:t>
                  </w:r>
                </w:p>
              </w:tc>
              <w:tc>
                <w:tcPr>
                  <w:tcW w:w="1954" w:type="dxa"/>
                  <w:vMerge w:val="restart"/>
                  <w:vAlign w:val="center"/>
                </w:tcPr>
                <w:p>
                  <w:pPr>
                    <w:jc w:val="center"/>
                    <w:rPr>
                      <w:b/>
                      <w:bCs/>
                      <w:color w:val="auto"/>
                      <w:sz w:val="18"/>
                      <w:szCs w:val="18"/>
                    </w:rPr>
                  </w:pPr>
                  <w:r>
                    <w:rPr>
                      <w:rFonts w:hint="eastAsia"/>
                      <w:b/>
                      <w:bCs/>
                      <w:color w:val="auto"/>
                      <w:sz w:val="18"/>
                      <w:szCs w:val="18"/>
                    </w:rPr>
                    <w:t>声源</w:t>
                  </w:r>
                  <w:r>
                    <w:rPr>
                      <w:b/>
                      <w:bCs/>
                      <w:color w:val="auto"/>
                      <w:sz w:val="18"/>
                      <w:szCs w:val="18"/>
                    </w:rPr>
                    <w:t>名称</w:t>
                  </w:r>
                </w:p>
              </w:tc>
              <w:tc>
                <w:tcPr>
                  <w:tcW w:w="1499" w:type="dxa"/>
                  <w:vMerge w:val="restart"/>
                  <w:vAlign w:val="center"/>
                </w:tcPr>
                <w:p>
                  <w:pPr>
                    <w:snapToGrid w:val="0"/>
                    <w:ind w:right="-12" w:rightChars="-5"/>
                    <w:jc w:val="center"/>
                    <w:rPr>
                      <w:b/>
                      <w:color w:val="auto"/>
                      <w:sz w:val="18"/>
                      <w:szCs w:val="18"/>
                    </w:rPr>
                  </w:pPr>
                  <w:r>
                    <w:rPr>
                      <w:rFonts w:hint="eastAsia"/>
                      <w:b/>
                      <w:bCs/>
                      <w:color w:val="auto"/>
                      <w:sz w:val="18"/>
                      <w:szCs w:val="18"/>
                    </w:rPr>
                    <w:t>型号</w:t>
                  </w:r>
                </w:p>
              </w:tc>
              <w:tc>
                <w:tcPr>
                  <w:tcW w:w="3723" w:type="dxa"/>
                  <w:gridSpan w:val="3"/>
                  <w:vMerge w:val="restart"/>
                  <w:vAlign w:val="center"/>
                </w:tcPr>
                <w:p>
                  <w:pPr>
                    <w:snapToGrid w:val="0"/>
                    <w:ind w:right="-12" w:rightChars="-5"/>
                    <w:jc w:val="center"/>
                    <w:rPr>
                      <w:b/>
                      <w:color w:val="auto"/>
                      <w:sz w:val="18"/>
                      <w:szCs w:val="18"/>
                    </w:rPr>
                  </w:pPr>
                  <w:r>
                    <w:rPr>
                      <w:b/>
                      <w:color w:val="auto"/>
                      <w:sz w:val="18"/>
                      <w:szCs w:val="18"/>
                    </w:rPr>
                    <w:t>空间相对位置</w:t>
                  </w:r>
                  <w:r>
                    <w:rPr>
                      <w:rFonts w:hint="eastAsia"/>
                      <w:b/>
                      <w:color w:val="auto"/>
                      <w:sz w:val="18"/>
                      <w:szCs w:val="18"/>
                    </w:rPr>
                    <w:t>/m(备注：厂界中心为0、0、0)</w:t>
                  </w:r>
                </w:p>
              </w:tc>
              <w:tc>
                <w:tcPr>
                  <w:tcW w:w="1683" w:type="dxa"/>
                  <w:vMerge w:val="restart"/>
                  <w:vAlign w:val="center"/>
                </w:tcPr>
                <w:p>
                  <w:pPr>
                    <w:snapToGrid w:val="0"/>
                    <w:ind w:right="-12" w:rightChars="-5"/>
                    <w:jc w:val="center"/>
                    <w:rPr>
                      <w:b/>
                      <w:color w:val="auto"/>
                      <w:sz w:val="18"/>
                      <w:szCs w:val="18"/>
                    </w:rPr>
                  </w:pPr>
                  <w:r>
                    <w:rPr>
                      <w:b/>
                      <w:color w:val="auto"/>
                      <w:sz w:val="18"/>
                      <w:szCs w:val="18"/>
                    </w:rPr>
                    <w:t>声源源强</w:t>
                  </w:r>
                  <w:r>
                    <w:rPr>
                      <w:rFonts w:hint="eastAsia"/>
                      <w:b/>
                      <w:color w:val="auto"/>
                      <w:sz w:val="18"/>
                      <w:szCs w:val="18"/>
                    </w:rPr>
                    <w:t>(声压级/距离)/dB(A)/m</w:t>
                  </w:r>
                </w:p>
              </w:tc>
              <w:tc>
                <w:tcPr>
                  <w:tcW w:w="2521" w:type="dxa"/>
                  <w:vMerge w:val="restart"/>
                  <w:vAlign w:val="center"/>
                </w:tcPr>
                <w:p>
                  <w:pPr>
                    <w:snapToGrid w:val="0"/>
                    <w:ind w:right="-12" w:rightChars="-5"/>
                    <w:jc w:val="center"/>
                    <w:rPr>
                      <w:b/>
                      <w:color w:val="auto"/>
                      <w:sz w:val="18"/>
                      <w:szCs w:val="18"/>
                    </w:rPr>
                  </w:pPr>
                  <w:r>
                    <w:rPr>
                      <w:rFonts w:hint="eastAsia"/>
                      <w:b/>
                      <w:color w:val="auto"/>
                      <w:sz w:val="18"/>
                      <w:szCs w:val="18"/>
                    </w:rPr>
                    <w:t>声源控制措施</w:t>
                  </w:r>
                </w:p>
              </w:tc>
              <w:tc>
                <w:tcPr>
                  <w:tcW w:w="1162" w:type="dxa"/>
                  <w:vMerge w:val="restart"/>
                  <w:vAlign w:val="center"/>
                </w:tcPr>
                <w:p>
                  <w:pPr>
                    <w:snapToGrid w:val="0"/>
                    <w:ind w:right="-12" w:rightChars="-5"/>
                    <w:jc w:val="center"/>
                    <w:rPr>
                      <w:b/>
                      <w:color w:val="auto"/>
                      <w:sz w:val="18"/>
                      <w:szCs w:val="18"/>
                    </w:rPr>
                  </w:pPr>
                  <w:r>
                    <w:rPr>
                      <w:rFonts w:hint="eastAsia"/>
                      <w:b/>
                      <w:color w:val="auto"/>
                      <w:sz w:val="18"/>
                      <w:szCs w:val="18"/>
                    </w:rPr>
                    <w:t>运行</w:t>
                  </w:r>
                  <w:r>
                    <w:rPr>
                      <w:b/>
                      <w:color w:val="auto"/>
                      <w:sz w:val="18"/>
                      <w:szCs w:val="18"/>
                    </w:rPr>
                    <w:t>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7" w:type="dxa"/>
                  <w:vMerge w:val="continue"/>
                  <w:vAlign w:val="center"/>
                </w:tcPr>
                <w:p>
                  <w:pPr>
                    <w:jc w:val="center"/>
                    <w:rPr>
                      <w:b/>
                      <w:bCs/>
                      <w:color w:val="auto"/>
                      <w:sz w:val="18"/>
                      <w:szCs w:val="18"/>
                    </w:rPr>
                  </w:pPr>
                </w:p>
              </w:tc>
              <w:tc>
                <w:tcPr>
                  <w:tcW w:w="1954" w:type="dxa"/>
                  <w:vMerge w:val="continue"/>
                  <w:vAlign w:val="center"/>
                </w:tcPr>
                <w:p>
                  <w:pPr>
                    <w:jc w:val="center"/>
                    <w:rPr>
                      <w:b/>
                      <w:bCs/>
                      <w:color w:val="auto"/>
                      <w:sz w:val="18"/>
                      <w:szCs w:val="18"/>
                    </w:rPr>
                  </w:pPr>
                </w:p>
              </w:tc>
              <w:tc>
                <w:tcPr>
                  <w:tcW w:w="1499" w:type="dxa"/>
                  <w:vMerge w:val="continue"/>
                  <w:vAlign w:val="center"/>
                </w:tcPr>
                <w:p>
                  <w:pPr>
                    <w:jc w:val="center"/>
                    <w:rPr>
                      <w:b/>
                      <w:bCs/>
                      <w:color w:val="auto"/>
                      <w:sz w:val="18"/>
                      <w:szCs w:val="18"/>
                    </w:rPr>
                  </w:pPr>
                </w:p>
              </w:tc>
              <w:tc>
                <w:tcPr>
                  <w:tcW w:w="3723" w:type="dxa"/>
                  <w:gridSpan w:val="3"/>
                  <w:vMerge w:val="continue"/>
                  <w:vAlign w:val="center"/>
                </w:tcPr>
                <w:p>
                  <w:pPr>
                    <w:jc w:val="center"/>
                    <w:rPr>
                      <w:b/>
                      <w:bCs/>
                      <w:color w:val="auto"/>
                      <w:sz w:val="18"/>
                      <w:szCs w:val="18"/>
                    </w:rPr>
                  </w:pPr>
                </w:p>
              </w:tc>
              <w:tc>
                <w:tcPr>
                  <w:tcW w:w="1683" w:type="dxa"/>
                  <w:vMerge w:val="continue"/>
                  <w:vAlign w:val="center"/>
                </w:tcPr>
                <w:p>
                  <w:pPr>
                    <w:jc w:val="center"/>
                    <w:rPr>
                      <w:b/>
                      <w:bCs/>
                      <w:color w:val="FF0000"/>
                      <w:sz w:val="18"/>
                      <w:szCs w:val="18"/>
                    </w:rPr>
                  </w:pPr>
                </w:p>
              </w:tc>
              <w:tc>
                <w:tcPr>
                  <w:tcW w:w="2521" w:type="dxa"/>
                  <w:vMerge w:val="continue"/>
                  <w:vAlign w:val="center"/>
                </w:tcPr>
                <w:p>
                  <w:pPr>
                    <w:jc w:val="center"/>
                    <w:rPr>
                      <w:b/>
                      <w:bCs/>
                      <w:color w:val="FF0000"/>
                      <w:sz w:val="18"/>
                      <w:szCs w:val="18"/>
                    </w:rPr>
                  </w:pPr>
                </w:p>
              </w:tc>
              <w:tc>
                <w:tcPr>
                  <w:tcW w:w="1162" w:type="dxa"/>
                  <w:vMerge w:val="continue"/>
                  <w:vAlign w:val="center"/>
                </w:tcPr>
                <w:p>
                  <w:pPr>
                    <w:jc w:val="center"/>
                    <w:rPr>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7" w:type="dxa"/>
                  <w:vMerge w:val="continue"/>
                  <w:vAlign w:val="center"/>
                </w:tcPr>
                <w:p>
                  <w:pPr>
                    <w:jc w:val="center"/>
                    <w:rPr>
                      <w:b/>
                      <w:bCs/>
                      <w:color w:val="auto"/>
                      <w:sz w:val="18"/>
                      <w:szCs w:val="18"/>
                    </w:rPr>
                  </w:pPr>
                </w:p>
              </w:tc>
              <w:tc>
                <w:tcPr>
                  <w:tcW w:w="1954" w:type="dxa"/>
                  <w:vMerge w:val="continue"/>
                  <w:vAlign w:val="center"/>
                </w:tcPr>
                <w:p>
                  <w:pPr>
                    <w:jc w:val="center"/>
                    <w:rPr>
                      <w:b/>
                      <w:bCs/>
                      <w:color w:val="auto"/>
                      <w:sz w:val="18"/>
                      <w:szCs w:val="18"/>
                    </w:rPr>
                  </w:pPr>
                </w:p>
              </w:tc>
              <w:tc>
                <w:tcPr>
                  <w:tcW w:w="1499" w:type="dxa"/>
                  <w:vMerge w:val="continue"/>
                  <w:vAlign w:val="center"/>
                </w:tcPr>
                <w:p>
                  <w:pPr>
                    <w:jc w:val="center"/>
                    <w:rPr>
                      <w:b/>
                      <w:bCs/>
                      <w:color w:val="auto"/>
                      <w:sz w:val="18"/>
                      <w:szCs w:val="18"/>
                    </w:rPr>
                  </w:pPr>
                </w:p>
              </w:tc>
              <w:tc>
                <w:tcPr>
                  <w:tcW w:w="1507" w:type="dxa"/>
                  <w:vAlign w:val="center"/>
                </w:tcPr>
                <w:p>
                  <w:pPr>
                    <w:jc w:val="center"/>
                    <w:rPr>
                      <w:b/>
                      <w:bCs/>
                      <w:color w:val="auto"/>
                      <w:sz w:val="18"/>
                      <w:szCs w:val="18"/>
                    </w:rPr>
                  </w:pPr>
                  <w:r>
                    <w:rPr>
                      <w:rFonts w:hint="eastAsia"/>
                      <w:b/>
                      <w:bCs/>
                      <w:color w:val="auto"/>
                      <w:sz w:val="18"/>
                      <w:szCs w:val="18"/>
                    </w:rPr>
                    <w:t>X</w:t>
                  </w:r>
                </w:p>
              </w:tc>
              <w:tc>
                <w:tcPr>
                  <w:tcW w:w="1172" w:type="dxa"/>
                  <w:vAlign w:val="center"/>
                </w:tcPr>
                <w:p>
                  <w:pPr>
                    <w:jc w:val="center"/>
                    <w:rPr>
                      <w:b/>
                      <w:bCs/>
                      <w:color w:val="auto"/>
                      <w:sz w:val="18"/>
                      <w:szCs w:val="18"/>
                    </w:rPr>
                  </w:pPr>
                  <w:r>
                    <w:rPr>
                      <w:rFonts w:hint="eastAsia"/>
                      <w:b/>
                      <w:bCs/>
                      <w:color w:val="auto"/>
                      <w:sz w:val="18"/>
                      <w:szCs w:val="18"/>
                    </w:rPr>
                    <w:t>Y</w:t>
                  </w:r>
                </w:p>
              </w:tc>
              <w:tc>
                <w:tcPr>
                  <w:tcW w:w="1044" w:type="dxa"/>
                  <w:vAlign w:val="center"/>
                </w:tcPr>
                <w:p>
                  <w:pPr>
                    <w:jc w:val="center"/>
                    <w:rPr>
                      <w:b/>
                      <w:bCs/>
                      <w:color w:val="auto"/>
                      <w:sz w:val="18"/>
                      <w:szCs w:val="18"/>
                    </w:rPr>
                  </w:pPr>
                  <w:r>
                    <w:rPr>
                      <w:rFonts w:hint="eastAsia"/>
                      <w:b/>
                      <w:bCs/>
                      <w:color w:val="auto"/>
                      <w:sz w:val="18"/>
                      <w:szCs w:val="18"/>
                    </w:rPr>
                    <w:t>Z</w:t>
                  </w:r>
                </w:p>
              </w:tc>
              <w:tc>
                <w:tcPr>
                  <w:tcW w:w="1683" w:type="dxa"/>
                  <w:vMerge w:val="continue"/>
                  <w:vAlign w:val="center"/>
                </w:tcPr>
                <w:p>
                  <w:pPr>
                    <w:jc w:val="center"/>
                    <w:rPr>
                      <w:b/>
                      <w:bCs/>
                      <w:color w:val="FF0000"/>
                      <w:sz w:val="18"/>
                      <w:szCs w:val="18"/>
                    </w:rPr>
                  </w:pPr>
                </w:p>
              </w:tc>
              <w:tc>
                <w:tcPr>
                  <w:tcW w:w="2521" w:type="dxa"/>
                  <w:vMerge w:val="continue"/>
                  <w:vAlign w:val="center"/>
                </w:tcPr>
                <w:p>
                  <w:pPr>
                    <w:jc w:val="center"/>
                    <w:rPr>
                      <w:b/>
                      <w:bCs/>
                      <w:color w:val="FF0000"/>
                      <w:sz w:val="18"/>
                      <w:szCs w:val="18"/>
                    </w:rPr>
                  </w:pPr>
                </w:p>
              </w:tc>
              <w:tc>
                <w:tcPr>
                  <w:tcW w:w="1162" w:type="dxa"/>
                  <w:vMerge w:val="continue"/>
                  <w:vAlign w:val="center"/>
                </w:tcPr>
                <w:p>
                  <w:pPr>
                    <w:jc w:val="center"/>
                    <w:rPr>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497" w:type="dxa"/>
                  <w:vAlign w:val="center"/>
                </w:tcPr>
                <w:p>
                  <w:pPr>
                    <w:jc w:val="center"/>
                    <w:rPr>
                      <w:bCs/>
                      <w:color w:val="auto"/>
                      <w:sz w:val="18"/>
                      <w:szCs w:val="18"/>
                    </w:rPr>
                  </w:pPr>
                  <w:r>
                    <w:rPr>
                      <w:rFonts w:hint="eastAsia"/>
                      <w:bCs/>
                      <w:color w:val="auto"/>
                      <w:sz w:val="18"/>
                      <w:szCs w:val="18"/>
                    </w:rPr>
                    <w:t>1</w:t>
                  </w:r>
                </w:p>
              </w:tc>
              <w:tc>
                <w:tcPr>
                  <w:tcW w:w="1954" w:type="dxa"/>
                  <w:vAlign w:val="center"/>
                </w:tcPr>
                <w:p>
                  <w:pPr>
                    <w:snapToGrid w:val="0"/>
                    <w:ind w:right="-12" w:rightChars="-5"/>
                    <w:jc w:val="center"/>
                    <w:rPr>
                      <w:rFonts w:hint="eastAsia"/>
                      <w:color w:val="auto"/>
                      <w:sz w:val="18"/>
                      <w:szCs w:val="18"/>
                      <w:lang w:val="en-US" w:eastAsia="zh-CN"/>
                    </w:rPr>
                  </w:pPr>
                  <w:r>
                    <w:rPr>
                      <w:rFonts w:hint="eastAsia" w:ascii="Times New Roman" w:hAnsi="Times New Roman" w:eastAsia="宋体" w:cs="Times New Roman"/>
                      <w:color w:val="auto"/>
                      <w:sz w:val="18"/>
                      <w:szCs w:val="18"/>
                      <w:lang w:val="en-US" w:eastAsia="zh-CN"/>
                    </w:rPr>
                    <w:t>水喷淋+干式过滤+活性炭吸脱附装置</w:t>
                  </w:r>
                </w:p>
              </w:tc>
              <w:tc>
                <w:tcPr>
                  <w:tcW w:w="1499" w:type="dxa"/>
                  <w:vAlign w:val="center"/>
                </w:tcPr>
                <w:p>
                  <w:pPr>
                    <w:jc w:val="center"/>
                    <w:rPr>
                      <w:rFonts w:hint="eastAsia"/>
                      <w:color w:val="auto"/>
                      <w:sz w:val="18"/>
                      <w:szCs w:val="18"/>
                      <w:lang w:val="en-US" w:eastAsia="zh-CN"/>
                    </w:rPr>
                  </w:pPr>
                  <w:r>
                    <w:rPr>
                      <w:rFonts w:hint="eastAsia" w:eastAsia="宋体" w:cs="Times New Roman"/>
                      <w:color w:val="auto"/>
                      <w:sz w:val="18"/>
                      <w:szCs w:val="18"/>
                      <w:lang w:val="en-US" w:eastAsia="zh-CN"/>
                    </w:rPr>
                    <w:t>15</w:t>
                  </w:r>
                  <w:r>
                    <w:rPr>
                      <w:rFonts w:hint="eastAsia" w:ascii="Times New Roman" w:hAnsi="Times New Roman" w:eastAsia="宋体" w:cs="Times New Roman"/>
                      <w:color w:val="auto"/>
                      <w:sz w:val="18"/>
                      <w:szCs w:val="18"/>
                      <w:lang w:val="en-US" w:eastAsia="zh-CN"/>
                    </w:rPr>
                    <w:t>000m</w:t>
                  </w:r>
                  <w:r>
                    <w:rPr>
                      <w:rFonts w:hint="eastAsia" w:ascii="Times New Roman" w:hAnsi="Times New Roman" w:eastAsia="宋体" w:cs="Times New Roman"/>
                      <w:color w:val="auto"/>
                      <w:sz w:val="18"/>
                      <w:szCs w:val="18"/>
                      <w:vertAlign w:val="superscript"/>
                      <w:lang w:val="en-US" w:eastAsia="zh-CN"/>
                    </w:rPr>
                    <w:t>3</w:t>
                  </w:r>
                  <w:r>
                    <w:rPr>
                      <w:rFonts w:hint="eastAsia" w:ascii="Times New Roman" w:hAnsi="Times New Roman" w:eastAsia="宋体" w:cs="Times New Roman"/>
                      <w:color w:val="auto"/>
                      <w:sz w:val="18"/>
                      <w:szCs w:val="18"/>
                      <w:lang w:val="en-US" w:eastAsia="zh-CN"/>
                    </w:rPr>
                    <w:t>/h</w:t>
                  </w:r>
                </w:p>
              </w:tc>
              <w:tc>
                <w:tcPr>
                  <w:tcW w:w="1507" w:type="dxa"/>
                  <w:vAlign w:val="center"/>
                </w:tcPr>
                <w:p>
                  <w:pPr>
                    <w:snapToGrid w:val="0"/>
                    <w:ind w:right="-12" w:rightChars="-5"/>
                    <w:jc w:val="center"/>
                    <w:rPr>
                      <w:rFonts w:hint="default" w:eastAsia="宋体"/>
                      <w:color w:val="auto"/>
                      <w:sz w:val="18"/>
                      <w:szCs w:val="18"/>
                      <w:lang w:val="en-US" w:eastAsia="zh-CN"/>
                    </w:rPr>
                  </w:pPr>
                  <w:r>
                    <w:rPr>
                      <w:rFonts w:hint="eastAsia"/>
                      <w:color w:val="auto"/>
                      <w:sz w:val="18"/>
                      <w:szCs w:val="18"/>
                      <w:lang w:val="en-US" w:eastAsia="zh-CN"/>
                    </w:rPr>
                    <w:t>60</w:t>
                  </w:r>
                </w:p>
              </w:tc>
              <w:tc>
                <w:tcPr>
                  <w:tcW w:w="1172" w:type="dxa"/>
                  <w:vAlign w:val="center"/>
                </w:tcPr>
                <w:p>
                  <w:pPr>
                    <w:snapToGrid w:val="0"/>
                    <w:ind w:right="-12" w:rightChars="-5"/>
                    <w:jc w:val="center"/>
                    <w:rPr>
                      <w:rFonts w:hint="default" w:eastAsia="宋体"/>
                      <w:color w:val="auto"/>
                      <w:sz w:val="18"/>
                      <w:szCs w:val="18"/>
                      <w:lang w:val="en-US" w:eastAsia="zh-CN"/>
                    </w:rPr>
                  </w:pPr>
                  <w:r>
                    <w:rPr>
                      <w:rFonts w:hint="eastAsia"/>
                      <w:color w:val="auto"/>
                      <w:sz w:val="18"/>
                      <w:szCs w:val="18"/>
                      <w:lang w:val="en-US" w:eastAsia="zh-CN"/>
                    </w:rPr>
                    <w:t>35</w:t>
                  </w:r>
                </w:p>
              </w:tc>
              <w:tc>
                <w:tcPr>
                  <w:tcW w:w="1044" w:type="dxa"/>
                  <w:vAlign w:val="center"/>
                </w:tcPr>
                <w:p>
                  <w:pPr>
                    <w:snapToGrid w:val="0"/>
                    <w:ind w:right="-12" w:rightChars="-5"/>
                    <w:jc w:val="center"/>
                    <w:rPr>
                      <w:rFonts w:hint="default" w:eastAsia="宋体"/>
                      <w:color w:val="auto"/>
                      <w:sz w:val="18"/>
                      <w:szCs w:val="18"/>
                      <w:lang w:val="en-US" w:eastAsia="zh-CN"/>
                    </w:rPr>
                  </w:pPr>
                  <w:r>
                    <w:rPr>
                      <w:rFonts w:hint="eastAsia"/>
                      <w:color w:val="auto"/>
                      <w:sz w:val="18"/>
                      <w:szCs w:val="18"/>
                      <w:lang w:val="en-US" w:eastAsia="zh-CN"/>
                    </w:rPr>
                    <w:t>2.0</w:t>
                  </w:r>
                </w:p>
              </w:tc>
              <w:tc>
                <w:tcPr>
                  <w:tcW w:w="1683" w:type="dxa"/>
                  <w:vAlign w:val="center"/>
                </w:tcPr>
                <w:p>
                  <w:pPr>
                    <w:jc w:val="center"/>
                    <w:rPr>
                      <w:color w:val="auto"/>
                      <w:sz w:val="18"/>
                      <w:szCs w:val="18"/>
                    </w:rPr>
                  </w:pPr>
                  <w:r>
                    <w:rPr>
                      <w:rFonts w:hint="eastAsia"/>
                      <w:color w:val="auto"/>
                      <w:sz w:val="18"/>
                      <w:szCs w:val="18"/>
                    </w:rPr>
                    <w:t>8</w:t>
                  </w:r>
                  <w:r>
                    <w:rPr>
                      <w:rFonts w:hint="eastAsia"/>
                      <w:color w:val="auto"/>
                      <w:sz w:val="18"/>
                      <w:szCs w:val="18"/>
                      <w:lang w:val="en-US" w:eastAsia="zh-CN"/>
                    </w:rPr>
                    <w:t>5</w:t>
                  </w:r>
                  <w:r>
                    <w:rPr>
                      <w:rFonts w:hint="eastAsia"/>
                      <w:color w:val="auto"/>
                      <w:sz w:val="18"/>
                      <w:szCs w:val="18"/>
                    </w:rPr>
                    <w:t>/1</w:t>
                  </w:r>
                </w:p>
              </w:tc>
              <w:tc>
                <w:tcPr>
                  <w:tcW w:w="2521" w:type="dxa"/>
                  <w:vAlign w:val="center"/>
                </w:tcPr>
                <w:p>
                  <w:pPr>
                    <w:jc w:val="center"/>
                    <w:rPr>
                      <w:color w:val="auto"/>
                      <w:sz w:val="18"/>
                      <w:szCs w:val="18"/>
                    </w:rPr>
                  </w:pPr>
                  <w:r>
                    <w:rPr>
                      <w:color w:val="auto"/>
                      <w:sz w:val="18"/>
                      <w:szCs w:val="18"/>
                    </w:rPr>
                    <w:t>加强设备养护和保养等措施</w:t>
                  </w:r>
                </w:p>
              </w:tc>
              <w:tc>
                <w:tcPr>
                  <w:tcW w:w="1162" w:type="dxa"/>
                  <w:vAlign w:val="center"/>
                </w:tcPr>
                <w:p>
                  <w:pPr>
                    <w:jc w:val="center"/>
                    <w:rPr>
                      <w:color w:val="auto"/>
                      <w:sz w:val="18"/>
                      <w:szCs w:val="18"/>
                    </w:rPr>
                  </w:pPr>
                  <w:r>
                    <w:rPr>
                      <w:rFonts w:hint="eastAsia"/>
                      <w:color w:val="auto"/>
                      <w:sz w:val="18"/>
                      <w:szCs w:val="18"/>
                    </w:rPr>
                    <w:t>昼间</w:t>
                  </w:r>
                </w:p>
              </w:tc>
            </w:tr>
          </w:tbl>
          <w:p>
            <w:pPr>
              <w:pStyle w:val="40"/>
              <w:rPr>
                <w:rFonts w:hint="default" w:ascii="Times New Roman" w:hAnsi="Times New Roman" w:cs="Times New Roman"/>
                <w:color w:val="FF0000"/>
                <w:sz w:val="21"/>
                <w:szCs w:val="20"/>
              </w:rPr>
            </w:pPr>
          </w:p>
          <w:p>
            <w:pPr>
              <w:pStyle w:val="40"/>
              <w:rPr>
                <w:rFonts w:hint="default" w:ascii="Times New Roman" w:hAnsi="Times New Roman" w:cs="Times New Roman"/>
                <w:color w:val="FF0000"/>
                <w:sz w:val="21"/>
                <w:szCs w:val="20"/>
              </w:rPr>
            </w:pPr>
          </w:p>
          <w:p>
            <w:pPr>
              <w:pStyle w:val="40"/>
              <w:rPr>
                <w:rFonts w:hint="default" w:ascii="Times New Roman" w:hAnsi="Times New Roman" w:cs="Times New Roman"/>
                <w:color w:val="FF0000"/>
                <w:sz w:val="21"/>
                <w:szCs w:val="20"/>
              </w:rPr>
            </w:pPr>
          </w:p>
          <w:p>
            <w:pPr>
              <w:pStyle w:val="40"/>
              <w:rPr>
                <w:rFonts w:hint="default" w:ascii="Times New Roman" w:hAnsi="Times New Roman" w:cs="Times New Roman"/>
                <w:color w:val="FF0000"/>
                <w:sz w:val="21"/>
                <w:szCs w:val="20"/>
              </w:rPr>
            </w:pPr>
          </w:p>
        </w:tc>
      </w:tr>
    </w:tbl>
    <w:p>
      <w:pPr>
        <w:pStyle w:val="38"/>
        <w:rPr>
          <w:rFonts w:hint="default" w:ascii="Times New Roman" w:hAnsi="Times New Roman" w:cs="Times New Roman"/>
          <w:color w:val="FF0000"/>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0" w:num="1"/>
          <w:docGrid w:type="lines" w:linePitch="332" w:charSpace="0"/>
        </w:sectPr>
      </w:pPr>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
        <w:gridCol w:w="8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9" w:hRule="atLeast"/>
        </w:trPr>
        <w:tc>
          <w:tcPr>
            <w:tcW w:w="488" w:type="dxa"/>
            <w:vAlign w:val="center"/>
          </w:tcPr>
          <w:p>
            <w:pPr>
              <w:jc w:val="center"/>
              <w:rPr>
                <w:rFonts w:hint="default" w:ascii="Times New Roman" w:hAnsi="Times New Roman" w:cs="Times New Roman"/>
                <w:b/>
                <w:color w:val="FF0000"/>
                <w:szCs w:val="24"/>
              </w:rPr>
            </w:pPr>
            <w:r>
              <w:rPr>
                <w:rFonts w:hint="default" w:ascii="Times New Roman" w:hAnsi="Times New Roman" w:cs="Times New Roman"/>
                <w:b/>
                <w:color w:val="auto"/>
                <w:szCs w:val="24"/>
              </w:rPr>
              <w:t>营运期环境保护措施</w:t>
            </w:r>
          </w:p>
        </w:tc>
        <w:tc>
          <w:tcPr>
            <w:tcW w:w="8034" w:type="dxa"/>
          </w:tcPr>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（2）噪声预测</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为了解项目运营对周边声环境的影响，项目环评釆用参照《环境影响评价技术导则声环境》（HJ2.4.2021）附录B（规范性附录）中“B.1工业噪声预测计算模型”。</w:t>
            </w:r>
            <w:r>
              <w:rPr>
                <w:rFonts w:hint="default" w:ascii="Times New Roman" w:hAnsi="Times New Roman" w:cs="Times New Roman"/>
                <w:color w:val="auto"/>
              </w:rPr>
              <w:t>在进行声环境影响预测时，一般采用声源的倍频带声功率级，A声功率级或靠近声源某一位置的倍频带声压级，A声级来预测计算距声源不同距离的声级。分别计算室外和室内两种工业声源。</w:t>
            </w:r>
          </w:p>
          <w:p>
            <w:pPr>
              <w:tabs>
                <w:tab w:val="left" w:pos="4288"/>
              </w:tabs>
              <w:spacing w:line="360" w:lineRule="auto"/>
              <w:ind w:firstLine="480" w:firstLineChars="200"/>
              <w:outlineLvl w:val="2"/>
              <w:rPr>
                <w:rFonts w:hint="default" w:ascii="Times New Roman" w:hAnsi="Times New Roman" w:cs="Times New Roman"/>
                <w:color w:val="auto"/>
              </w:rPr>
            </w:pPr>
            <w:r>
              <w:rPr>
                <w:rFonts w:hint="default" w:ascii="Times New Roman" w:hAnsi="Times New Roman" w:cs="Times New Roman"/>
                <w:color w:val="auto"/>
              </w:rPr>
              <w:t>a）室内声源等效室外声源声功率级计算。</w:t>
            </w:r>
          </w:p>
          <w:p>
            <w:pPr>
              <w:tabs>
                <w:tab w:val="left" w:pos="4288"/>
              </w:tabs>
              <w:spacing w:line="360" w:lineRule="auto"/>
              <w:ind w:firstLine="480" w:firstLineChars="200"/>
              <w:outlineLvl w:val="2"/>
              <w:rPr>
                <w:rFonts w:hint="default" w:ascii="Times New Roman" w:hAnsi="Times New Roman" w:cs="Times New Roman"/>
                <w:color w:val="auto"/>
              </w:rPr>
            </w:pPr>
            <w:r>
              <w:rPr>
                <w:rFonts w:hint="default" w:ascii="Times New Roman" w:hAnsi="Times New Roman" w:cs="Times New Roman"/>
                <w:color w:val="auto"/>
              </w:rPr>
              <w:t>声源位于室内，室内声源可采用等效室外声源声功率级法进行计算，具体见图4-1：</w:t>
            </w:r>
          </w:p>
          <w:p>
            <w:pPr>
              <w:ind w:firstLine="480" w:firstLineChars="200"/>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2336" behindDoc="0" locked="0" layoutInCell="1" allowOverlap="1">
                  <wp:simplePos x="0" y="0"/>
                  <wp:positionH relativeFrom="column">
                    <wp:posOffset>1247140</wp:posOffset>
                  </wp:positionH>
                  <wp:positionV relativeFrom="paragraph">
                    <wp:posOffset>160020</wp:posOffset>
                  </wp:positionV>
                  <wp:extent cx="2536190" cy="1270000"/>
                  <wp:effectExtent l="0" t="0" r="3810" b="0"/>
                  <wp:wrapNone/>
                  <wp:docPr id="2" name="图片 1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008"/>
                          <pic:cNvPicPr>
                            <a:picLocks noChangeAspect="1"/>
                          </pic:cNvPicPr>
                        </pic:nvPicPr>
                        <pic:blipFill>
                          <a:blip r:embed="rId15"/>
                          <a:stretch>
                            <a:fillRect/>
                          </a:stretch>
                        </pic:blipFill>
                        <pic:spPr>
                          <a:xfrm>
                            <a:off x="0" y="0"/>
                            <a:ext cx="2537551" cy="1270975"/>
                          </a:xfrm>
                          <a:prstGeom prst="rect">
                            <a:avLst/>
                          </a:prstGeom>
                          <a:noFill/>
                          <a:ln w="9525">
                            <a:noFill/>
                          </a:ln>
                        </pic:spPr>
                      </pic:pic>
                    </a:graphicData>
                  </a:graphic>
                </wp:anchor>
              </w:drawing>
            </w:r>
          </w:p>
          <w:p>
            <w:pPr>
              <w:ind w:firstLine="480" w:firstLineChars="200"/>
              <w:jc w:val="center"/>
              <w:rPr>
                <w:rFonts w:hint="default" w:ascii="Times New Roman" w:hAnsi="Times New Roman" w:cs="Times New Roman"/>
                <w:color w:val="auto"/>
              </w:rPr>
            </w:pPr>
          </w:p>
          <w:p>
            <w:pPr>
              <w:spacing w:line="440" w:lineRule="exact"/>
              <w:ind w:firstLine="480" w:firstLineChars="200"/>
              <w:rPr>
                <w:rFonts w:hint="default" w:ascii="Times New Roman" w:hAnsi="Times New Roman" w:cs="Times New Roman"/>
                <w:color w:val="auto"/>
              </w:rPr>
            </w:pPr>
          </w:p>
          <w:p>
            <w:pPr>
              <w:spacing w:line="440" w:lineRule="exact"/>
              <w:ind w:firstLine="480" w:firstLineChars="200"/>
              <w:rPr>
                <w:rFonts w:hint="default" w:ascii="Times New Roman" w:hAnsi="Times New Roman" w:cs="Times New Roman"/>
                <w:color w:val="auto"/>
              </w:rPr>
            </w:pPr>
          </w:p>
          <w:p>
            <w:pPr>
              <w:spacing w:line="440" w:lineRule="exact"/>
              <w:ind w:firstLine="480" w:firstLineChars="200"/>
              <w:rPr>
                <w:rFonts w:hint="default" w:ascii="Times New Roman" w:hAnsi="Times New Roman" w:cs="Times New Roman"/>
                <w:color w:val="auto"/>
              </w:rPr>
            </w:pPr>
          </w:p>
          <w:p>
            <w:pPr>
              <w:spacing w:line="440" w:lineRule="exact"/>
              <w:ind w:firstLine="480" w:firstLineChars="200"/>
              <w:rPr>
                <w:rFonts w:hint="default" w:ascii="Times New Roman" w:hAnsi="Times New Roman" w:cs="Times New Roman"/>
                <w:color w:val="auto"/>
              </w:rPr>
            </w:pPr>
          </w:p>
          <w:p>
            <w:pPr>
              <w:adjustRightInd w:val="0"/>
              <w:snapToGrid w:val="0"/>
              <w:jc w:val="center"/>
              <w:rPr>
                <w:rFonts w:hint="default" w:ascii="Times New Roman" w:hAnsi="Times New Roman" w:cs="Times New Roman"/>
                <w:b/>
                <w:bCs/>
                <w:color w:val="auto"/>
              </w:rPr>
            </w:pPr>
            <w:r>
              <w:rPr>
                <w:rFonts w:hint="default" w:ascii="Times New Roman" w:hAnsi="Times New Roman" w:cs="Times New Roman"/>
                <w:b/>
                <w:bCs/>
                <w:color w:val="auto"/>
              </w:rPr>
              <w:t>图4-1  室内声源等效室外声源图例</w:t>
            </w:r>
          </w:p>
          <w:p>
            <w:pPr>
              <w:pStyle w:val="15"/>
              <w:rPr>
                <w:rFonts w:hint="default" w:ascii="Times New Roman" w:hAnsi="Times New Roman" w:cs="Times New Roman"/>
                <w:color w:val="auto"/>
              </w:rPr>
            </w:pP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设靠近开口处（或窗户）室内、室外某倍频带的声压级分别为L</w:t>
            </w:r>
            <w:r>
              <w:rPr>
                <w:rFonts w:hint="default" w:ascii="Times New Roman" w:hAnsi="Times New Roman" w:cs="Times New Roman"/>
                <w:color w:val="auto"/>
                <w:vertAlign w:val="subscript"/>
              </w:rPr>
              <w:t>p1</w:t>
            </w:r>
            <w:r>
              <w:rPr>
                <w:rFonts w:hint="default" w:ascii="Times New Roman" w:hAnsi="Times New Roman" w:cs="Times New Roman"/>
                <w:color w:val="auto"/>
              </w:rPr>
              <w:t>和L</w:t>
            </w:r>
            <w:r>
              <w:rPr>
                <w:rFonts w:hint="default" w:ascii="Times New Roman" w:hAnsi="Times New Roman" w:cs="Times New Roman"/>
                <w:color w:val="auto"/>
                <w:vertAlign w:val="subscript"/>
              </w:rPr>
              <w:t>p2</w:t>
            </w:r>
            <w:r>
              <w:rPr>
                <w:rFonts w:hint="default" w:ascii="Times New Roman" w:hAnsi="Times New Roman" w:cs="Times New Roman"/>
                <w:color w:val="auto"/>
              </w:rPr>
              <w:t>。若声源所在室内声场为近似扩散声场，则室外的倍频带声压级可按下式近似求出：</w:t>
            </w:r>
          </w:p>
          <w:p>
            <w:pPr>
              <w:jc w:val="center"/>
              <w:rPr>
                <w:rFonts w:hint="default" w:ascii="Times New Roman" w:hAnsi="Times New Roman" w:cs="Times New Roman"/>
                <w:color w:val="auto"/>
              </w:rPr>
            </w:pPr>
            <w:r>
              <w:rPr>
                <w:rFonts w:hint="default" w:ascii="Times New Roman" w:hAnsi="Times New Roman" w:cs="Times New Roman"/>
                <w:color w:val="auto"/>
              </w:rPr>
              <w:drawing>
                <wp:inline distT="0" distB="0" distL="114300" distR="114300">
                  <wp:extent cx="1443355" cy="264160"/>
                  <wp:effectExtent l="0" t="0" r="4445" b="2540"/>
                  <wp:docPr id="3" name="图片 33" descr="16474330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3" descr="1647433051(1)"/>
                          <pic:cNvPicPr>
                            <a:picLocks noChangeAspect="1"/>
                          </pic:cNvPicPr>
                        </pic:nvPicPr>
                        <pic:blipFill>
                          <a:blip r:embed="rId16"/>
                          <a:stretch>
                            <a:fillRect/>
                          </a:stretch>
                        </pic:blipFill>
                        <pic:spPr>
                          <a:xfrm>
                            <a:off x="0" y="0"/>
                            <a:ext cx="1443355" cy="264160"/>
                          </a:xfrm>
                          <a:prstGeom prst="rect">
                            <a:avLst/>
                          </a:prstGeom>
                        </pic:spPr>
                      </pic:pic>
                    </a:graphicData>
                  </a:graphic>
                </wp:inline>
              </w:drawing>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式中：TL—隔墙（或窗户）倍频带的隔声量，dB(A)。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也可按下式计算某一室内声源靠近围护结构处产生的倍频带声压级：</w:t>
            </w:r>
          </w:p>
          <w:p>
            <w:pPr>
              <w:spacing w:line="44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3360" behindDoc="0" locked="0" layoutInCell="1" allowOverlap="1">
                  <wp:simplePos x="0" y="0"/>
                  <wp:positionH relativeFrom="column">
                    <wp:posOffset>1382395</wp:posOffset>
                  </wp:positionH>
                  <wp:positionV relativeFrom="paragraph">
                    <wp:posOffset>56515</wp:posOffset>
                  </wp:positionV>
                  <wp:extent cx="2045335" cy="502920"/>
                  <wp:effectExtent l="0" t="0" r="12065" b="5080"/>
                  <wp:wrapNone/>
                  <wp:docPr id="4" name="图片 1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009"/>
                          <pic:cNvPicPr>
                            <a:picLocks noChangeAspect="1"/>
                          </pic:cNvPicPr>
                        </pic:nvPicPr>
                        <pic:blipFill>
                          <a:blip r:embed="rId17"/>
                          <a:stretch>
                            <a:fillRect/>
                          </a:stretch>
                        </pic:blipFill>
                        <pic:spPr>
                          <a:xfrm>
                            <a:off x="0" y="0"/>
                            <a:ext cx="2045335" cy="502920"/>
                          </a:xfrm>
                          <a:prstGeom prst="rect">
                            <a:avLst/>
                          </a:prstGeom>
                          <a:noFill/>
                          <a:ln w="9525">
                            <a:noFill/>
                          </a:ln>
                        </pic:spPr>
                      </pic:pic>
                    </a:graphicData>
                  </a:graphic>
                </wp:anchor>
              </w:drawing>
            </w:r>
          </w:p>
          <w:p>
            <w:pPr>
              <w:spacing w:line="440" w:lineRule="exact"/>
              <w:ind w:firstLine="480" w:firstLineChars="200"/>
              <w:rPr>
                <w:rFonts w:hint="default" w:ascii="Times New Roman" w:hAnsi="Times New Roman" w:cs="Times New Roman"/>
                <w:color w:val="auto"/>
              </w:rPr>
            </w:pP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式中：Q—指向性因数，通常对无指向性声源，当声源放在房间中心时，Q=1，当放在两面墙的中心时，Q=2；当放在两面墙夹角处时，Q=4，当放在三面墙夹角处时，Q=8；</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 xml:space="preserve">      R—房间常数，R=Sα/（1-α），S为房间内表面面积，m</w:t>
            </w:r>
            <w:r>
              <w:rPr>
                <w:rFonts w:hint="default" w:ascii="Times New Roman" w:hAnsi="Times New Roman" w:cs="Times New Roman"/>
                <w:color w:val="auto"/>
                <w:vertAlign w:val="superscript"/>
              </w:rPr>
              <w:t>2</w:t>
            </w:r>
            <w:r>
              <w:rPr>
                <w:rFonts w:hint="default" w:ascii="Times New Roman" w:hAnsi="Times New Roman" w:cs="Times New Roman"/>
                <w:color w:val="auto"/>
              </w:rPr>
              <w:t>，α为平均吸声系数；</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 xml:space="preserve">      r—声源到靠近围护结构某点处的距离，m。</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然后按下式计算出所有室内声源在围护结构处产生的i倍频带叠加声压级。</w:t>
            </w:r>
          </w:p>
          <w:p>
            <w:pPr>
              <w:ind w:firstLine="480" w:firstLineChars="200"/>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4384" behindDoc="0" locked="0" layoutInCell="1" allowOverlap="1">
                  <wp:simplePos x="0" y="0"/>
                  <wp:positionH relativeFrom="column">
                    <wp:posOffset>1279525</wp:posOffset>
                  </wp:positionH>
                  <wp:positionV relativeFrom="paragraph">
                    <wp:posOffset>24130</wp:posOffset>
                  </wp:positionV>
                  <wp:extent cx="1678305" cy="465455"/>
                  <wp:effectExtent l="0" t="0" r="10795" b="4445"/>
                  <wp:wrapNone/>
                  <wp:docPr id="13" name="图片 1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010"/>
                          <pic:cNvPicPr>
                            <a:picLocks noChangeAspect="1"/>
                          </pic:cNvPicPr>
                        </pic:nvPicPr>
                        <pic:blipFill>
                          <a:blip r:embed="rId18" cstate="print"/>
                          <a:stretch>
                            <a:fillRect/>
                          </a:stretch>
                        </pic:blipFill>
                        <pic:spPr>
                          <a:xfrm>
                            <a:off x="0" y="0"/>
                            <a:ext cx="1678305" cy="465455"/>
                          </a:xfrm>
                          <a:prstGeom prst="rect">
                            <a:avLst/>
                          </a:prstGeom>
                          <a:noFill/>
                          <a:ln w="9525">
                            <a:noFill/>
                          </a:ln>
                        </pic:spPr>
                      </pic:pic>
                    </a:graphicData>
                  </a:graphic>
                </wp:anchor>
              </w:drawing>
            </w:r>
          </w:p>
          <w:p>
            <w:pPr>
              <w:pStyle w:val="16"/>
              <w:tabs>
                <w:tab w:val="right" w:leader="dot" w:pos="8470"/>
                <w:tab w:val="clear" w:pos="8296"/>
              </w:tabs>
              <w:spacing w:line="360" w:lineRule="auto"/>
              <w:rPr>
                <w:rFonts w:hint="default" w:ascii="Times New Roman" w:hAnsi="Times New Roman" w:cs="Times New Roman"/>
                <w:color w:val="auto"/>
              </w:rPr>
            </w:pP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式中：L</w:t>
            </w:r>
            <w:r>
              <w:rPr>
                <w:rFonts w:hint="default" w:ascii="Times New Roman" w:hAnsi="Times New Roman" w:cs="Times New Roman"/>
                <w:color w:val="auto"/>
                <w:vertAlign w:val="subscript"/>
              </w:rPr>
              <w:t>p1i</w:t>
            </w:r>
            <w:r>
              <w:rPr>
                <w:rFonts w:hint="default" w:ascii="Times New Roman" w:hAnsi="Times New Roman" w:cs="Times New Roman"/>
                <w:color w:val="auto"/>
              </w:rPr>
              <w:t>(T)—靠近围护结构处室内N个声源i倍频带的叠加声压级，dB(A)；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 xml:space="preserve">      L</w:t>
            </w:r>
            <w:r>
              <w:rPr>
                <w:rFonts w:hint="default" w:ascii="Times New Roman" w:hAnsi="Times New Roman" w:cs="Times New Roman"/>
                <w:color w:val="auto"/>
                <w:vertAlign w:val="subscript"/>
              </w:rPr>
              <w:t>p1ij</w:t>
            </w:r>
            <w:r>
              <w:rPr>
                <w:rFonts w:hint="default" w:ascii="Times New Roman" w:hAnsi="Times New Roman" w:cs="Times New Roman"/>
                <w:color w:val="auto"/>
              </w:rPr>
              <w:t>—室内j声源i倍频带的声压级，dB(A)；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 xml:space="preserve">      N—室内声源总数。</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在室内近似为扩散声场时，按下式计算出靠近室外围护结构处的声压级：</w:t>
            </w:r>
          </w:p>
          <w:p>
            <w:pPr>
              <w:spacing w:line="48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5408" behindDoc="0" locked="0" layoutInCell="1" allowOverlap="1">
                  <wp:simplePos x="0" y="0"/>
                  <wp:positionH relativeFrom="column">
                    <wp:posOffset>1236345</wp:posOffset>
                  </wp:positionH>
                  <wp:positionV relativeFrom="paragraph">
                    <wp:posOffset>103505</wp:posOffset>
                  </wp:positionV>
                  <wp:extent cx="2214880" cy="274955"/>
                  <wp:effectExtent l="0" t="0" r="7620" b="4445"/>
                  <wp:wrapNone/>
                  <wp:docPr id="14" name="图片 1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011"/>
                          <pic:cNvPicPr>
                            <a:picLocks noChangeAspect="1"/>
                          </pic:cNvPicPr>
                        </pic:nvPicPr>
                        <pic:blipFill>
                          <a:blip r:embed="rId19"/>
                          <a:stretch>
                            <a:fillRect/>
                          </a:stretch>
                        </pic:blipFill>
                        <pic:spPr>
                          <a:xfrm>
                            <a:off x="0" y="0"/>
                            <a:ext cx="2214880" cy="274955"/>
                          </a:xfrm>
                          <a:prstGeom prst="rect">
                            <a:avLst/>
                          </a:prstGeom>
                          <a:noFill/>
                          <a:ln w="9525">
                            <a:noFill/>
                          </a:ln>
                        </pic:spPr>
                      </pic:pic>
                    </a:graphicData>
                  </a:graphic>
                </wp:anchor>
              </w:drawing>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式中：L</w:t>
            </w:r>
            <w:r>
              <w:rPr>
                <w:rFonts w:hint="default" w:ascii="Times New Roman" w:hAnsi="Times New Roman" w:cs="Times New Roman"/>
                <w:color w:val="auto"/>
                <w:vertAlign w:val="subscript"/>
              </w:rPr>
              <w:t>p2i</w:t>
            </w:r>
            <w:r>
              <w:rPr>
                <w:rFonts w:hint="default" w:ascii="Times New Roman" w:hAnsi="Times New Roman" w:cs="Times New Roman"/>
                <w:color w:val="auto"/>
              </w:rPr>
              <w:t>(T)—靠近围护结构处室外N个声源i倍频带的叠加声压级，dB(A)；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T</w:t>
            </w:r>
            <w:r>
              <w:rPr>
                <w:rFonts w:hint="default" w:ascii="Times New Roman" w:hAnsi="Times New Roman" w:cs="Times New Roman"/>
                <w:color w:val="auto"/>
                <w:vertAlign w:val="subscript"/>
              </w:rPr>
              <w:t>Li</w:t>
            </w:r>
            <w:r>
              <w:rPr>
                <w:rFonts w:hint="default" w:ascii="Times New Roman" w:hAnsi="Times New Roman" w:cs="Times New Roman"/>
                <w:color w:val="auto"/>
              </w:rPr>
              <w:t>—围护结构i倍频带的隔声量，dB(A)。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然后按下式将室外声源的声压级和透过面积换算成等效的室外声源，计算出中心位置位于透声面积（S）处的等效声源的倍频带声功率级。</w:t>
            </w:r>
          </w:p>
          <w:p>
            <w:pPr>
              <w:ind w:firstLine="480" w:firstLineChars="200"/>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6432" behindDoc="0" locked="0" layoutInCell="1" allowOverlap="1">
                  <wp:simplePos x="0" y="0"/>
                  <wp:positionH relativeFrom="column">
                    <wp:posOffset>1397000</wp:posOffset>
                  </wp:positionH>
                  <wp:positionV relativeFrom="paragraph">
                    <wp:posOffset>81915</wp:posOffset>
                  </wp:positionV>
                  <wp:extent cx="1562735" cy="269240"/>
                  <wp:effectExtent l="0" t="0" r="12065" b="10160"/>
                  <wp:wrapNone/>
                  <wp:docPr id="15" name="图片 1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012"/>
                          <pic:cNvPicPr>
                            <a:picLocks noChangeAspect="1"/>
                          </pic:cNvPicPr>
                        </pic:nvPicPr>
                        <pic:blipFill>
                          <a:blip r:embed="rId20" cstate="print"/>
                          <a:stretch>
                            <a:fillRect/>
                          </a:stretch>
                        </pic:blipFill>
                        <pic:spPr>
                          <a:xfrm>
                            <a:off x="0" y="0"/>
                            <a:ext cx="1562735" cy="269240"/>
                          </a:xfrm>
                          <a:prstGeom prst="rect">
                            <a:avLst/>
                          </a:prstGeom>
                          <a:noFill/>
                          <a:ln w="9525">
                            <a:noFill/>
                          </a:ln>
                        </pic:spPr>
                      </pic:pic>
                    </a:graphicData>
                  </a:graphic>
                </wp:anchor>
              </w:drawing>
            </w:r>
          </w:p>
          <w:p>
            <w:pPr>
              <w:ind w:firstLine="480" w:firstLineChars="200"/>
              <w:rPr>
                <w:rFonts w:hint="default" w:ascii="Times New Roman" w:hAnsi="Times New Roman" w:cs="Times New Roman"/>
                <w:color w:val="auto"/>
              </w:rPr>
            </w:pP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b）室外声源衰减模式。</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噪声在传播过程中的衰减ΣAi包括距离衰减、屏障衰减、空气吸收衰减和地面吸收衰减。在预测时，为留有较大的余地，以噪声对环境最不利的情况为前提只考虑屏障衰减、距离衰减，而其它因素的衰减，如空气吸收衰减、地面吸收、温度梯度、雨、雾等均作为预测计算的安全系数而不计，故：ΣAi＝Aα＋Ab。</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距离衰减：Aα＝20lgr+8</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其中：r─声源中心至受声点的距离(m)。</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屏障衰减Ab：即车间墙壁隔声量，考虑到窗子、屋顶等的透声损失，此处隔声量取20dB（A）。一排房子衰减4dB，二排房子衰减8dB，三排及三排以上房子衰减12dB。</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c）噪声叠加计算。</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不同的噪声源共同作用于某个预测点，该预测点噪声值为各声源传播到预测点声级的叠加后的总等效声级Leq，计算公式如下：</w:t>
            </w:r>
          </w:p>
          <w:p>
            <w:pPr>
              <w:ind w:firstLine="480" w:firstLineChars="200"/>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7456" behindDoc="0" locked="0" layoutInCell="1" allowOverlap="1">
                  <wp:simplePos x="0" y="0"/>
                  <wp:positionH relativeFrom="column">
                    <wp:posOffset>1355725</wp:posOffset>
                  </wp:positionH>
                  <wp:positionV relativeFrom="paragraph">
                    <wp:posOffset>46990</wp:posOffset>
                  </wp:positionV>
                  <wp:extent cx="2119630" cy="556895"/>
                  <wp:effectExtent l="0" t="0" r="1270" b="1905"/>
                  <wp:wrapNone/>
                  <wp:docPr id="230" name="图片 1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2013"/>
                          <pic:cNvPicPr>
                            <a:picLocks noChangeAspect="1"/>
                          </pic:cNvPicPr>
                        </pic:nvPicPr>
                        <pic:blipFill>
                          <a:blip r:embed="rId21"/>
                          <a:stretch>
                            <a:fillRect/>
                          </a:stretch>
                        </pic:blipFill>
                        <pic:spPr>
                          <a:xfrm>
                            <a:off x="0" y="0"/>
                            <a:ext cx="2119630" cy="556895"/>
                          </a:xfrm>
                          <a:prstGeom prst="rect">
                            <a:avLst/>
                          </a:prstGeom>
                          <a:noFill/>
                          <a:ln w="9525">
                            <a:noFill/>
                          </a:ln>
                        </pic:spPr>
                      </pic:pic>
                    </a:graphicData>
                  </a:graphic>
                </wp:anchor>
              </w:drawing>
            </w:r>
          </w:p>
          <w:p>
            <w:pPr>
              <w:pStyle w:val="15"/>
              <w:spacing w:line="360" w:lineRule="auto"/>
              <w:rPr>
                <w:rFonts w:hint="default" w:ascii="Times New Roman" w:hAnsi="Times New Roman" w:cs="Times New Roman"/>
                <w:color w:val="auto"/>
              </w:rPr>
            </w:pPr>
          </w:p>
          <w:p>
            <w:pPr>
              <w:spacing w:line="240" w:lineRule="auto"/>
              <w:ind w:firstLine="480" w:firstLineChars="200"/>
              <w:rPr>
                <w:rFonts w:hint="default" w:ascii="Times New Roman" w:hAnsi="Times New Roman" w:cs="Times New Roman"/>
                <w:color w:val="auto"/>
              </w:rPr>
            </w:pP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式中：L</w:t>
            </w:r>
            <w:r>
              <w:rPr>
                <w:rFonts w:hint="default" w:ascii="Times New Roman" w:hAnsi="Times New Roman" w:cs="Times New Roman"/>
                <w:color w:val="auto"/>
                <w:vertAlign w:val="subscript"/>
              </w:rPr>
              <w:t>eqg</w:t>
            </w:r>
            <w:r>
              <w:rPr>
                <w:rFonts w:hint="default" w:ascii="Times New Roman" w:hAnsi="Times New Roman" w:cs="Times New Roman"/>
                <w:color w:val="auto"/>
              </w:rPr>
              <w:t>—建设项目声源在预测点的等效声级贡献值，dB(A)；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L</w:t>
            </w:r>
            <w:r>
              <w:rPr>
                <w:rFonts w:hint="default" w:ascii="Times New Roman" w:hAnsi="Times New Roman" w:cs="Times New Roman"/>
                <w:color w:val="auto"/>
                <w:vertAlign w:val="subscript"/>
              </w:rPr>
              <w:t>Ai</w:t>
            </w:r>
            <w:r>
              <w:rPr>
                <w:rFonts w:hint="default" w:ascii="Times New Roman" w:hAnsi="Times New Roman" w:cs="Times New Roman"/>
                <w:color w:val="auto"/>
              </w:rPr>
              <w:t>—i声源在预测点产生的A声级，dB(A)；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 xml:space="preserve">      T—预测计算的时间段，s；</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t</w:t>
            </w:r>
            <w:r>
              <w:rPr>
                <w:rFonts w:hint="default" w:ascii="Times New Roman" w:hAnsi="Times New Roman" w:cs="Times New Roman"/>
                <w:color w:val="auto"/>
                <w:vertAlign w:val="subscript"/>
              </w:rPr>
              <w:t>i</w:t>
            </w:r>
            <w:r>
              <w:rPr>
                <w:rFonts w:hint="default" w:ascii="Times New Roman" w:hAnsi="Times New Roman" w:cs="Times New Roman"/>
                <w:color w:val="auto"/>
              </w:rPr>
              <w:t>—i声源在T时段内的运行时间，s。</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d）预测点的预测等效声级计算公式。</w:t>
            </w:r>
          </w:p>
          <w:p>
            <w:pPr>
              <w:spacing w:line="44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drawing>
                <wp:anchor distT="0" distB="0" distL="114300" distR="114300" simplePos="0" relativeHeight="251668480" behindDoc="0" locked="0" layoutInCell="1" allowOverlap="1">
                  <wp:simplePos x="0" y="0"/>
                  <wp:positionH relativeFrom="column">
                    <wp:posOffset>1527810</wp:posOffset>
                  </wp:positionH>
                  <wp:positionV relativeFrom="paragraph">
                    <wp:posOffset>154940</wp:posOffset>
                  </wp:positionV>
                  <wp:extent cx="2352040" cy="327025"/>
                  <wp:effectExtent l="0" t="0" r="10160" b="3175"/>
                  <wp:wrapNone/>
                  <wp:docPr id="232" name="图片 1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2014"/>
                          <pic:cNvPicPr>
                            <a:picLocks noChangeAspect="1"/>
                          </pic:cNvPicPr>
                        </pic:nvPicPr>
                        <pic:blipFill>
                          <a:blip r:embed="rId22" cstate="print"/>
                          <a:stretch>
                            <a:fillRect/>
                          </a:stretch>
                        </pic:blipFill>
                        <pic:spPr>
                          <a:xfrm>
                            <a:off x="0" y="0"/>
                            <a:ext cx="2352040" cy="327025"/>
                          </a:xfrm>
                          <a:prstGeom prst="rect">
                            <a:avLst/>
                          </a:prstGeom>
                          <a:noFill/>
                          <a:ln w="9525">
                            <a:noFill/>
                          </a:ln>
                        </pic:spPr>
                      </pic:pic>
                    </a:graphicData>
                  </a:graphic>
                </wp:anchor>
              </w:drawing>
            </w:r>
          </w:p>
          <w:p>
            <w:pPr>
              <w:ind w:firstLine="480" w:firstLineChars="200"/>
              <w:rPr>
                <w:rFonts w:hint="default" w:ascii="Times New Roman" w:hAnsi="Times New Roman" w:cs="Times New Roman"/>
                <w:color w:val="auto"/>
              </w:rPr>
            </w:pP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式中：L</w:t>
            </w:r>
            <w:r>
              <w:rPr>
                <w:rFonts w:hint="default" w:ascii="Times New Roman" w:hAnsi="Times New Roman" w:cs="Times New Roman"/>
                <w:color w:val="auto"/>
                <w:vertAlign w:val="subscript"/>
              </w:rPr>
              <w:t>eqg</w:t>
            </w:r>
            <w:r>
              <w:rPr>
                <w:rFonts w:hint="default" w:ascii="Times New Roman" w:hAnsi="Times New Roman" w:cs="Times New Roman"/>
                <w:color w:val="auto"/>
              </w:rPr>
              <w:t>—建设项目声源在预测点的等效声级贡献值，dB(A)；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L</w:t>
            </w:r>
            <w:r>
              <w:rPr>
                <w:rFonts w:hint="default" w:ascii="Times New Roman" w:hAnsi="Times New Roman" w:cs="Times New Roman"/>
                <w:color w:val="auto"/>
                <w:vertAlign w:val="subscript"/>
              </w:rPr>
              <w:t>eqb</w:t>
            </w:r>
            <w:r>
              <w:rPr>
                <w:rFonts w:hint="default" w:ascii="Times New Roman" w:hAnsi="Times New Roman" w:cs="Times New Roman"/>
                <w:color w:val="auto"/>
              </w:rPr>
              <w:t>—预测点的背景值，dB(A)。</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e）预测结果</w:t>
            </w:r>
          </w:p>
          <w:p>
            <w:pPr>
              <w:spacing w:line="460" w:lineRule="exact"/>
              <w:ind w:firstLine="480" w:firstLineChars="200"/>
              <w:rPr>
                <w:rFonts w:hint="default" w:ascii="Times New Roman" w:hAnsi="Times New Roman" w:cs="Times New Roman"/>
                <w:color w:val="auto"/>
              </w:rPr>
            </w:pPr>
            <w:r>
              <w:rPr>
                <w:rFonts w:hint="default" w:ascii="Times New Roman" w:hAnsi="Times New Roman" w:cs="Times New Roman"/>
                <w:color w:val="auto"/>
              </w:rPr>
              <w:t>噪声预测结果，详见表4-</w:t>
            </w:r>
            <w:r>
              <w:rPr>
                <w:rFonts w:hint="eastAsia" w:cs="Times New Roman"/>
                <w:color w:val="auto"/>
                <w:lang w:val="en-US" w:eastAsia="zh-CN"/>
              </w:rPr>
              <w:t>21</w:t>
            </w:r>
            <w:r>
              <w:rPr>
                <w:rFonts w:hint="default" w:ascii="Times New Roman" w:hAnsi="Times New Roman" w:cs="Times New Roman"/>
                <w:color w:val="auto"/>
              </w:rPr>
              <w:t>。</w:t>
            </w:r>
          </w:p>
          <w:p>
            <w:pPr>
              <w:adjustRightInd w:val="0"/>
              <w:snapToGrid w:val="0"/>
              <w:spacing w:line="480" w:lineRule="exact"/>
              <w:ind w:firstLine="482"/>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21</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噪声预测结果</w:t>
            </w:r>
          </w:p>
          <w:p>
            <w:pPr>
              <w:ind w:firstLine="539"/>
              <w:jc w:val="righ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单位：dB(A)</w:t>
            </w:r>
          </w:p>
          <w:tbl>
            <w:tblPr>
              <w:tblStyle w:val="29"/>
              <w:tblW w:w="7653" w:type="dxa"/>
              <w:jc w:val="center"/>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849"/>
              <w:gridCol w:w="1201"/>
              <w:gridCol w:w="1201"/>
              <w:gridCol w:w="1201"/>
              <w:gridCol w:w="1201"/>
            </w:tblGrid>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Merge w:val="restart"/>
                  <w:vAlign w:val="center"/>
                </w:tcPr>
                <w:p>
                  <w:pPr>
                    <w:pStyle w:val="132"/>
                    <w:snapToGrid w:val="0"/>
                    <w:spacing w:line="320" w:lineRule="exact"/>
                    <w:jc w:val="center"/>
                    <w:rPr>
                      <w:rFonts w:ascii="Times New Roman" w:hAnsi="Times New Roman"/>
                      <w:b/>
                      <w:color w:val="auto"/>
                      <w:sz w:val="21"/>
                      <w:szCs w:val="21"/>
                    </w:rPr>
                  </w:pPr>
                  <w:r>
                    <w:rPr>
                      <w:rFonts w:ascii="Times New Roman" w:hAnsi="Times New Roman"/>
                      <w:b/>
                      <w:color w:val="auto"/>
                      <w:sz w:val="21"/>
                      <w:szCs w:val="21"/>
                    </w:rPr>
                    <w:t>项目</w:t>
                  </w:r>
                </w:p>
              </w:tc>
              <w:tc>
                <w:tcPr>
                  <w:tcW w:w="4804" w:type="dxa"/>
                  <w:gridSpan w:val="4"/>
                  <w:shd w:val="clear" w:color="auto" w:fill="auto"/>
                  <w:vAlign w:val="center"/>
                </w:tcPr>
                <w:p>
                  <w:pPr>
                    <w:pStyle w:val="132"/>
                    <w:snapToGrid w:val="0"/>
                    <w:spacing w:line="320" w:lineRule="exact"/>
                    <w:jc w:val="center"/>
                    <w:rPr>
                      <w:rFonts w:ascii="Times New Roman" w:hAnsi="Times New Roman"/>
                      <w:b/>
                      <w:color w:val="auto"/>
                      <w:sz w:val="21"/>
                      <w:szCs w:val="21"/>
                    </w:rPr>
                  </w:pPr>
                  <w:r>
                    <w:rPr>
                      <w:rFonts w:ascii="Times New Roman" w:hAnsi="Times New Roman"/>
                      <w:b/>
                      <w:color w:val="auto"/>
                      <w:sz w:val="21"/>
                      <w:szCs w:val="21"/>
                    </w:rPr>
                    <w:t>预测结果</w:t>
                  </w:r>
                </w:p>
              </w:tc>
            </w:tr>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Merge w:val="continue"/>
                  <w:vAlign w:val="center"/>
                </w:tcPr>
                <w:p>
                  <w:pPr>
                    <w:pStyle w:val="132"/>
                    <w:snapToGrid w:val="0"/>
                    <w:spacing w:line="320" w:lineRule="exact"/>
                    <w:jc w:val="center"/>
                    <w:rPr>
                      <w:rFonts w:ascii="Times New Roman" w:hAnsi="Times New Roman"/>
                      <w:b/>
                      <w:color w:val="auto"/>
                      <w:sz w:val="21"/>
                      <w:szCs w:val="21"/>
                    </w:rPr>
                  </w:pPr>
                </w:p>
              </w:tc>
              <w:tc>
                <w:tcPr>
                  <w:tcW w:w="4804" w:type="dxa"/>
                  <w:gridSpan w:val="4"/>
                  <w:shd w:val="clear" w:color="auto" w:fill="auto"/>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厂界</w:t>
                  </w:r>
                </w:p>
              </w:tc>
            </w:tr>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Merge w:val="continue"/>
                  <w:vAlign w:val="center"/>
                </w:tcPr>
                <w:p>
                  <w:pPr>
                    <w:pStyle w:val="132"/>
                    <w:snapToGrid w:val="0"/>
                    <w:spacing w:line="320" w:lineRule="exact"/>
                    <w:jc w:val="center"/>
                    <w:rPr>
                      <w:rFonts w:ascii="Times New Roman" w:hAnsi="Times New Roman"/>
                      <w:b/>
                      <w:color w:val="auto"/>
                      <w:sz w:val="21"/>
                      <w:szCs w:val="21"/>
                    </w:rPr>
                  </w:pPr>
                </w:p>
              </w:tc>
              <w:tc>
                <w:tcPr>
                  <w:tcW w:w="1201" w:type="dxa"/>
                  <w:shd w:val="clear" w:color="auto" w:fill="auto"/>
                  <w:vAlign w:val="center"/>
                </w:tcPr>
                <w:p>
                  <w:pPr>
                    <w:pStyle w:val="132"/>
                    <w:adjustRightInd/>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东</w:t>
                  </w:r>
                </w:p>
              </w:tc>
              <w:tc>
                <w:tcPr>
                  <w:tcW w:w="1201" w:type="dxa"/>
                  <w:shd w:val="clear" w:color="auto" w:fill="auto"/>
                  <w:vAlign w:val="center"/>
                </w:tcPr>
                <w:p>
                  <w:pPr>
                    <w:pStyle w:val="132"/>
                    <w:adjustRightInd/>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南</w:t>
                  </w:r>
                </w:p>
              </w:tc>
              <w:tc>
                <w:tcPr>
                  <w:tcW w:w="1201" w:type="dxa"/>
                  <w:vAlign w:val="center"/>
                </w:tcPr>
                <w:p>
                  <w:pPr>
                    <w:pStyle w:val="132"/>
                    <w:adjustRightInd/>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西</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北</w:t>
                  </w:r>
                </w:p>
              </w:tc>
            </w:tr>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贡献值(昼间)</w:t>
                  </w:r>
                </w:p>
              </w:tc>
              <w:tc>
                <w:tcPr>
                  <w:tcW w:w="1201" w:type="dxa"/>
                  <w:vAlign w:val="center"/>
                </w:tcPr>
                <w:p>
                  <w:pPr>
                    <w:jc w:val="center"/>
                    <w:rPr>
                      <w:rFonts w:hint="default"/>
                      <w:color w:val="auto"/>
                      <w:sz w:val="21"/>
                      <w:szCs w:val="21"/>
                      <w:lang w:val="en-US" w:eastAsia="zh-CN"/>
                    </w:rPr>
                  </w:pPr>
                  <w:r>
                    <w:rPr>
                      <w:rFonts w:hint="default"/>
                      <w:color w:val="auto"/>
                      <w:sz w:val="21"/>
                      <w:szCs w:val="21"/>
                      <w:lang w:val="en-US" w:eastAsia="zh-CN"/>
                    </w:rPr>
                    <w:t>50.5</w:t>
                  </w:r>
                </w:p>
              </w:tc>
              <w:tc>
                <w:tcPr>
                  <w:tcW w:w="1201" w:type="dxa"/>
                  <w:vAlign w:val="center"/>
                </w:tcPr>
                <w:p>
                  <w:pPr>
                    <w:jc w:val="center"/>
                    <w:rPr>
                      <w:rFonts w:hint="default"/>
                      <w:color w:val="auto"/>
                      <w:sz w:val="21"/>
                      <w:szCs w:val="21"/>
                      <w:lang w:val="en-US" w:eastAsia="zh-CN"/>
                    </w:rPr>
                  </w:pPr>
                  <w:r>
                    <w:rPr>
                      <w:rFonts w:hint="default"/>
                      <w:color w:val="auto"/>
                      <w:sz w:val="21"/>
                      <w:szCs w:val="21"/>
                      <w:lang w:val="en-US" w:eastAsia="zh-CN"/>
                    </w:rPr>
                    <w:t>42.5</w:t>
                  </w:r>
                </w:p>
              </w:tc>
              <w:tc>
                <w:tcPr>
                  <w:tcW w:w="1201" w:type="dxa"/>
                  <w:vAlign w:val="center"/>
                </w:tcPr>
                <w:p>
                  <w:pPr>
                    <w:jc w:val="center"/>
                    <w:rPr>
                      <w:rFonts w:hint="default"/>
                      <w:color w:val="auto"/>
                      <w:sz w:val="21"/>
                      <w:szCs w:val="21"/>
                      <w:lang w:val="en-US" w:eastAsia="zh-CN"/>
                    </w:rPr>
                  </w:pPr>
                  <w:r>
                    <w:rPr>
                      <w:rFonts w:hint="default"/>
                      <w:color w:val="auto"/>
                      <w:sz w:val="21"/>
                      <w:szCs w:val="21"/>
                      <w:lang w:val="en-US" w:eastAsia="zh-CN"/>
                    </w:rPr>
                    <w:t>41.4</w:t>
                  </w:r>
                </w:p>
              </w:tc>
              <w:tc>
                <w:tcPr>
                  <w:tcW w:w="1201" w:type="dxa"/>
                  <w:vAlign w:val="center"/>
                </w:tcPr>
                <w:p>
                  <w:pPr>
                    <w:jc w:val="center"/>
                    <w:rPr>
                      <w:rFonts w:hint="default"/>
                      <w:color w:val="auto"/>
                      <w:sz w:val="21"/>
                      <w:szCs w:val="21"/>
                      <w:lang w:val="en-US" w:eastAsia="zh-CN"/>
                    </w:rPr>
                  </w:pPr>
                  <w:r>
                    <w:rPr>
                      <w:rFonts w:hint="default"/>
                      <w:color w:val="auto"/>
                      <w:sz w:val="21"/>
                      <w:szCs w:val="21"/>
                      <w:lang w:val="en-US" w:eastAsia="zh-CN"/>
                    </w:rPr>
                    <w:t>51.0</w:t>
                  </w:r>
                </w:p>
              </w:tc>
            </w:tr>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Align w:val="center"/>
                </w:tcPr>
                <w:p>
                  <w:pPr>
                    <w:pStyle w:val="132"/>
                    <w:snapToGrid w:val="0"/>
                    <w:jc w:val="center"/>
                    <w:rPr>
                      <w:rFonts w:ascii="Times New Roman" w:hAnsi="Times New Roman"/>
                      <w:color w:val="auto"/>
                      <w:sz w:val="21"/>
                      <w:szCs w:val="21"/>
                    </w:rPr>
                  </w:pPr>
                  <w:r>
                    <w:rPr>
                      <w:rFonts w:hint="eastAsia" w:ascii="Times New Roman" w:hAnsi="Times New Roman"/>
                      <w:color w:val="auto"/>
                      <w:sz w:val="21"/>
                      <w:szCs w:val="21"/>
                    </w:rPr>
                    <w:t>现有项目厂界监测值</w:t>
                  </w:r>
                  <w:r>
                    <w:rPr>
                      <w:rFonts w:ascii="Times New Roman" w:hAnsi="Times New Roman"/>
                      <w:color w:val="auto"/>
                      <w:sz w:val="21"/>
                      <w:szCs w:val="21"/>
                    </w:rPr>
                    <w:t>(昼间)</w:t>
                  </w:r>
                </w:p>
              </w:tc>
              <w:tc>
                <w:tcPr>
                  <w:tcW w:w="1201" w:type="dxa"/>
                  <w:vAlign w:val="center"/>
                </w:tcPr>
                <w:p>
                  <w:pPr>
                    <w:jc w:val="center"/>
                    <w:rPr>
                      <w:rFonts w:hint="default"/>
                      <w:color w:val="auto"/>
                      <w:sz w:val="21"/>
                      <w:szCs w:val="21"/>
                      <w:lang w:val="en-US" w:eastAsia="zh-CN"/>
                    </w:rPr>
                  </w:pPr>
                  <w:r>
                    <w:rPr>
                      <w:rFonts w:hint="eastAsia"/>
                      <w:color w:val="auto"/>
                      <w:sz w:val="21"/>
                      <w:szCs w:val="21"/>
                      <w:lang w:val="en-US" w:eastAsia="zh-CN"/>
                    </w:rPr>
                    <w:t>60.9</w:t>
                  </w:r>
                </w:p>
              </w:tc>
              <w:tc>
                <w:tcPr>
                  <w:tcW w:w="1201" w:type="dxa"/>
                  <w:vAlign w:val="center"/>
                </w:tcPr>
                <w:p>
                  <w:pPr>
                    <w:jc w:val="center"/>
                    <w:rPr>
                      <w:rFonts w:hint="default"/>
                      <w:color w:val="auto"/>
                      <w:sz w:val="21"/>
                      <w:szCs w:val="21"/>
                      <w:lang w:val="en-US" w:eastAsia="zh-CN"/>
                    </w:rPr>
                  </w:pPr>
                  <w:r>
                    <w:rPr>
                      <w:rFonts w:hint="eastAsia"/>
                      <w:color w:val="auto"/>
                      <w:sz w:val="21"/>
                      <w:szCs w:val="21"/>
                      <w:lang w:val="en-US" w:eastAsia="zh-CN"/>
                    </w:rPr>
                    <w:t>62.1</w:t>
                  </w:r>
                </w:p>
              </w:tc>
              <w:tc>
                <w:tcPr>
                  <w:tcW w:w="1201" w:type="dxa"/>
                  <w:vAlign w:val="center"/>
                </w:tcPr>
                <w:p>
                  <w:pPr>
                    <w:jc w:val="center"/>
                    <w:rPr>
                      <w:rFonts w:hint="default"/>
                      <w:color w:val="auto"/>
                      <w:sz w:val="21"/>
                      <w:szCs w:val="21"/>
                      <w:lang w:val="en-US" w:eastAsia="zh-CN"/>
                    </w:rPr>
                  </w:pPr>
                  <w:r>
                    <w:rPr>
                      <w:rFonts w:hint="eastAsia"/>
                      <w:color w:val="auto"/>
                      <w:sz w:val="21"/>
                      <w:szCs w:val="21"/>
                      <w:lang w:val="en-US" w:eastAsia="zh-CN"/>
                    </w:rPr>
                    <w:t>63.8</w:t>
                  </w:r>
                </w:p>
              </w:tc>
              <w:tc>
                <w:tcPr>
                  <w:tcW w:w="1201" w:type="dxa"/>
                  <w:vAlign w:val="center"/>
                </w:tcPr>
                <w:p>
                  <w:pPr>
                    <w:jc w:val="center"/>
                    <w:rPr>
                      <w:rFonts w:hint="default"/>
                      <w:color w:val="auto"/>
                      <w:sz w:val="21"/>
                      <w:szCs w:val="21"/>
                      <w:lang w:val="en-US" w:eastAsia="zh-CN"/>
                    </w:rPr>
                  </w:pPr>
                  <w:r>
                    <w:rPr>
                      <w:rFonts w:hint="eastAsia"/>
                      <w:color w:val="auto"/>
                      <w:sz w:val="21"/>
                      <w:szCs w:val="21"/>
                      <w:lang w:val="en-US" w:eastAsia="zh-CN"/>
                    </w:rPr>
                    <w:t>64.4</w:t>
                  </w:r>
                </w:p>
              </w:tc>
            </w:tr>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Align w:val="center"/>
                </w:tcPr>
                <w:p>
                  <w:pPr>
                    <w:pStyle w:val="132"/>
                    <w:snapToGrid w:val="0"/>
                    <w:jc w:val="center"/>
                    <w:rPr>
                      <w:rFonts w:ascii="Times New Roman" w:hAnsi="Times New Roman"/>
                      <w:color w:val="auto"/>
                      <w:sz w:val="21"/>
                      <w:szCs w:val="21"/>
                    </w:rPr>
                  </w:pPr>
                  <w:r>
                    <w:rPr>
                      <w:rFonts w:ascii="Times New Roman" w:hAnsi="Times New Roman"/>
                      <w:color w:val="auto"/>
                      <w:sz w:val="21"/>
                      <w:szCs w:val="21"/>
                    </w:rPr>
                    <w:t>噪声预测值(昼间)</w:t>
                  </w:r>
                </w:p>
              </w:tc>
              <w:tc>
                <w:tcPr>
                  <w:tcW w:w="1201" w:type="dxa"/>
                  <w:vAlign w:val="center"/>
                </w:tcPr>
                <w:p>
                  <w:pPr>
                    <w:pStyle w:val="132"/>
                    <w:snapToGrid w:val="0"/>
                    <w:jc w:val="center"/>
                    <w:rPr>
                      <w:rFonts w:hint="default" w:ascii="Times New Roman" w:hAnsi="Times New Roman" w:eastAsia="宋体"/>
                      <w:color w:val="auto"/>
                      <w:sz w:val="21"/>
                      <w:szCs w:val="21"/>
                      <w:lang w:val="en-US" w:eastAsia="zh-CN"/>
                    </w:rPr>
                  </w:pPr>
                  <w:r>
                    <w:rPr>
                      <w:rFonts w:hint="eastAsia" w:ascii="Times New Roman" w:hAnsi="Times New Roman"/>
                      <w:color w:val="auto"/>
                      <w:sz w:val="21"/>
                      <w:szCs w:val="21"/>
                      <w:lang w:val="en-US" w:eastAsia="zh-CN"/>
                    </w:rPr>
                    <w:t>61.3</w:t>
                  </w:r>
                </w:p>
              </w:tc>
              <w:tc>
                <w:tcPr>
                  <w:tcW w:w="1201" w:type="dxa"/>
                  <w:vAlign w:val="center"/>
                </w:tcPr>
                <w:p>
                  <w:pPr>
                    <w:pStyle w:val="132"/>
                    <w:snapToGrid w:val="0"/>
                    <w:jc w:val="center"/>
                    <w:rPr>
                      <w:rFonts w:hint="default" w:ascii="Times New Roman" w:hAnsi="Times New Roman" w:eastAsia="宋体"/>
                      <w:color w:val="auto"/>
                      <w:sz w:val="21"/>
                      <w:szCs w:val="21"/>
                      <w:lang w:val="en-US" w:eastAsia="zh-CN"/>
                    </w:rPr>
                  </w:pPr>
                  <w:r>
                    <w:rPr>
                      <w:rFonts w:hint="eastAsia" w:ascii="Times New Roman" w:hAnsi="Times New Roman"/>
                      <w:color w:val="auto"/>
                      <w:sz w:val="21"/>
                      <w:szCs w:val="21"/>
                      <w:lang w:val="en-US" w:eastAsia="zh-CN"/>
                    </w:rPr>
                    <w:t>62.1</w:t>
                  </w:r>
                </w:p>
              </w:tc>
              <w:tc>
                <w:tcPr>
                  <w:tcW w:w="1201" w:type="dxa"/>
                  <w:vAlign w:val="center"/>
                </w:tcPr>
                <w:p>
                  <w:pPr>
                    <w:pStyle w:val="132"/>
                    <w:snapToGrid w:val="0"/>
                    <w:jc w:val="center"/>
                    <w:rPr>
                      <w:rFonts w:hint="default" w:ascii="Times New Roman" w:hAnsi="Times New Roman" w:eastAsia="宋体"/>
                      <w:color w:val="auto"/>
                      <w:sz w:val="21"/>
                      <w:szCs w:val="21"/>
                      <w:lang w:val="en-US" w:eastAsia="zh-CN"/>
                    </w:rPr>
                  </w:pPr>
                  <w:r>
                    <w:rPr>
                      <w:rFonts w:hint="eastAsia" w:ascii="Times New Roman" w:hAnsi="Times New Roman"/>
                      <w:color w:val="auto"/>
                      <w:sz w:val="21"/>
                      <w:szCs w:val="21"/>
                      <w:lang w:val="en-US" w:eastAsia="zh-CN"/>
                    </w:rPr>
                    <w:t>63.8</w:t>
                  </w:r>
                </w:p>
              </w:tc>
              <w:tc>
                <w:tcPr>
                  <w:tcW w:w="1201" w:type="dxa"/>
                  <w:vAlign w:val="center"/>
                </w:tcPr>
                <w:p>
                  <w:pPr>
                    <w:pStyle w:val="132"/>
                    <w:snapToGrid w:val="0"/>
                    <w:jc w:val="center"/>
                    <w:rPr>
                      <w:rFonts w:hint="default" w:ascii="Times New Roman" w:hAnsi="Times New Roman" w:eastAsia="宋体"/>
                      <w:color w:val="auto"/>
                      <w:sz w:val="21"/>
                      <w:szCs w:val="21"/>
                      <w:lang w:val="en-US" w:eastAsia="zh-CN"/>
                    </w:rPr>
                  </w:pPr>
                  <w:r>
                    <w:rPr>
                      <w:rFonts w:hint="eastAsia" w:ascii="Times New Roman" w:hAnsi="Times New Roman"/>
                      <w:color w:val="auto"/>
                      <w:sz w:val="21"/>
                      <w:szCs w:val="21"/>
                      <w:lang w:val="en-US" w:eastAsia="zh-CN"/>
                    </w:rPr>
                    <w:t>64.6</w:t>
                  </w:r>
                </w:p>
              </w:tc>
            </w:tr>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评价标准(昼间)</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65</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hint="eastAsia" w:ascii="Times New Roman" w:hAnsi="Times New Roman"/>
                      <w:color w:val="auto"/>
                      <w:sz w:val="21"/>
                      <w:szCs w:val="21"/>
                    </w:rPr>
                    <w:t>65</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65</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65</w:t>
                  </w:r>
                </w:p>
              </w:tc>
            </w:tr>
            <w:tr>
              <w:tblPrEx>
                <w:tblBorders>
                  <w:top w:val="single" w:color="auto" w:sz="4"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82" w:hRule="atLeast"/>
                <w:jc w:val="center"/>
              </w:trPr>
              <w:tc>
                <w:tcPr>
                  <w:tcW w:w="2849"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超标值(昼间)</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0</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0</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0</w:t>
                  </w:r>
                </w:p>
              </w:tc>
              <w:tc>
                <w:tcPr>
                  <w:tcW w:w="1201" w:type="dxa"/>
                  <w:vAlign w:val="center"/>
                </w:tcPr>
                <w:p>
                  <w:pPr>
                    <w:pStyle w:val="132"/>
                    <w:snapToGrid w:val="0"/>
                    <w:spacing w:line="320" w:lineRule="exact"/>
                    <w:jc w:val="center"/>
                    <w:rPr>
                      <w:rFonts w:ascii="Times New Roman" w:hAnsi="Times New Roman"/>
                      <w:color w:val="auto"/>
                      <w:sz w:val="21"/>
                      <w:szCs w:val="21"/>
                    </w:rPr>
                  </w:pPr>
                  <w:r>
                    <w:rPr>
                      <w:rFonts w:ascii="Times New Roman" w:hAnsi="Times New Roman"/>
                      <w:color w:val="auto"/>
                      <w:sz w:val="21"/>
                      <w:szCs w:val="21"/>
                    </w:rPr>
                    <w:t>0</w:t>
                  </w:r>
                </w:p>
              </w:tc>
            </w:tr>
          </w:tbl>
          <w:p>
            <w:pPr>
              <w:autoSpaceDE w:val="0"/>
              <w:autoSpaceDN w:val="0"/>
              <w:spacing w:line="360" w:lineRule="auto"/>
              <w:ind w:firstLine="480" w:firstLineChars="200"/>
              <w:rPr>
                <w:rFonts w:hint="default" w:ascii="Times New Roman" w:hAnsi="Times New Roman" w:cs="Times New Roman"/>
                <w:color w:val="auto"/>
              </w:rPr>
            </w:pPr>
            <w:r>
              <w:rPr>
                <w:color w:val="auto"/>
              </w:rPr>
              <w:t>由预测结果可知，项目厂界</w:t>
            </w:r>
            <w:r>
              <w:rPr>
                <w:rFonts w:hint="eastAsia"/>
                <w:color w:val="auto"/>
              </w:rPr>
              <w:t>四</w:t>
            </w:r>
            <w:r>
              <w:rPr>
                <w:color w:val="auto"/>
              </w:rPr>
              <w:t>侧昼间</w:t>
            </w:r>
            <w:r>
              <w:rPr>
                <w:rFonts w:hint="eastAsia"/>
                <w:color w:val="auto"/>
              </w:rPr>
              <w:t>预测</w:t>
            </w:r>
            <w:r>
              <w:rPr>
                <w:color w:val="auto"/>
              </w:rPr>
              <w:t>值均能够达到GB12348-2008《工业企业厂界环境噪声排放标准》中的3类标准限值要求。综上所述，该项目实施后不会对周围声环境产生不利影响。</w:t>
            </w:r>
          </w:p>
          <w:p>
            <w:pPr>
              <w:autoSpaceDE w:val="0"/>
              <w:autoSpaceDN w:val="0"/>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3</w:t>
            </w:r>
            <w:r>
              <w:rPr>
                <w:rFonts w:hint="default" w:ascii="Times New Roman" w:hAnsi="Times New Roman" w:cs="Times New Roman"/>
                <w:color w:val="auto"/>
              </w:rPr>
              <w:t>）噪声监测计划</w:t>
            </w:r>
          </w:p>
          <w:p>
            <w:pPr>
              <w:spacing w:line="360" w:lineRule="auto"/>
              <w:ind w:firstLine="480" w:firstLineChars="200"/>
              <w:rPr>
                <w:rFonts w:hint="default" w:ascii="Times New Roman" w:hAnsi="Times New Roman" w:cs="Times New Roman"/>
                <w:color w:val="auto"/>
                <w:szCs w:val="24"/>
              </w:rPr>
            </w:pPr>
            <w:r>
              <w:rPr>
                <w:rFonts w:hint="default" w:ascii="Times New Roman" w:hAnsi="Times New Roman" w:cs="Times New Roman"/>
                <w:color w:val="auto"/>
                <w:szCs w:val="24"/>
              </w:rPr>
              <w:t>根据《排污单位自行监测技术指南 总则》（HJ819-2017）运营期噪声监测计划，详见表4-</w:t>
            </w:r>
            <w:r>
              <w:rPr>
                <w:rFonts w:hint="eastAsia" w:cs="Times New Roman"/>
                <w:color w:val="auto"/>
                <w:szCs w:val="24"/>
                <w:lang w:val="en-US" w:eastAsia="zh-CN"/>
              </w:rPr>
              <w:t>22</w:t>
            </w:r>
            <w:r>
              <w:rPr>
                <w:rFonts w:hint="default" w:ascii="Times New Roman" w:hAnsi="Times New Roman" w:cs="Times New Roman"/>
                <w:color w:val="auto"/>
                <w:szCs w:val="24"/>
              </w:rPr>
              <w:t>。</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22</w:t>
            </w:r>
            <w:r>
              <w:rPr>
                <w:rFonts w:hint="default" w:ascii="Times New Roman" w:hAnsi="Times New Roman" w:cs="Times New Roman"/>
                <w:b/>
                <w:color w:val="auto"/>
              </w:rPr>
              <w:t xml:space="preserve">  运营期噪声监测计划</w:t>
            </w:r>
          </w:p>
          <w:tbl>
            <w:tblPr>
              <w:tblStyle w:val="29"/>
              <w:tblW w:w="7653"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584"/>
              <w:gridCol w:w="1607"/>
              <w:gridCol w:w="1911"/>
              <w:gridCol w:w="2551"/>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1584" w:type="dxa"/>
                  <w:tcBorders>
                    <w:right w:val="single" w:color="auto" w:sz="4" w:space="0"/>
                  </w:tcBorders>
                  <w:vAlign w:val="center"/>
                </w:tcPr>
                <w:p>
                  <w:pPr>
                    <w:pStyle w:val="132"/>
                    <w:adjustRightInd/>
                    <w:snapToGrid w:val="0"/>
                    <w:spacing w:line="320" w:lineRule="exact"/>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项目</w:t>
                  </w:r>
                </w:p>
              </w:tc>
              <w:tc>
                <w:tcPr>
                  <w:tcW w:w="1607" w:type="dxa"/>
                  <w:tcBorders>
                    <w:left w:val="single" w:color="auto" w:sz="4" w:space="0"/>
                  </w:tcBorders>
                  <w:vAlign w:val="center"/>
                </w:tcPr>
                <w:p>
                  <w:pPr>
                    <w:pStyle w:val="132"/>
                    <w:adjustRightInd/>
                    <w:snapToGrid w:val="0"/>
                    <w:spacing w:line="320" w:lineRule="exact"/>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监测点位</w:t>
                  </w:r>
                </w:p>
              </w:tc>
              <w:tc>
                <w:tcPr>
                  <w:tcW w:w="1911" w:type="dxa"/>
                  <w:vAlign w:val="center"/>
                </w:tcPr>
                <w:p>
                  <w:pPr>
                    <w:pStyle w:val="132"/>
                    <w:adjustRightInd/>
                    <w:snapToGrid w:val="0"/>
                    <w:spacing w:line="320" w:lineRule="exact"/>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监测因子</w:t>
                  </w:r>
                </w:p>
              </w:tc>
              <w:tc>
                <w:tcPr>
                  <w:tcW w:w="2551" w:type="dxa"/>
                  <w:vAlign w:val="center"/>
                </w:tcPr>
                <w:p>
                  <w:pPr>
                    <w:pStyle w:val="132"/>
                    <w:adjustRightInd/>
                    <w:snapToGrid w:val="0"/>
                    <w:spacing w:line="320" w:lineRule="exact"/>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监测频次</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0" w:hRule="atLeast"/>
                <w:jc w:val="center"/>
              </w:trPr>
              <w:tc>
                <w:tcPr>
                  <w:tcW w:w="1584" w:type="dxa"/>
                  <w:tcBorders>
                    <w:right w:val="single" w:color="auto" w:sz="4" w:space="0"/>
                  </w:tcBorders>
                  <w:vAlign w:val="center"/>
                </w:tcPr>
                <w:p>
                  <w:pPr>
                    <w:pStyle w:val="132"/>
                    <w:adjustRightInd/>
                    <w:snapToGrid w:val="0"/>
                    <w:spacing w:line="320" w:lineRule="exact"/>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昼间噪声</w:t>
                  </w:r>
                </w:p>
              </w:tc>
              <w:tc>
                <w:tcPr>
                  <w:tcW w:w="1607" w:type="dxa"/>
                  <w:tcBorders>
                    <w:left w:val="single" w:color="auto" w:sz="4" w:space="0"/>
                  </w:tcBorders>
                  <w:vAlign w:val="center"/>
                </w:tcPr>
                <w:p>
                  <w:pPr>
                    <w:pStyle w:val="132"/>
                    <w:adjustRightInd/>
                    <w:snapToGrid w:val="0"/>
                    <w:spacing w:line="320" w:lineRule="exact"/>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厂界四周</w:t>
                  </w:r>
                </w:p>
              </w:tc>
              <w:tc>
                <w:tcPr>
                  <w:tcW w:w="1911" w:type="dxa"/>
                  <w:vAlign w:val="center"/>
                </w:tcPr>
                <w:p>
                  <w:pPr>
                    <w:pStyle w:val="132"/>
                    <w:adjustRightInd/>
                    <w:snapToGrid w:val="0"/>
                    <w:spacing w:line="320" w:lineRule="exact"/>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等效连续A声级</w:t>
                  </w:r>
                </w:p>
              </w:tc>
              <w:tc>
                <w:tcPr>
                  <w:tcW w:w="2551" w:type="dxa"/>
                  <w:vAlign w:val="center"/>
                </w:tcPr>
                <w:p>
                  <w:pPr>
                    <w:pStyle w:val="132"/>
                    <w:adjustRightInd/>
                    <w:snapToGrid w:val="0"/>
                    <w:spacing w:line="320" w:lineRule="exact"/>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1次/季度</w:t>
                  </w:r>
                </w:p>
              </w:tc>
            </w:tr>
          </w:tbl>
          <w:p>
            <w:pPr>
              <w:tabs>
                <w:tab w:val="left" w:pos="4288"/>
              </w:tabs>
              <w:outlineLvl w:val="2"/>
              <w:rPr>
                <w:rFonts w:hint="default" w:ascii="Times New Roman" w:hAnsi="Times New Roman" w:cs="Times New Roman"/>
                <w:color w:val="FF0000"/>
                <w:szCs w:val="24"/>
              </w:rPr>
            </w:pPr>
          </w:p>
          <w:p>
            <w:pPr>
              <w:spacing w:line="360" w:lineRule="auto"/>
              <w:rPr>
                <w:rFonts w:hint="default" w:ascii="Times New Roman" w:hAnsi="Times New Roman" w:cs="Times New Roman"/>
                <w:b/>
                <w:color w:val="auto"/>
                <w:szCs w:val="24"/>
              </w:rPr>
            </w:pPr>
            <w:r>
              <w:rPr>
                <w:rFonts w:hint="default" w:ascii="Times New Roman" w:hAnsi="Times New Roman" w:cs="Times New Roman"/>
                <w:b/>
                <w:color w:val="auto"/>
                <w:szCs w:val="24"/>
              </w:rPr>
              <w:t>4.2.5地下水、土壤</w:t>
            </w:r>
          </w:p>
          <w:p>
            <w:pPr>
              <w:spacing w:line="360" w:lineRule="auto"/>
              <w:ind w:firstLine="480" w:firstLineChars="200"/>
              <w:rPr>
                <w:rFonts w:hint="default"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（1）影响分析</w:t>
            </w:r>
          </w:p>
          <w:p>
            <w:pPr>
              <w:spacing w:line="360" w:lineRule="auto"/>
              <w:ind w:firstLine="480" w:firstLineChars="200"/>
              <w:rPr>
                <w:rFonts w:hint="default"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本项目生产过程中涉及油漆等化学原料的贮存，</w:t>
            </w:r>
            <w:r>
              <w:rPr>
                <w:rFonts w:hint="eastAsia"/>
                <w:color w:val="auto"/>
              </w:rPr>
              <w:t>漆渣</w:t>
            </w:r>
            <w:r>
              <w:rPr>
                <w:rFonts w:hint="eastAsia"/>
                <w:color w:val="auto"/>
                <w:lang w:eastAsia="zh-CN"/>
              </w:rPr>
              <w:t>、</w:t>
            </w:r>
            <w:r>
              <w:rPr>
                <w:rFonts w:hint="eastAsia"/>
                <w:color w:val="auto"/>
              </w:rPr>
              <w:t>废活性炭</w:t>
            </w:r>
            <w:r>
              <w:rPr>
                <w:rFonts w:hint="eastAsia"/>
                <w:color w:val="auto"/>
                <w:lang w:eastAsia="zh-CN"/>
              </w:rPr>
              <w:t>、</w:t>
            </w:r>
            <w:r>
              <w:rPr>
                <w:rFonts w:hint="eastAsia"/>
                <w:color w:val="auto"/>
                <w:szCs w:val="24"/>
                <w:lang w:val="en-US" w:eastAsia="zh-CN"/>
              </w:rPr>
              <w:t>废过滤棉、水喷淋废液、废油漆</w:t>
            </w:r>
            <w:r>
              <w:rPr>
                <w:color w:val="auto"/>
              </w:rPr>
              <w:t>桶</w:t>
            </w:r>
            <w:r>
              <w:rPr>
                <w:rFonts w:hint="eastAsia"/>
                <w:color w:val="auto"/>
                <w:lang w:eastAsia="zh-CN"/>
              </w:rPr>
              <w:t>、</w:t>
            </w:r>
            <w:r>
              <w:rPr>
                <w:rFonts w:hint="eastAsia"/>
                <w:color w:val="auto"/>
                <w:lang w:val="en-US" w:eastAsia="zh-CN"/>
              </w:rPr>
              <w:t>废毛刷、喷枪清洗废液</w:t>
            </w:r>
            <w:r>
              <w:rPr>
                <w:rFonts w:hint="eastAsia" w:ascii="Times New Roman" w:hAnsi="Times New Roman" w:eastAsia="宋体" w:cs="Times New Roman"/>
                <w:color w:val="auto"/>
                <w:szCs w:val="24"/>
                <w:lang w:val="en-US" w:eastAsia="zh-CN"/>
              </w:rPr>
              <w:t>等危废的贮存，化学原料及</w:t>
            </w:r>
            <w:r>
              <w:rPr>
                <w:rFonts w:hint="default" w:ascii="Times New Roman" w:hAnsi="Times New Roman" w:eastAsia="宋体" w:cs="Times New Roman"/>
                <w:color w:val="auto"/>
                <w:szCs w:val="24"/>
                <w:lang w:val="en-US" w:eastAsia="zh-CN"/>
              </w:rPr>
              <w:t>危险废物</w:t>
            </w:r>
            <w:r>
              <w:rPr>
                <w:rFonts w:hint="eastAsia" w:ascii="Times New Roman" w:hAnsi="Times New Roman" w:eastAsia="宋体" w:cs="Times New Roman"/>
                <w:color w:val="auto"/>
                <w:szCs w:val="24"/>
                <w:lang w:val="en-US" w:eastAsia="zh-CN"/>
              </w:rPr>
              <w:t>泄漏以地面漫流和垂直入渗的形式渗入周边土壤和地下水。</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（2）保护措施与对策</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本项目对土壤和地下水可能产生影响的途径为油漆及</w:t>
            </w:r>
            <w:r>
              <w:rPr>
                <w:rFonts w:hint="eastAsia"/>
                <w:color w:val="auto"/>
                <w:szCs w:val="24"/>
                <w:lang w:val="en-US" w:eastAsia="zh-CN"/>
              </w:rPr>
              <w:t>水喷淋废液、</w:t>
            </w:r>
            <w:r>
              <w:rPr>
                <w:rFonts w:hint="eastAsia"/>
                <w:color w:val="auto"/>
                <w:lang w:val="en-US" w:eastAsia="zh-CN"/>
              </w:rPr>
              <w:t>喷枪清洗废液</w:t>
            </w:r>
            <w:r>
              <w:rPr>
                <w:rFonts w:hint="eastAsia" w:ascii="Times New Roman" w:hAnsi="Times New Roman" w:eastAsia="宋体" w:cs="Times New Roman"/>
                <w:color w:val="auto"/>
                <w:szCs w:val="24"/>
                <w:lang w:val="en-US" w:eastAsia="zh-CN"/>
              </w:rPr>
              <w:t>等液态物料泄漏以地面漫流和垂直入渗的形式渗入周边土壤和地下水，重点防治区域为油漆车间、化学原料仓库及危废仓库。</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要求化学原料仓库及危废仓库在地面硬化的基础上做好防渗措施，并严格按照GB18597-2023《危险废物贮存污染控制标准》中的相关要求对危废仓库进行检查修缮，能有效降低对土壤和地下水的污染影响。</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此外，建设单位在项目营运期还应充分重视起自身环保行为，从源头控制、过程防控和跟踪监测方面进一步加强对土壤和地下水环境的保护措施。</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1）源头控制</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通过加强地面防腐、防渗、防漏措施等手段，选择符合国家标准的专门容器，在液态物料储运和使用过中加强管理，防止液态物料跑、冒、滴、漏；危险废物规范暂存，定期委托有资质的单位处置，确保固废能够得到妥善处置，从源头减少污染物的排放。</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2）分区防控措施</w:t>
            </w:r>
          </w:p>
          <w:p>
            <w:pPr>
              <w:spacing w:line="360" w:lineRule="auto"/>
              <w:ind w:firstLine="480" w:firstLineChars="200"/>
              <w:rPr>
                <w:rFonts w:hint="eastAsia" w:ascii="Times New Roman" w:hAnsi="Times New Roman" w:eastAsia="宋体" w:cs="Times New Roman"/>
                <w:color w:val="auto"/>
                <w:szCs w:val="24"/>
                <w:lang w:val="en-US" w:eastAsia="zh-CN"/>
              </w:rPr>
            </w:pPr>
            <w:r>
              <w:rPr>
                <w:rFonts w:hint="eastAsia" w:ascii="Times New Roman" w:hAnsi="Times New Roman" w:eastAsia="宋体" w:cs="Times New Roman"/>
                <w:color w:val="auto"/>
                <w:szCs w:val="24"/>
                <w:lang w:val="en-US" w:eastAsia="zh-CN"/>
              </w:rPr>
              <w:t>根据本项目场地可能泄漏至地面区域的污染物性质和场地的构筑方式，将本项目场地划分为重点防渗区、一般防渗区、简单防渗区，具体防渗分区及技术要求见表4-23。</w:t>
            </w:r>
          </w:p>
          <w:p>
            <w:pPr>
              <w:pStyle w:val="142"/>
              <w:rPr>
                <w:color w:val="auto"/>
                <w:kern w:val="2"/>
              </w:rPr>
            </w:pPr>
            <w:r>
              <w:rPr>
                <w:rFonts w:hint="eastAsia"/>
                <w:color w:val="auto"/>
                <w:kern w:val="2"/>
              </w:rPr>
              <w:t>表4-</w:t>
            </w:r>
            <w:r>
              <w:rPr>
                <w:rFonts w:hint="eastAsia"/>
                <w:color w:val="auto"/>
                <w:kern w:val="2"/>
                <w:lang w:val="en-US" w:eastAsia="zh-CN"/>
              </w:rPr>
              <w:t>23</w:t>
            </w:r>
            <w:r>
              <w:rPr>
                <w:rFonts w:hint="eastAsia"/>
                <w:color w:val="auto"/>
                <w:kern w:val="2"/>
              </w:rPr>
              <w:t xml:space="preserve">  本项目场地防渗分区及技术要求</w:t>
            </w:r>
          </w:p>
          <w:tbl>
            <w:tblPr>
              <w:tblStyle w:val="29"/>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1"/>
              <w:gridCol w:w="2500"/>
              <w:gridCol w:w="3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251" w:type="dxa"/>
                  <w:vAlign w:val="center"/>
                </w:tcPr>
                <w:p>
                  <w:pPr>
                    <w:pStyle w:val="144"/>
                    <w:adjustRightInd/>
                    <w:snapToGrid/>
                    <w:ind w:left="-72" w:leftChars="-30" w:right="-72" w:rightChars="-30"/>
                    <w:contextualSpacing/>
                    <w:rPr>
                      <w:b/>
                      <w:color w:val="auto"/>
                      <w:kern w:val="2"/>
                      <w:szCs w:val="24"/>
                    </w:rPr>
                  </w:pPr>
                  <w:r>
                    <w:rPr>
                      <w:rFonts w:hint="eastAsia"/>
                      <w:b/>
                      <w:color w:val="auto"/>
                      <w:kern w:val="2"/>
                      <w:szCs w:val="24"/>
                    </w:rPr>
                    <w:t>防渗分区</w:t>
                  </w:r>
                </w:p>
              </w:tc>
              <w:tc>
                <w:tcPr>
                  <w:tcW w:w="2500" w:type="dxa"/>
                  <w:vAlign w:val="center"/>
                </w:tcPr>
                <w:p>
                  <w:pPr>
                    <w:pStyle w:val="144"/>
                    <w:adjustRightInd/>
                    <w:snapToGrid/>
                    <w:ind w:left="-72" w:leftChars="-30" w:right="-72" w:rightChars="-30"/>
                    <w:contextualSpacing/>
                    <w:rPr>
                      <w:b/>
                      <w:color w:val="auto"/>
                      <w:kern w:val="2"/>
                      <w:szCs w:val="24"/>
                    </w:rPr>
                  </w:pPr>
                  <w:r>
                    <w:rPr>
                      <w:rFonts w:hint="eastAsia"/>
                      <w:b/>
                      <w:color w:val="auto"/>
                      <w:kern w:val="2"/>
                      <w:szCs w:val="24"/>
                    </w:rPr>
                    <w:t>区域</w:t>
                  </w:r>
                </w:p>
              </w:tc>
              <w:tc>
                <w:tcPr>
                  <w:tcW w:w="3904" w:type="dxa"/>
                  <w:vAlign w:val="center"/>
                </w:tcPr>
                <w:p>
                  <w:pPr>
                    <w:pStyle w:val="144"/>
                    <w:adjustRightInd/>
                    <w:snapToGrid/>
                    <w:ind w:left="-72" w:leftChars="-30" w:right="-72" w:rightChars="-30"/>
                    <w:contextualSpacing/>
                    <w:rPr>
                      <w:b/>
                      <w:color w:val="auto"/>
                      <w:kern w:val="2"/>
                      <w:szCs w:val="24"/>
                    </w:rPr>
                  </w:pPr>
                  <w:r>
                    <w:rPr>
                      <w:rFonts w:hint="eastAsia"/>
                      <w:b/>
                      <w:color w:val="auto"/>
                      <w:kern w:val="2"/>
                      <w:szCs w:val="24"/>
                    </w:rPr>
                    <w:t>防渗要求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251"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rPr>
                    <w:t>重点防渗区</w:t>
                  </w:r>
                </w:p>
              </w:tc>
              <w:tc>
                <w:tcPr>
                  <w:tcW w:w="2500" w:type="dxa"/>
                  <w:vAlign w:val="center"/>
                </w:tcPr>
                <w:p>
                  <w:pPr>
                    <w:pStyle w:val="144"/>
                    <w:adjustRightInd/>
                    <w:snapToGrid/>
                    <w:ind w:left="-72" w:leftChars="-30" w:right="-72" w:rightChars="-30"/>
                    <w:contextualSpacing/>
                    <w:rPr>
                      <w:rFonts w:hint="default" w:eastAsia="宋体"/>
                      <w:color w:val="auto"/>
                      <w:kern w:val="2"/>
                      <w:szCs w:val="24"/>
                      <w:lang w:val="en-US" w:eastAsia="zh-CN"/>
                    </w:rPr>
                  </w:pPr>
                  <w:r>
                    <w:rPr>
                      <w:rFonts w:hint="eastAsia"/>
                      <w:color w:val="auto"/>
                      <w:kern w:val="2"/>
                      <w:szCs w:val="24"/>
                      <w:lang w:val="en-US" w:eastAsia="zh-CN"/>
                    </w:rPr>
                    <w:t>油漆车间、</w:t>
                  </w:r>
                  <w:r>
                    <w:rPr>
                      <w:rFonts w:hint="eastAsia"/>
                      <w:color w:val="auto"/>
                      <w:kern w:val="2"/>
                      <w:szCs w:val="24"/>
                    </w:rPr>
                    <w:t>危废仓库</w:t>
                  </w:r>
                  <w:r>
                    <w:rPr>
                      <w:rFonts w:hint="eastAsia"/>
                      <w:color w:val="auto"/>
                      <w:kern w:val="2"/>
                      <w:szCs w:val="24"/>
                      <w:lang w:eastAsia="zh-CN"/>
                    </w:rPr>
                    <w:t>、</w:t>
                  </w:r>
                  <w:r>
                    <w:rPr>
                      <w:rFonts w:hint="eastAsia"/>
                      <w:color w:val="auto"/>
                      <w:kern w:val="2"/>
                      <w:szCs w:val="24"/>
                      <w:lang w:val="en-US" w:eastAsia="zh-CN"/>
                    </w:rPr>
                    <w:t>化学原料仓库</w:t>
                  </w:r>
                </w:p>
              </w:tc>
              <w:tc>
                <w:tcPr>
                  <w:tcW w:w="3904"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rPr>
                    <w:t>等效粘土防渗层Mb≥6.0cm，K≤10</w:t>
                  </w:r>
                  <w:r>
                    <w:rPr>
                      <w:rFonts w:hint="eastAsia"/>
                      <w:color w:val="auto"/>
                      <w:kern w:val="2"/>
                      <w:szCs w:val="24"/>
                      <w:vertAlign w:val="superscript"/>
                    </w:rPr>
                    <w:t>-7</w:t>
                  </w:r>
                  <w:r>
                    <w:rPr>
                      <w:rFonts w:hint="eastAsia"/>
                      <w:color w:val="auto"/>
                      <w:kern w:val="2"/>
                      <w:szCs w:val="24"/>
                    </w:rPr>
                    <w:t>cm/s，或参照GB18597、GB/T50934执行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251"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rPr>
                    <w:t>一般防渗区</w:t>
                  </w:r>
                </w:p>
              </w:tc>
              <w:tc>
                <w:tcPr>
                  <w:tcW w:w="2500"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lang w:val="en-US" w:eastAsia="zh-CN"/>
                    </w:rPr>
                    <w:t>其他</w:t>
                  </w:r>
                  <w:r>
                    <w:rPr>
                      <w:rFonts w:hint="eastAsia"/>
                      <w:color w:val="auto"/>
                      <w:kern w:val="2"/>
                    </w:rPr>
                    <w:t>生产车间</w:t>
                  </w:r>
                  <w:r>
                    <w:rPr>
                      <w:rFonts w:hint="eastAsia"/>
                      <w:color w:val="auto"/>
                      <w:kern w:val="2"/>
                      <w:szCs w:val="24"/>
                    </w:rPr>
                    <w:t>、仓库</w:t>
                  </w:r>
                </w:p>
              </w:tc>
              <w:tc>
                <w:tcPr>
                  <w:tcW w:w="3904"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rPr>
                    <w:t>等效粘土防渗层Mb≥1.5cm，K≤10</w:t>
                  </w:r>
                  <w:r>
                    <w:rPr>
                      <w:rFonts w:hint="eastAsia"/>
                      <w:color w:val="auto"/>
                      <w:kern w:val="2"/>
                      <w:szCs w:val="24"/>
                      <w:vertAlign w:val="superscript"/>
                    </w:rPr>
                    <w:t>-7</w:t>
                  </w:r>
                  <w:r>
                    <w:rPr>
                      <w:rFonts w:hint="eastAsia"/>
                      <w:color w:val="auto"/>
                      <w:kern w:val="2"/>
                      <w:szCs w:val="24"/>
                    </w:rPr>
                    <w:t>cm/s，或参照GB/T50934执行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251"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rPr>
                    <w:t>简单防渗区</w:t>
                  </w:r>
                </w:p>
              </w:tc>
              <w:tc>
                <w:tcPr>
                  <w:tcW w:w="2500"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rPr>
                    <w:t>办公区域</w:t>
                  </w:r>
                </w:p>
              </w:tc>
              <w:tc>
                <w:tcPr>
                  <w:tcW w:w="3904" w:type="dxa"/>
                  <w:vAlign w:val="center"/>
                </w:tcPr>
                <w:p>
                  <w:pPr>
                    <w:pStyle w:val="144"/>
                    <w:adjustRightInd/>
                    <w:snapToGrid/>
                    <w:ind w:left="-72" w:leftChars="-30" w:right="-72" w:rightChars="-30"/>
                    <w:contextualSpacing/>
                    <w:rPr>
                      <w:color w:val="auto"/>
                      <w:kern w:val="2"/>
                      <w:szCs w:val="24"/>
                    </w:rPr>
                  </w:pPr>
                  <w:r>
                    <w:rPr>
                      <w:rFonts w:hint="eastAsia"/>
                      <w:color w:val="auto"/>
                      <w:kern w:val="2"/>
                      <w:szCs w:val="24"/>
                    </w:rPr>
                    <w:t>一般地面硬化</w:t>
                  </w:r>
                </w:p>
              </w:tc>
            </w:tr>
          </w:tbl>
          <w:p>
            <w:pPr>
              <w:pStyle w:val="140"/>
              <w:ind w:firstLine="480"/>
              <w:rPr>
                <w:snapToGrid/>
                <w:color w:val="FF0000"/>
                <w:kern w:val="2"/>
              </w:rPr>
            </w:pPr>
          </w:p>
          <w:p>
            <w:pPr>
              <w:pStyle w:val="140"/>
              <w:ind w:firstLine="480"/>
              <w:rPr>
                <w:snapToGrid/>
                <w:color w:val="auto"/>
                <w:kern w:val="2"/>
              </w:rPr>
            </w:pPr>
            <w:r>
              <w:rPr>
                <w:rFonts w:hint="eastAsia"/>
                <w:snapToGrid/>
                <w:color w:val="auto"/>
                <w:kern w:val="2"/>
              </w:rPr>
              <w:t>（3）评价结论</w:t>
            </w:r>
          </w:p>
          <w:p>
            <w:pPr>
              <w:pStyle w:val="140"/>
              <w:ind w:firstLine="480"/>
              <w:rPr>
                <w:snapToGrid/>
                <w:color w:val="auto"/>
                <w:kern w:val="2"/>
              </w:rPr>
            </w:pPr>
            <w:r>
              <w:rPr>
                <w:rFonts w:hint="eastAsia"/>
                <w:snapToGrid/>
                <w:color w:val="auto"/>
                <w:kern w:val="2"/>
              </w:rPr>
              <w:t>本项目</w:t>
            </w:r>
            <w:r>
              <w:rPr>
                <w:rFonts w:hint="eastAsia"/>
                <w:snapToGrid/>
                <w:color w:val="auto"/>
                <w:kern w:val="2"/>
                <w:lang w:val="en-US" w:eastAsia="zh-CN"/>
              </w:rPr>
              <w:t>油漆车间、其他</w:t>
            </w:r>
            <w:r>
              <w:rPr>
                <w:rFonts w:hint="eastAsia"/>
                <w:snapToGrid/>
                <w:color w:val="auto"/>
                <w:kern w:val="2"/>
              </w:rPr>
              <w:t>生产车间、仓库、</w:t>
            </w:r>
            <w:r>
              <w:rPr>
                <w:rFonts w:hint="eastAsia"/>
                <w:snapToGrid/>
                <w:color w:val="auto"/>
                <w:kern w:val="2"/>
                <w:lang w:val="en-US" w:eastAsia="zh-CN"/>
              </w:rPr>
              <w:t>化学原料仓库、</w:t>
            </w:r>
            <w:r>
              <w:rPr>
                <w:rFonts w:hint="eastAsia"/>
                <w:snapToGrid/>
                <w:color w:val="auto"/>
                <w:kern w:val="2"/>
              </w:rPr>
              <w:t>危废仓库均采取有效的防渗措施，能有效降低对土壤和地下水的污染影响。企业加强管理，杜绝非正常工况发生，发生污染情况后应及时对污染地块进行治理。本项目采取分区防渗等措施后，能有效降低对土壤和地下水污染影响。在落实保护措施的前提下，本项目建设对厂区和周边土壤环境以及周边地下水环境影响可接受。</w:t>
            </w:r>
          </w:p>
          <w:p>
            <w:pPr>
              <w:pStyle w:val="8"/>
              <w:spacing w:line="240" w:lineRule="auto"/>
              <w:rPr>
                <w:rFonts w:hint="default" w:ascii="Times New Roman" w:hAnsi="Times New Roman" w:cs="Times New Roman"/>
                <w:color w:val="FF0000"/>
              </w:rPr>
            </w:pPr>
          </w:p>
          <w:p>
            <w:pPr>
              <w:spacing w:line="360" w:lineRule="auto"/>
              <w:rPr>
                <w:rFonts w:hint="default" w:ascii="Times New Roman" w:hAnsi="Times New Roman" w:cs="Times New Roman"/>
                <w:b/>
                <w:color w:val="auto"/>
                <w:szCs w:val="24"/>
              </w:rPr>
            </w:pPr>
            <w:r>
              <w:rPr>
                <w:rFonts w:hint="default" w:ascii="Times New Roman" w:hAnsi="Times New Roman" w:cs="Times New Roman"/>
                <w:b/>
                <w:color w:val="auto"/>
                <w:szCs w:val="24"/>
              </w:rPr>
              <w:t>4.2.6环境风险</w:t>
            </w:r>
          </w:p>
          <w:p>
            <w:pPr>
              <w:pStyle w:val="155"/>
              <w:spacing w:line="360" w:lineRule="auto"/>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根据HJ169-2018《建设项目环境风险评价技术导则》附录B，本项目涉及的风险物质主要为</w:t>
            </w:r>
            <w:r>
              <w:rPr>
                <w:rFonts w:hint="eastAsia" w:eastAsia="宋体" w:cs="Times New Roman"/>
                <w:color w:val="auto"/>
                <w:lang w:val="en-US" w:eastAsia="zh-CN"/>
              </w:rPr>
              <w:t>油漆</w:t>
            </w:r>
            <w:r>
              <w:rPr>
                <w:rFonts w:hint="default" w:ascii="Times New Roman" w:hAnsi="Times New Roman" w:eastAsia="宋体" w:cs="Times New Roman"/>
                <w:color w:val="auto"/>
              </w:rPr>
              <w:t>以及各类危险废物。</w:t>
            </w:r>
          </w:p>
          <w:p>
            <w:pPr>
              <w:pStyle w:val="155"/>
              <w:spacing w:line="360" w:lineRule="auto"/>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根据《建设项目环境风险评价技术导则》(HJ169-2018)，计算Q值。</w:t>
            </w:r>
          </w:p>
          <w:p>
            <w:pPr>
              <w:pStyle w:val="155"/>
              <w:spacing w:line="360" w:lineRule="auto"/>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当只涉及一种物质时，计算该物质的总量与其临界量比值，即为Q；</w:t>
            </w:r>
          </w:p>
          <w:p>
            <w:pPr>
              <w:pStyle w:val="155"/>
              <w:spacing w:line="360" w:lineRule="auto"/>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当存在多种危险物质时，则按下式计算物质总量与其临界量比值（Q）：</w:t>
            </w:r>
          </w:p>
          <w:p>
            <w:pPr>
              <w:pStyle w:val="140"/>
              <w:ind w:firstLine="480"/>
              <w:jc w:val="center"/>
              <w:rPr>
                <w:rFonts w:hint="default" w:ascii="Times New Roman" w:hAnsi="Times New Roman" w:cs="Times New Roman"/>
                <w:snapToGrid/>
                <w:color w:val="auto"/>
                <w:kern w:val="2"/>
              </w:rPr>
            </w:pPr>
            <w:r>
              <w:rPr>
                <w:rFonts w:hint="default" w:ascii="Times New Roman" w:hAnsi="Times New Roman" w:cs="Times New Roman"/>
                <w:snapToGrid/>
                <w:color w:val="auto"/>
                <w:kern w:val="2"/>
              </w:rPr>
              <w:object>
                <v:shape id="_x0000_i1025" o:spt="75" type="#_x0000_t75" style="height:42pt;width:168pt;" o:ole="t" filled="f" o:preferrelative="t" stroked="f" coordsize="21600,21600">
                  <v:path/>
                  <v:fill on="f" focussize="0,0"/>
                  <v:stroke on="f" joinstyle="miter"/>
                  <v:imagedata r:id="rId24" o:title=""/>
                  <o:lock v:ext="edit" aspectratio="t"/>
                  <w10:wrap type="none"/>
                  <w10:anchorlock/>
                </v:shape>
                <o:OLEObject Type="Embed" ProgID="Equation.3" ShapeID="_x0000_i1025" DrawAspect="Content" ObjectID="_1468075725" r:id="rId23">
                  <o:LockedField>false</o:LockedField>
                </o:OLEObject>
              </w:object>
            </w:r>
          </w:p>
          <w:p>
            <w:pPr>
              <w:pStyle w:val="140"/>
              <w:ind w:firstLine="480"/>
              <w:rPr>
                <w:rFonts w:hint="default" w:ascii="Times New Roman" w:hAnsi="Times New Roman" w:cs="Times New Roman"/>
                <w:snapToGrid/>
                <w:color w:val="auto"/>
                <w:kern w:val="2"/>
              </w:rPr>
            </w:pPr>
            <w:r>
              <w:rPr>
                <w:rFonts w:hint="default" w:ascii="Times New Roman" w:hAnsi="Times New Roman" w:cs="Times New Roman"/>
                <w:snapToGrid/>
                <w:color w:val="auto"/>
                <w:kern w:val="2"/>
              </w:rPr>
              <w:t>式中：q</w:t>
            </w:r>
            <w:r>
              <w:rPr>
                <w:rFonts w:hint="default" w:ascii="Times New Roman" w:hAnsi="Times New Roman" w:cs="Times New Roman"/>
                <w:snapToGrid/>
                <w:color w:val="auto"/>
                <w:kern w:val="2"/>
                <w:vertAlign w:val="subscript"/>
              </w:rPr>
              <w:t>1</w:t>
            </w:r>
            <w:r>
              <w:rPr>
                <w:rFonts w:hint="default" w:ascii="Times New Roman" w:hAnsi="Times New Roman" w:cs="Times New Roman"/>
                <w:snapToGrid/>
                <w:color w:val="auto"/>
                <w:kern w:val="2"/>
              </w:rPr>
              <w:t>、q</w:t>
            </w:r>
            <w:r>
              <w:rPr>
                <w:rFonts w:hint="default" w:ascii="Times New Roman" w:hAnsi="Times New Roman" w:cs="Times New Roman"/>
                <w:snapToGrid/>
                <w:color w:val="auto"/>
                <w:kern w:val="2"/>
                <w:vertAlign w:val="subscript"/>
              </w:rPr>
              <w:t>2</w:t>
            </w:r>
            <w:r>
              <w:rPr>
                <w:rFonts w:hint="default" w:ascii="Times New Roman" w:hAnsi="Times New Roman" w:cs="Times New Roman"/>
                <w:snapToGrid/>
                <w:color w:val="auto"/>
                <w:kern w:val="2"/>
              </w:rPr>
              <w:t>……q</w:t>
            </w:r>
            <w:r>
              <w:rPr>
                <w:rFonts w:hint="default" w:ascii="Times New Roman" w:hAnsi="Times New Roman" w:cs="Times New Roman"/>
                <w:snapToGrid/>
                <w:color w:val="auto"/>
                <w:kern w:val="2"/>
                <w:vertAlign w:val="subscript"/>
              </w:rPr>
              <w:t>n</w:t>
            </w:r>
            <w:r>
              <w:rPr>
                <w:rFonts w:hint="default" w:ascii="Times New Roman" w:hAnsi="Times New Roman" w:cs="Times New Roman"/>
                <w:snapToGrid/>
                <w:color w:val="auto"/>
                <w:kern w:val="2"/>
              </w:rPr>
              <w:t>——每种危险物质最大存在量，t；</w:t>
            </w:r>
          </w:p>
          <w:p>
            <w:pPr>
              <w:pStyle w:val="140"/>
              <w:ind w:firstLine="480"/>
              <w:rPr>
                <w:rFonts w:hint="default" w:ascii="Times New Roman" w:hAnsi="Times New Roman" w:cs="Times New Roman"/>
                <w:snapToGrid/>
                <w:color w:val="auto"/>
                <w:kern w:val="2"/>
              </w:rPr>
            </w:pPr>
            <w:r>
              <w:rPr>
                <w:rFonts w:hint="default" w:ascii="Times New Roman" w:hAnsi="Times New Roman" w:cs="Times New Roman"/>
                <w:snapToGrid/>
                <w:color w:val="auto"/>
                <w:kern w:val="2"/>
              </w:rPr>
              <w:t>Q</w:t>
            </w:r>
            <w:r>
              <w:rPr>
                <w:rFonts w:hint="default" w:ascii="Times New Roman" w:hAnsi="Times New Roman" w:cs="Times New Roman"/>
                <w:snapToGrid/>
                <w:color w:val="auto"/>
                <w:kern w:val="2"/>
                <w:vertAlign w:val="subscript"/>
              </w:rPr>
              <w:t>1</w:t>
            </w:r>
            <w:r>
              <w:rPr>
                <w:rFonts w:hint="default" w:ascii="Times New Roman" w:hAnsi="Times New Roman" w:cs="Times New Roman"/>
                <w:snapToGrid/>
                <w:color w:val="auto"/>
                <w:kern w:val="2"/>
              </w:rPr>
              <w:t>、Q</w:t>
            </w:r>
            <w:r>
              <w:rPr>
                <w:rFonts w:hint="default" w:ascii="Times New Roman" w:hAnsi="Times New Roman" w:cs="Times New Roman"/>
                <w:snapToGrid/>
                <w:color w:val="auto"/>
                <w:kern w:val="2"/>
                <w:vertAlign w:val="subscript"/>
              </w:rPr>
              <w:t>2</w:t>
            </w:r>
            <w:r>
              <w:rPr>
                <w:rFonts w:hint="default" w:ascii="Times New Roman" w:hAnsi="Times New Roman" w:cs="Times New Roman"/>
                <w:snapToGrid/>
                <w:color w:val="auto"/>
                <w:kern w:val="2"/>
              </w:rPr>
              <w:t>……Q</w:t>
            </w:r>
            <w:r>
              <w:rPr>
                <w:rFonts w:hint="default" w:ascii="Times New Roman" w:hAnsi="Times New Roman" w:cs="Times New Roman"/>
                <w:snapToGrid/>
                <w:color w:val="auto"/>
                <w:kern w:val="2"/>
                <w:vertAlign w:val="subscript"/>
              </w:rPr>
              <w:t>n</w:t>
            </w:r>
            <w:r>
              <w:rPr>
                <w:rFonts w:hint="default" w:ascii="Times New Roman" w:hAnsi="Times New Roman" w:cs="Times New Roman"/>
                <w:snapToGrid/>
                <w:color w:val="auto"/>
                <w:kern w:val="2"/>
              </w:rPr>
              <w:t>——每种危险物质的临界量，t。计算结果见下表所示。</w:t>
            </w:r>
          </w:p>
          <w:p>
            <w:pPr>
              <w:pStyle w:val="140"/>
              <w:ind w:firstLine="480"/>
              <w:rPr>
                <w:rFonts w:hint="default" w:ascii="Times New Roman" w:hAnsi="Times New Roman" w:cs="Times New Roman"/>
                <w:snapToGrid/>
                <w:color w:val="auto"/>
                <w:kern w:val="2"/>
              </w:rPr>
            </w:pPr>
            <w:r>
              <w:rPr>
                <w:rFonts w:hint="default" w:ascii="Times New Roman" w:hAnsi="Times New Roman" w:cs="Times New Roman"/>
                <w:snapToGrid/>
                <w:color w:val="auto"/>
                <w:kern w:val="2"/>
              </w:rPr>
              <w:t>本项目危险物质为</w:t>
            </w:r>
            <w:r>
              <w:rPr>
                <w:rFonts w:hint="eastAsia" w:cs="Times New Roman"/>
                <w:snapToGrid/>
                <w:color w:val="auto"/>
                <w:kern w:val="2"/>
                <w:lang w:val="en-US" w:eastAsia="zh-CN"/>
              </w:rPr>
              <w:t>油漆</w:t>
            </w:r>
            <w:r>
              <w:rPr>
                <w:rFonts w:hint="default" w:ascii="Times New Roman" w:hAnsi="Times New Roman" w:cs="Times New Roman"/>
                <w:snapToGrid/>
                <w:color w:val="auto"/>
                <w:kern w:val="2"/>
              </w:rPr>
              <w:t>以及各类危险废物。</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24</w:t>
            </w:r>
            <w:r>
              <w:rPr>
                <w:rFonts w:hint="default" w:ascii="Times New Roman" w:hAnsi="Times New Roman" w:cs="Times New Roman"/>
                <w:b/>
                <w:color w:val="auto"/>
              </w:rPr>
              <w:t xml:space="preserve">  危险物质数量与临界量比值（Q）</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8"/>
              <w:gridCol w:w="1726"/>
              <w:gridCol w:w="1064"/>
              <w:gridCol w:w="1753"/>
              <w:gridCol w:w="1385"/>
              <w:gridCol w:w="10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38" w:type="dxa"/>
                  <w:vAlign w:val="center"/>
                </w:tcPr>
                <w:p>
                  <w:pPr>
                    <w:spacing w:line="320" w:lineRule="exact"/>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序号</w:t>
                  </w:r>
                </w:p>
              </w:tc>
              <w:tc>
                <w:tcPr>
                  <w:tcW w:w="1726" w:type="dxa"/>
                  <w:vAlign w:val="center"/>
                </w:tcPr>
                <w:p>
                  <w:pPr>
                    <w:spacing w:line="320" w:lineRule="exact"/>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危险物质名称</w:t>
                  </w:r>
                </w:p>
              </w:tc>
              <w:tc>
                <w:tcPr>
                  <w:tcW w:w="1064" w:type="dxa"/>
                  <w:vAlign w:val="center"/>
                </w:tcPr>
                <w:p>
                  <w:pPr>
                    <w:spacing w:line="320" w:lineRule="exact"/>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CAS号</w:t>
                  </w:r>
                </w:p>
              </w:tc>
              <w:tc>
                <w:tcPr>
                  <w:tcW w:w="1753" w:type="dxa"/>
                  <w:vAlign w:val="center"/>
                </w:tcPr>
                <w:p>
                  <w:pPr>
                    <w:spacing w:line="320" w:lineRule="exact"/>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最大存在总量（t）</w:t>
                  </w:r>
                </w:p>
              </w:tc>
              <w:tc>
                <w:tcPr>
                  <w:tcW w:w="1385" w:type="dxa"/>
                  <w:vAlign w:val="center"/>
                </w:tcPr>
                <w:p>
                  <w:pPr>
                    <w:spacing w:line="320" w:lineRule="exact"/>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临界量（t）</w:t>
                  </w:r>
                </w:p>
              </w:tc>
              <w:tc>
                <w:tcPr>
                  <w:tcW w:w="1087" w:type="dxa"/>
                  <w:vAlign w:val="center"/>
                </w:tcPr>
                <w:p>
                  <w:pPr>
                    <w:spacing w:line="320" w:lineRule="exact"/>
                    <w:jc w:val="center"/>
                    <w:rPr>
                      <w:rFonts w:hint="default" w:ascii="Times New Roman" w:hAnsi="Times New Roman" w:cs="Times New Roman" w:eastAsiaTheme="minorEastAsia"/>
                      <w:b/>
                      <w:bCs/>
                      <w:color w:val="auto"/>
                      <w:sz w:val="21"/>
                      <w:szCs w:val="21"/>
                    </w:rPr>
                  </w:pPr>
                  <w:r>
                    <w:rPr>
                      <w:rFonts w:hint="default" w:ascii="Times New Roman" w:hAnsi="Times New Roman" w:cs="Times New Roman" w:eastAsiaTheme="minorEastAsia"/>
                      <w:b/>
                      <w:bCs/>
                      <w:color w:val="auto"/>
                      <w:sz w:val="21"/>
                      <w:szCs w:val="21"/>
                    </w:rPr>
                    <w:t>Q值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38" w:type="dxa"/>
                  <w:vAlign w:val="center"/>
                </w:tcPr>
                <w:p>
                  <w:pPr>
                    <w:spacing w:line="320" w:lineRule="exact"/>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1</w:t>
                  </w:r>
                </w:p>
              </w:tc>
              <w:tc>
                <w:tcPr>
                  <w:tcW w:w="1726" w:type="dxa"/>
                  <w:vAlign w:val="center"/>
                </w:tcPr>
                <w:p>
                  <w:pPr>
                    <w:spacing w:line="320" w:lineRule="exact"/>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油漆</w:t>
                  </w:r>
                </w:p>
              </w:tc>
              <w:tc>
                <w:tcPr>
                  <w:tcW w:w="1064" w:type="dxa"/>
                  <w:vAlign w:val="center"/>
                </w:tcPr>
                <w:p>
                  <w:pPr>
                    <w:spacing w:line="320" w:lineRule="exact"/>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w:t>
                  </w:r>
                </w:p>
              </w:tc>
              <w:tc>
                <w:tcPr>
                  <w:tcW w:w="1753"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6</w:t>
                  </w:r>
                </w:p>
              </w:tc>
              <w:tc>
                <w:tcPr>
                  <w:tcW w:w="1385" w:type="dxa"/>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r>
                    <w:rPr>
                      <w:rFonts w:hint="eastAsia" w:ascii="Times New Roman" w:hAnsi="Times New Roman" w:eastAsia="宋体" w:cs="Times New Roman"/>
                      <w:color w:val="auto"/>
                      <w:sz w:val="21"/>
                      <w:szCs w:val="21"/>
                      <w:vertAlign w:val="superscript"/>
                      <w:lang w:val="en-US" w:eastAsia="zh-CN"/>
                    </w:rPr>
                    <w:fldChar w:fldCharType="begin"/>
                  </w:r>
                  <w:r>
                    <w:rPr>
                      <w:rFonts w:hint="eastAsia" w:ascii="Times New Roman" w:hAnsi="Times New Roman" w:eastAsia="宋体" w:cs="Times New Roman"/>
                      <w:color w:val="auto"/>
                      <w:sz w:val="21"/>
                      <w:szCs w:val="21"/>
                      <w:vertAlign w:val="superscript"/>
                      <w:lang w:val="en-US" w:eastAsia="zh-CN"/>
                    </w:rPr>
                    <w:instrText xml:space="preserve"> = 1 \* GB3 </w:instrText>
                  </w:r>
                  <w:r>
                    <w:rPr>
                      <w:rFonts w:hint="eastAsia" w:ascii="Times New Roman" w:hAnsi="Times New Roman" w:eastAsia="宋体" w:cs="Times New Roman"/>
                      <w:color w:val="auto"/>
                      <w:sz w:val="21"/>
                      <w:szCs w:val="21"/>
                      <w:vertAlign w:val="superscript"/>
                      <w:lang w:val="en-US" w:eastAsia="zh-CN"/>
                    </w:rPr>
                    <w:fldChar w:fldCharType="separate"/>
                  </w:r>
                  <w:r>
                    <w:rPr>
                      <w:rFonts w:hint="eastAsia" w:ascii="Times New Roman" w:hAnsi="Times New Roman" w:eastAsia="宋体" w:cs="Times New Roman"/>
                      <w:color w:val="auto"/>
                      <w:sz w:val="21"/>
                      <w:szCs w:val="21"/>
                      <w:vertAlign w:val="superscript"/>
                      <w:lang w:val="en-US" w:eastAsia="zh-CN"/>
                    </w:rPr>
                    <w:t>①</w:t>
                  </w:r>
                  <w:r>
                    <w:rPr>
                      <w:rFonts w:hint="eastAsia" w:ascii="Times New Roman" w:hAnsi="Times New Roman" w:eastAsia="宋体" w:cs="Times New Roman"/>
                      <w:color w:val="auto"/>
                      <w:sz w:val="21"/>
                      <w:szCs w:val="21"/>
                      <w:vertAlign w:val="superscript"/>
                      <w:lang w:val="en-US" w:eastAsia="zh-CN"/>
                    </w:rPr>
                    <w:fldChar w:fldCharType="end"/>
                  </w:r>
                </w:p>
              </w:tc>
              <w:tc>
                <w:tcPr>
                  <w:tcW w:w="1087" w:type="dxa"/>
                  <w:vAlign w:val="center"/>
                </w:tcPr>
                <w:p>
                  <w:pPr>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38" w:type="dxa"/>
                  <w:vAlign w:val="center"/>
                </w:tcPr>
                <w:p>
                  <w:pPr>
                    <w:spacing w:line="320" w:lineRule="exact"/>
                    <w:jc w:val="center"/>
                    <w:rPr>
                      <w:rFonts w:hint="default" w:ascii="Times New Roman" w:hAnsi="Times New Roman" w:cs="Times New Roman" w:eastAsiaTheme="minorEastAsia"/>
                      <w:color w:val="auto"/>
                      <w:sz w:val="21"/>
                      <w:szCs w:val="21"/>
                      <w:lang w:eastAsia="zh-CN"/>
                    </w:rPr>
                  </w:pPr>
                  <w:r>
                    <w:rPr>
                      <w:rFonts w:hint="default" w:ascii="Times New Roman" w:hAnsi="Times New Roman" w:cs="Times New Roman" w:eastAsiaTheme="minorEastAsia"/>
                      <w:color w:val="auto"/>
                      <w:sz w:val="21"/>
                      <w:szCs w:val="21"/>
                      <w:lang w:val="en-US" w:eastAsia="zh-CN"/>
                    </w:rPr>
                    <w:t>2</w:t>
                  </w:r>
                </w:p>
              </w:tc>
              <w:tc>
                <w:tcPr>
                  <w:tcW w:w="1726" w:type="dxa"/>
                  <w:vAlign w:val="center"/>
                </w:tcPr>
                <w:p>
                  <w:pPr>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各类危废</w:t>
                  </w:r>
                </w:p>
              </w:tc>
              <w:tc>
                <w:tcPr>
                  <w:tcW w:w="1064" w:type="dxa"/>
                  <w:vAlign w:val="center"/>
                </w:tcPr>
                <w:p>
                  <w:pPr>
                    <w:spacing w:line="320" w:lineRule="exact"/>
                    <w:jc w:val="center"/>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w:t>
                  </w:r>
                </w:p>
              </w:tc>
              <w:tc>
                <w:tcPr>
                  <w:tcW w:w="1753" w:type="dxa"/>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r>
                    <w:rPr>
                      <w:rFonts w:hint="eastAsia" w:cs="Times New Roman"/>
                      <w:color w:val="auto"/>
                      <w:sz w:val="21"/>
                      <w:szCs w:val="21"/>
                      <w:lang w:val="en-US" w:eastAsia="zh-CN"/>
                    </w:rPr>
                    <w:t>1.87</w:t>
                  </w:r>
                </w:p>
              </w:tc>
              <w:tc>
                <w:tcPr>
                  <w:tcW w:w="1385" w:type="dxa"/>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50</w:t>
                  </w:r>
                  <w:r>
                    <w:rPr>
                      <w:rFonts w:hint="default" w:ascii="Times New Roman" w:hAnsi="Times New Roman" w:eastAsia="宋体" w:cs="Times New Roman"/>
                      <w:color w:val="auto"/>
                      <w:sz w:val="21"/>
                      <w:szCs w:val="21"/>
                      <w:vertAlign w:val="superscript"/>
                      <w:lang w:val="en-US" w:eastAsia="zh-CN"/>
                    </w:rPr>
                    <w:t>②</w:t>
                  </w:r>
                </w:p>
              </w:tc>
              <w:tc>
                <w:tcPr>
                  <w:tcW w:w="1087" w:type="dxa"/>
                  <w:vAlign w:val="center"/>
                </w:tcPr>
                <w:p>
                  <w:pPr>
                    <w:spacing w:line="320" w:lineRule="exact"/>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0.4374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566" w:type="dxa"/>
                  <w:gridSpan w:val="5"/>
                  <w:vAlign w:val="center"/>
                </w:tcPr>
                <w:p>
                  <w:pPr>
                    <w:spacing w:line="320" w:lineRule="exact"/>
                    <w:jc w:val="center"/>
                    <w:rPr>
                      <w:rFonts w:hint="default" w:ascii="Times New Roman" w:hAnsi="Times New Roman" w:cs="Times New Roman" w:eastAsiaTheme="minorEastAsia"/>
                      <w:color w:val="auto"/>
                      <w:sz w:val="21"/>
                      <w:szCs w:val="21"/>
                    </w:rPr>
                  </w:pPr>
                  <w:r>
                    <w:rPr>
                      <w:rStyle w:val="78"/>
                      <w:rFonts w:hint="default" w:ascii="Times New Roman" w:hAnsi="Times New Roman" w:cs="Times New Roman" w:eastAsiaTheme="minorEastAsia"/>
                      <w:color w:val="auto"/>
                      <w:sz w:val="21"/>
                      <w:szCs w:val="21"/>
                    </w:rPr>
                    <w:t>项目</w:t>
                  </w:r>
                  <w:r>
                    <w:rPr>
                      <w:rStyle w:val="156"/>
                      <w:rFonts w:hint="default" w:ascii="Times New Roman" w:hAnsi="Times New Roman" w:cs="Times New Roman" w:eastAsiaTheme="minorEastAsia"/>
                      <w:color w:val="auto"/>
                      <w:sz w:val="21"/>
                      <w:szCs w:val="21"/>
                    </w:rPr>
                    <w:t>Q</w:t>
                  </w:r>
                  <w:r>
                    <w:rPr>
                      <w:rStyle w:val="78"/>
                      <w:rFonts w:hint="default" w:ascii="Times New Roman" w:hAnsi="Times New Roman" w:cs="Times New Roman" w:eastAsiaTheme="minorEastAsia"/>
                      <w:color w:val="auto"/>
                      <w:sz w:val="21"/>
                      <w:szCs w:val="21"/>
                    </w:rPr>
                    <w:t>值∑</w:t>
                  </w:r>
                </w:p>
              </w:tc>
              <w:tc>
                <w:tcPr>
                  <w:tcW w:w="1087" w:type="dxa"/>
                  <w:vAlign w:val="center"/>
                </w:tcPr>
                <w:p>
                  <w:pPr>
                    <w:spacing w:line="320" w:lineRule="exact"/>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rPr>
                    <w:t>0.</w:t>
                  </w:r>
                  <w:r>
                    <w:rPr>
                      <w:rFonts w:hint="eastAsia" w:cs="Times New Roman" w:eastAsiaTheme="minorEastAsia"/>
                      <w:color w:val="auto"/>
                      <w:sz w:val="21"/>
                      <w:szCs w:val="21"/>
                      <w:lang w:val="en-US" w:eastAsia="zh-CN"/>
                    </w:rPr>
                    <w:t>4974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7653" w:type="dxa"/>
                  <w:gridSpan w:val="6"/>
                  <w:vAlign w:val="center"/>
                </w:tcPr>
                <w:p>
                  <w:pPr>
                    <w:adjustRightInd w:val="0"/>
                    <w:snapToGrid w:val="0"/>
                    <w:spacing w:line="240" w:lineRule="auto"/>
                    <w:rPr>
                      <w:rFonts w:hint="default" w:ascii="Times New Roman" w:hAnsi="Times New Roman" w:cs="Times New Roman" w:eastAsiaTheme="minorEastAsia"/>
                      <w:color w:val="auto"/>
                      <w:sz w:val="21"/>
                      <w:szCs w:val="21"/>
                    </w:rPr>
                  </w:pPr>
                  <w:r>
                    <w:rPr>
                      <w:rFonts w:hint="default" w:ascii="Times New Roman" w:hAnsi="Times New Roman" w:cs="Times New Roman"/>
                      <w:color w:val="auto"/>
                      <w:sz w:val="21"/>
                      <w:szCs w:val="21"/>
                    </w:rPr>
                    <w:t>注：</w:t>
                  </w:r>
                  <w:r>
                    <w:rPr>
                      <w:rFonts w:hint="default" w:ascii="Times New Roman" w:hAnsi="Times New Roman" w:cs="Times New Roman"/>
                      <w:color w:val="auto"/>
                      <w:sz w:val="21"/>
                      <w:szCs w:val="21"/>
                    </w:rPr>
                    <w:fldChar w:fldCharType="begin"/>
                  </w:r>
                  <w:r>
                    <w:rPr>
                      <w:rFonts w:hint="default" w:ascii="Times New Roman" w:hAnsi="Times New Roman" w:cs="Times New Roman"/>
                      <w:color w:val="auto"/>
                      <w:sz w:val="21"/>
                      <w:szCs w:val="21"/>
                    </w:rPr>
                    <w:instrText xml:space="preserve"> = 1 \* GB3 </w:instrText>
                  </w:r>
                  <w:r>
                    <w:rPr>
                      <w:rFonts w:hint="default" w:ascii="Times New Roman" w:hAnsi="Times New Roman" w:cs="Times New Roman"/>
                      <w:color w:val="auto"/>
                      <w:sz w:val="21"/>
                      <w:szCs w:val="21"/>
                    </w:rPr>
                    <w:fldChar w:fldCharType="separate"/>
                  </w:r>
                  <w:r>
                    <w:rPr>
                      <w:rFonts w:hint="default" w:ascii="Times New Roman" w:hAnsi="Times New Roman" w:cs="Times New Roman"/>
                      <w:color w:val="auto"/>
                      <w:sz w:val="21"/>
                      <w:szCs w:val="21"/>
                    </w:rPr>
                    <w:t>①</w:t>
                  </w:r>
                  <w:r>
                    <w:rPr>
                      <w:rFonts w:hint="default" w:ascii="Times New Roman" w:hAnsi="Times New Roman" w:cs="Times New Roman"/>
                      <w:color w:val="auto"/>
                      <w:sz w:val="21"/>
                      <w:szCs w:val="21"/>
                    </w:rPr>
                    <w:fldChar w:fldCharType="end"/>
                  </w:r>
                  <w:r>
                    <w:rPr>
                      <w:rFonts w:hint="eastAsia"/>
                      <w:color w:val="auto"/>
                      <w:sz w:val="21"/>
                      <w:szCs w:val="21"/>
                    </w:rPr>
                    <w:t>临界量参照《建设项目环境风险评价技术导则》附录表B.2中危害水环境物质（急性毒性类别I）的临界量，取100t。</w:t>
                  </w:r>
                  <w:r>
                    <w:rPr>
                      <w:rFonts w:hint="default" w:eastAsia="宋体" w:cs="Times New Roman"/>
                      <w:color w:val="auto"/>
                      <w:sz w:val="21"/>
                      <w:szCs w:val="21"/>
                      <w:lang w:val="en-US" w:eastAsia="zh-CN"/>
                    </w:rPr>
                    <w:t>②临</w:t>
                  </w:r>
                  <w:r>
                    <w:rPr>
                      <w:rFonts w:hint="default" w:ascii="Times New Roman" w:hAnsi="Times New Roman" w:cs="Times New Roman"/>
                      <w:color w:val="auto"/>
                      <w:sz w:val="21"/>
                      <w:szCs w:val="21"/>
                    </w:rPr>
                    <w:t>界量参照《浙江省企业环境风险评估指南 修订版》（2015年）中危险废物的临界量，取50t。</w:t>
                  </w:r>
                </w:p>
              </w:tc>
            </w:tr>
          </w:tbl>
          <w:p>
            <w:pPr>
              <w:pStyle w:val="155"/>
              <w:spacing w:line="360" w:lineRule="auto"/>
              <w:ind w:firstLine="480"/>
              <w:rPr>
                <w:rFonts w:hint="default" w:ascii="Times New Roman" w:hAnsi="Times New Roman" w:eastAsia="宋体" w:cs="Times New Roman"/>
                <w:color w:val="auto"/>
              </w:rPr>
            </w:pPr>
            <w:r>
              <w:rPr>
                <w:rFonts w:hint="default" w:ascii="Times New Roman" w:hAnsi="Times New Roman" w:eastAsia="宋体" w:cs="Times New Roman"/>
                <w:color w:val="auto"/>
              </w:rPr>
              <w:t>根据上述统计结果可知，Q=0.</w:t>
            </w:r>
            <w:r>
              <w:rPr>
                <w:rFonts w:hint="eastAsia" w:eastAsia="宋体" w:cs="Times New Roman"/>
                <w:color w:val="auto"/>
                <w:lang w:val="en-US" w:eastAsia="zh-CN"/>
              </w:rPr>
              <w:t>4974</w:t>
            </w:r>
            <w:r>
              <w:rPr>
                <w:rFonts w:hint="default" w:ascii="Times New Roman" w:hAnsi="Times New Roman" w:eastAsia="宋体" w:cs="Times New Roman"/>
                <w:color w:val="auto"/>
              </w:rPr>
              <w:t>，Q值小于1，本项目风险物质未超过临界量，环境风险较小，可不展开专项评价。</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25</w:t>
            </w:r>
            <w:r>
              <w:rPr>
                <w:rFonts w:hint="default" w:ascii="Times New Roman" w:hAnsi="Times New Roman" w:cs="Times New Roman"/>
                <w:b/>
                <w:color w:val="auto"/>
              </w:rPr>
              <w:t xml:space="preserve">  本项目环境风险影响途径</w:t>
            </w:r>
          </w:p>
          <w:tbl>
            <w:tblPr>
              <w:tblStyle w:val="29"/>
              <w:tblW w:w="765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2"/>
              <w:gridCol w:w="1306"/>
              <w:gridCol w:w="2126"/>
              <w:gridCol w:w="1792"/>
              <w:gridCol w:w="17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blHeader/>
                <w:jc w:val="center"/>
              </w:trPr>
              <w:tc>
                <w:tcPr>
                  <w:tcW w:w="700" w:type="dxa"/>
                  <w:vAlign w:val="center"/>
                </w:tcPr>
                <w:p>
                  <w:pPr>
                    <w:jc w:val="center"/>
                    <w:rPr>
                      <w:rFonts w:eastAsia="Calibri"/>
                      <w:b/>
                      <w:bCs/>
                      <w:color w:val="auto"/>
                      <w:sz w:val="21"/>
                      <w:szCs w:val="21"/>
                    </w:rPr>
                  </w:pPr>
                  <w:r>
                    <w:rPr>
                      <w:rFonts w:eastAsia="Calibri"/>
                      <w:b/>
                      <w:bCs/>
                      <w:color w:val="auto"/>
                      <w:sz w:val="21"/>
                      <w:szCs w:val="21"/>
                    </w:rPr>
                    <w:t>序号</w:t>
                  </w:r>
                </w:p>
              </w:tc>
              <w:tc>
                <w:tcPr>
                  <w:tcW w:w="1402" w:type="dxa"/>
                  <w:vAlign w:val="center"/>
                </w:tcPr>
                <w:p>
                  <w:pPr>
                    <w:jc w:val="center"/>
                    <w:rPr>
                      <w:rFonts w:eastAsia="Calibri"/>
                      <w:b/>
                      <w:bCs/>
                      <w:color w:val="auto"/>
                      <w:sz w:val="21"/>
                      <w:szCs w:val="21"/>
                    </w:rPr>
                  </w:pPr>
                  <w:r>
                    <w:rPr>
                      <w:rFonts w:eastAsia="Calibri"/>
                      <w:b/>
                      <w:bCs/>
                      <w:color w:val="auto"/>
                      <w:sz w:val="21"/>
                      <w:szCs w:val="21"/>
                    </w:rPr>
                    <w:t>危险单元</w:t>
                  </w:r>
                </w:p>
              </w:tc>
              <w:tc>
                <w:tcPr>
                  <w:tcW w:w="2284" w:type="dxa"/>
                  <w:vAlign w:val="center"/>
                </w:tcPr>
                <w:p>
                  <w:pPr>
                    <w:jc w:val="center"/>
                    <w:rPr>
                      <w:rFonts w:eastAsia="Calibri"/>
                      <w:b/>
                      <w:bCs/>
                      <w:color w:val="auto"/>
                      <w:sz w:val="21"/>
                      <w:szCs w:val="21"/>
                    </w:rPr>
                  </w:pPr>
                  <w:r>
                    <w:rPr>
                      <w:rFonts w:eastAsia="Calibri"/>
                      <w:b/>
                      <w:bCs/>
                      <w:color w:val="auto"/>
                      <w:sz w:val="21"/>
                      <w:szCs w:val="21"/>
                    </w:rPr>
                    <w:t>风险源</w:t>
                  </w:r>
                </w:p>
              </w:tc>
              <w:tc>
                <w:tcPr>
                  <w:tcW w:w="1925" w:type="dxa"/>
                  <w:vAlign w:val="center"/>
                </w:tcPr>
                <w:p>
                  <w:pPr>
                    <w:jc w:val="center"/>
                    <w:rPr>
                      <w:rFonts w:eastAsia="Calibri"/>
                      <w:b/>
                      <w:bCs/>
                      <w:color w:val="auto"/>
                      <w:sz w:val="21"/>
                      <w:szCs w:val="21"/>
                    </w:rPr>
                  </w:pPr>
                  <w:r>
                    <w:rPr>
                      <w:rFonts w:eastAsia="Calibri"/>
                      <w:b/>
                      <w:bCs/>
                      <w:color w:val="auto"/>
                      <w:sz w:val="21"/>
                      <w:szCs w:val="21"/>
                    </w:rPr>
                    <w:t>环境风险类型</w:t>
                  </w:r>
                </w:p>
              </w:tc>
              <w:tc>
                <w:tcPr>
                  <w:tcW w:w="1909" w:type="dxa"/>
                  <w:vAlign w:val="center"/>
                </w:tcPr>
                <w:p>
                  <w:pPr>
                    <w:jc w:val="center"/>
                    <w:rPr>
                      <w:rFonts w:eastAsia="Calibri"/>
                      <w:b/>
                      <w:bCs/>
                      <w:color w:val="auto"/>
                      <w:sz w:val="21"/>
                      <w:szCs w:val="21"/>
                    </w:rPr>
                  </w:pPr>
                  <w:r>
                    <w:rPr>
                      <w:rFonts w:eastAsia="Calibri"/>
                      <w:b/>
                      <w:bCs/>
                      <w:color w:val="auto"/>
                      <w:sz w:val="21"/>
                      <w:szCs w:val="21"/>
                    </w:rPr>
                    <w:t>环境影响途径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700" w:type="dxa"/>
                  <w:vAlign w:val="center"/>
                </w:tcPr>
                <w:p>
                  <w:pPr>
                    <w:jc w:val="center"/>
                    <w:rPr>
                      <w:color w:val="auto"/>
                      <w:sz w:val="21"/>
                      <w:szCs w:val="21"/>
                    </w:rPr>
                  </w:pPr>
                  <w:r>
                    <w:rPr>
                      <w:rFonts w:eastAsia="Calibri"/>
                      <w:color w:val="auto"/>
                      <w:sz w:val="21"/>
                      <w:szCs w:val="21"/>
                    </w:rPr>
                    <w:t>1</w:t>
                  </w:r>
                </w:p>
              </w:tc>
              <w:tc>
                <w:tcPr>
                  <w:tcW w:w="1402" w:type="dxa"/>
                  <w:vAlign w:val="center"/>
                </w:tcPr>
                <w:p>
                  <w:pPr>
                    <w:jc w:val="center"/>
                    <w:rPr>
                      <w:rFonts w:eastAsia="Calibri"/>
                      <w:color w:val="auto"/>
                      <w:sz w:val="21"/>
                      <w:szCs w:val="21"/>
                    </w:rPr>
                  </w:pPr>
                  <w:r>
                    <w:rPr>
                      <w:rFonts w:eastAsia="Calibri"/>
                      <w:color w:val="auto"/>
                      <w:sz w:val="21"/>
                      <w:szCs w:val="21"/>
                    </w:rPr>
                    <w:t>原料存放区</w:t>
                  </w:r>
                </w:p>
              </w:tc>
              <w:tc>
                <w:tcPr>
                  <w:tcW w:w="2284" w:type="dxa"/>
                  <w:vAlign w:val="center"/>
                </w:tcPr>
                <w:p>
                  <w:pPr>
                    <w:jc w:val="center"/>
                    <w:rPr>
                      <w:rFonts w:eastAsia="Calibri"/>
                      <w:color w:val="auto"/>
                      <w:sz w:val="21"/>
                      <w:szCs w:val="21"/>
                    </w:rPr>
                  </w:pPr>
                  <w:r>
                    <w:rPr>
                      <w:rFonts w:hint="eastAsia" w:eastAsia="宋体"/>
                      <w:color w:val="auto"/>
                      <w:sz w:val="21"/>
                      <w:szCs w:val="21"/>
                      <w:lang w:val="en-US" w:eastAsia="zh-CN"/>
                    </w:rPr>
                    <w:t>油漆</w:t>
                  </w:r>
                </w:p>
              </w:tc>
              <w:tc>
                <w:tcPr>
                  <w:tcW w:w="1925" w:type="dxa"/>
                  <w:vAlign w:val="center"/>
                </w:tcPr>
                <w:p>
                  <w:pPr>
                    <w:jc w:val="center"/>
                    <w:rPr>
                      <w:rFonts w:eastAsia="Calibri"/>
                      <w:color w:val="auto"/>
                      <w:sz w:val="21"/>
                      <w:szCs w:val="21"/>
                    </w:rPr>
                  </w:pPr>
                  <w:r>
                    <w:rPr>
                      <w:rFonts w:eastAsia="Calibri"/>
                      <w:color w:val="auto"/>
                      <w:sz w:val="21"/>
                      <w:szCs w:val="21"/>
                    </w:rPr>
                    <w:t>泄漏、火灾</w:t>
                  </w:r>
                </w:p>
              </w:tc>
              <w:tc>
                <w:tcPr>
                  <w:tcW w:w="1909" w:type="dxa"/>
                  <w:vAlign w:val="center"/>
                </w:tcPr>
                <w:p>
                  <w:pPr>
                    <w:jc w:val="center"/>
                    <w:rPr>
                      <w:rFonts w:eastAsia="Calibri"/>
                      <w:color w:val="auto"/>
                      <w:sz w:val="21"/>
                      <w:szCs w:val="21"/>
                    </w:rPr>
                  </w:pPr>
                  <w:r>
                    <w:rPr>
                      <w:rFonts w:eastAsia="Calibri"/>
                      <w:color w:val="auto"/>
                      <w:sz w:val="21"/>
                      <w:szCs w:val="21"/>
                    </w:rPr>
                    <w:t>大气、水体、土壤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700" w:type="dxa"/>
                  <w:vAlign w:val="center"/>
                </w:tcPr>
                <w:p>
                  <w:pPr>
                    <w:jc w:val="center"/>
                    <w:rPr>
                      <w:color w:val="auto"/>
                      <w:sz w:val="21"/>
                      <w:szCs w:val="21"/>
                    </w:rPr>
                  </w:pPr>
                  <w:r>
                    <w:rPr>
                      <w:rFonts w:eastAsia="Calibri"/>
                      <w:color w:val="auto"/>
                      <w:sz w:val="21"/>
                      <w:szCs w:val="21"/>
                    </w:rPr>
                    <w:t>2</w:t>
                  </w:r>
                </w:p>
              </w:tc>
              <w:tc>
                <w:tcPr>
                  <w:tcW w:w="1402" w:type="dxa"/>
                  <w:vAlign w:val="center"/>
                </w:tcPr>
                <w:p>
                  <w:pPr>
                    <w:jc w:val="center"/>
                    <w:rPr>
                      <w:color w:val="auto"/>
                      <w:sz w:val="21"/>
                      <w:szCs w:val="21"/>
                    </w:rPr>
                  </w:pPr>
                  <w:r>
                    <w:rPr>
                      <w:rFonts w:eastAsia="Calibri"/>
                      <w:color w:val="auto"/>
                      <w:sz w:val="21"/>
                      <w:szCs w:val="21"/>
                    </w:rPr>
                    <w:t>危废仓库</w:t>
                  </w:r>
                </w:p>
              </w:tc>
              <w:tc>
                <w:tcPr>
                  <w:tcW w:w="2284" w:type="dxa"/>
                  <w:vAlign w:val="center"/>
                </w:tcPr>
                <w:p>
                  <w:pPr>
                    <w:jc w:val="center"/>
                    <w:rPr>
                      <w:color w:val="auto"/>
                      <w:sz w:val="21"/>
                      <w:szCs w:val="21"/>
                    </w:rPr>
                  </w:pPr>
                  <w:r>
                    <w:rPr>
                      <w:rFonts w:eastAsia="Calibri"/>
                      <w:color w:val="auto"/>
                      <w:sz w:val="21"/>
                      <w:szCs w:val="21"/>
                    </w:rPr>
                    <w:t>危险废物</w:t>
                  </w:r>
                </w:p>
              </w:tc>
              <w:tc>
                <w:tcPr>
                  <w:tcW w:w="1925" w:type="dxa"/>
                  <w:vAlign w:val="center"/>
                </w:tcPr>
                <w:p>
                  <w:pPr>
                    <w:jc w:val="center"/>
                    <w:rPr>
                      <w:rFonts w:eastAsia="Calibri"/>
                      <w:color w:val="auto"/>
                      <w:sz w:val="21"/>
                      <w:szCs w:val="21"/>
                    </w:rPr>
                  </w:pPr>
                  <w:r>
                    <w:rPr>
                      <w:rFonts w:eastAsia="Calibri"/>
                      <w:color w:val="auto"/>
                      <w:sz w:val="21"/>
                      <w:szCs w:val="21"/>
                    </w:rPr>
                    <w:t>泄漏、火灾</w:t>
                  </w:r>
                </w:p>
              </w:tc>
              <w:tc>
                <w:tcPr>
                  <w:tcW w:w="1909" w:type="dxa"/>
                  <w:vAlign w:val="center"/>
                </w:tcPr>
                <w:p>
                  <w:pPr>
                    <w:jc w:val="center"/>
                    <w:rPr>
                      <w:rFonts w:eastAsia="Calibri"/>
                      <w:color w:val="auto"/>
                      <w:sz w:val="21"/>
                      <w:szCs w:val="21"/>
                    </w:rPr>
                  </w:pPr>
                  <w:r>
                    <w:rPr>
                      <w:rFonts w:eastAsia="Calibri"/>
                      <w:color w:val="auto"/>
                      <w:sz w:val="21"/>
                      <w:szCs w:val="21"/>
                    </w:rPr>
                    <w:t>大气、水体、土壤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700" w:type="dxa"/>
                  <w:vAlign w:val="center"/>
                </w:tcPr>
                <w:p>
                  <w:pPr>
                    <w:jc w:val="center"/>
                    <w:rPr>
                      <w:color w:val="auto"/>
                      <w:sz w:val="21"/>
                      <w:szCs w:val="21"/>
                    </w:rPr>
                  </w:pPr>
                  <w:r>
                    <w:rPr>
                      <w:rFonts w:eastAsia="Calibri"/>
                      <w:color w:val="auto"/>
                      <w:sz w:val="21"/>
                      <w:szCs w:val="21"/>
                    </w:rPr>
                    <w:t>3</w:t>
                  </w:r>
                </w:p>
              </w:tc>
              <w:tc>
                <w:tcPr>
                  <w:tcW w:w="1402" w:type="dxa"/>
                  <w:vAlign w:val="center"/>
                </w:tcPr>
                <w:p>
                  <w:pPr>
                    <w:jc w:val="center"/>
                    <w:rPr>
                      <w:rFonts w:eastAsia="Calibri"/>
                      <w:color w:val="auto"/>
                      <w:sz w:val="21"/>
                      <w:szCs w:val="21"/>
                    </w:rPr>
                  </w:pPr>
                  <w:r>
                    <w:rPr>
                      <w:rFonts w:eastAsia="Calibri"/>
                      <w:color w:val="auto"/>
                      <w:sz w:val="21"/>
                      <w:szCs w:val="21"/>
                    </w:rPr>
                    <w:t>废气处理设施</w:t>
                  </w:r>
                </w:p>
              </w:tc>
              <w:tc>
                <w:tcPr>
                  <w:tcW w:w="2284" w:type="dxa"/>
                  <w:vAlign w:val="center"/>
                </w:tcPr>
                <w:p>
                  <w:pPr>
                    <w:jc w:val="center"/>
                    <w:rPr>
                      <w:rFonts w:eastAsia="Calibri"/>
                      <w:color w:val="auto"/>
                      <w:sz w:val="21"/>
                      <w:szCs w:val="21"/>
                    </w:rPr>
                  </w:pPr>
                  <w:r>
                    <w:rPr>
                      <w:rFonts w:hint="eastAsia" w:eastAsia="Calibri"/>
                      <w:color w:val="auto"/>
                      <w:sz w:val="21"/>
                      <w:szCs w:val="21"/>
                    </w:rPr>
                    <w:t>挥发性有机物</w:t>
                  </w:r>
                </w:p>
              </w:tc>
              <w:tc>
                <w:tcPr>
                  <w:tcW w:w="1925" w:type="dxa"/>
                  <w:vAlign w:val="center"/>
                </w:tcPr>
                <w:p>
                  <w:pPr>
                    <w:jc w:val="center"/>
                    <w:rPr>
                      <w:rFonts w:eastAsia="Calibri"/>
                      <w:color w:val="auto"/>
                      <w:sz w:val="21"/>
                      <w:szCs w:val="21"/>
                    </w:rPr>
                  </w:pPr>
                  <w:r>
                    <w:rPr>
                      <w:rFonts w:eastAsia="Calibri"/>
                      <w:color w:val="auto"/>
                      <w:sz w:val="21"/>
                      <w:szCs w:val="21"/>
                    </w:rPr>
                    <w:t>非正常运行/停用</w:t>
                  </w:r>
                </w:p>
              </w:tc>
              <w:tc>
                <w:tcPr>
                  <w:tcW w:w="1909" w:type="dxa"/>
                  <w:vAlign w:val="center"/>
                </w:tcPr>
                <w:p>
                  <w:pPr>
                    <w:jc w:val="center"/>
                    <w:rPr>
                      <w:rFonts w:eastAsia="Calibri"/>
                      <w:color w:val="auto"/>
                      <w:sz w:val="21"/>
                      <w:szCs w:val="21"/>
                    </w:rPr>
                  </w:pPr>
                  <w:r>
                    <w:rPr>
                      <w:rFonts w:eastAsia="Calibri"/>
                      <w:color w:val="auto"/>
                      <w:sz w:val="21"/>
                      <w:szCs w:val="21"/>
                    </w:rPr>
                    <w:t>大气</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jc w:val="center"/>
              </w:trPr>
              <w:tc>
                <w:tcPr>
                  <w:tcW w:w="700" w:type="dxa"/>
                  <w:vAlign w:val="center"/>
                </w:tcPr>
                <w:p>
                  <w:pPr>
                    <w:jc w:val="center"/>
                    <w:rPr>
                      <w:color w:val="auto"/>
                      <w:sz w:val="21"/>
                      <w:szCs w:val="21"/>
                    </w:rPr>
                  </w:pPr>
                  <w:r>
                    <w:rPr>
                      <w:rFonts w:hint="eastAsia"/>
                      <w:color w:val="auto"/>
                      <w:sz w:val="21"/>
                      <w:szCs w:val="21"/>
                    </w:rPr>
                    <w:t>4</w:t>
                  </w:r>
                </w:p>
              </w:tc>
              <w:tc>
                <w:tcPr>
                  <w:tcW w:w="1402" w:type="dxa"/>
                  <w:vAlign w:val="center"/>
                </w:tcPr>
                <w:p>
                  <w:pPr>
                    <w:jc w:val="center"/>
                    <w:rPr>
                      <w:color w:val="auto"/>
                      <w:sz w:val="21"/>
                      <w:szCs w:val="21"/>
                    </w:rPr>
                  </w:pPr>
                  <w:r>
                    <w:rPr>
                      <w:rFonts w:hint="eastAsia"/>
                      <w:color w:val="auto"/>
                      <w:sz w:val="21"/>
                      <w:szCs w:val="21"/>
                    </w:rPr>
                    <w:t>环保设施</w:t>
                  </w:r>
                </w:p>
              </w:tc>
              <w:tc>
                <w:tcPr>
                  <w:tcW w:w="2284" w:type="dxa"/>
                  <w:vAlign w:val="center"/>
                </w:tcPr>
                <w:p>
                  <w:pPr>
                    <w:jc w:val="center"/>
                    <w:rPr>
                      <w:rFonts w:eastAsia="Calibri"/>
                      <w:color w:val="auto"/>
                      <w:sz w:val="21"/>
                      <w:szCs w:val="21"/>
                    </w:rPr>
                  </w:pPr>
                  <w:r>
                    <w:rPr>
                      <w:rFonts w:hint="eastAsia" w:eastAsia="Calibri"/>
                      <w:color w:val="auto"/>
                      <w:sz w:val="21"/>
                      <w:szCs w:val="21"/>
                    </w:rPr>
                    <w:t>安全风险</w:t>
                  </w:r>
                </w:p>
              </w:tc>
              <w:tc>
                <w:tcPr>
                  <w:tcW w:w="1925" w:type="dxa"/>
                  <w:vAlign w:val="center"/>
                </w:tcPr>
                <w:p>
                  <w:pPr>
                    <w:jc w:val="center"/>
                    <w:rPr>
                      <w:color w:val="auto"/>
                      <w:sz w:val="21"/>
                      <w:szCs w:val="21"/>
                    </w:rPr>
                  </w:pPr>
                  <w:r>
                    <w:rPr>
                      <w:rFonts w:hint="eastAsia"/>
                      <w:color w:val="auto"/>
                      <w:sz w:val="21"/>
                      <w:szCs w:val="21"/>
                    </w:rPr>
                    <w:t>安全</w:t>
                  </w:r>
                </w:p>
              </w:tc>
              <w:tc>
                <w:tcPr>
                  <w:tcW w:w="1909" w:type="dxa"/>
                  <w:vAlign w:val="center"/>
                </w:tcPr>
                <w:p>
                  <w:pPr>
                    <w:jc w:val="center"/>
                    <w:rPr>
                      <w:color w:val="auto"/>
                      <w:sz w:val="21"/>
                      <w:szCs w:val="21"/>
                    </w:rPr>
                  </w:pPr>
                  <w:r>
                    <w:rPr>
                      <w:rFonts w:hint="eastAsia"/>
                      <w:color w:val="auto"/>
                      <w:sz w:val="21"/>
                      <w:szCs w:val="21"/>
                    </w:rPr>
                    <w:t>人身伤害</w:t>
                  </w:r>
                </w:p>
              </w:tc>
            </w:tr>
          </w:tbl>
          <w:p>
            <w:pPr>
              <w:spacing w:line="240" w:lineRule="auto"/>
              <w:ind w:firstLine="480" w:firstLineChars="200"/>
              <w:rPr>
                <w:rFonts w:hint="default" w:ascii="Times New Roman" w:hAnsi="Times New Roman" w:cs="Times New Roman"/>
                <w:color w:val="auto"/>
              </w:rPr>
            </w:pPr>
          </w:p>
          <w:p>
            <w:pPr>
              <w:spacing w:line="360" w:lineRule="auto"/>
              <w:ind w:firstLine="480" w:firstLineChars="200"/>
              <w:rPr>
                <w:rFonts w:hint="default" w:ascii="Times New Roman" w:hAnsi="Times New Roman" w:eastAsia="黑体" w:cs="Times New Roman"/>
                <w:b/>
                <w:color w:val="auto"/>
              </w:rPr>
            </w:pPr>
            <w:r>
              <w:rPr>
                <w:rFonts w:hint="default" w:ascii="Times New Roman" w:hAnsi="Times New Roman" w:cs="Times New Roman"/>
                <w:color w:val="auto"/>
              </w:rPr>
              <w:t>本项目在此对相应危险单元提出防范措施。</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26</w:t>
            </w:r>
            <w:r>
              <w:rPr>
                <w:rFonts w:hint="default" w:ascii="Times New Roman" w:hAnsi="Times New Roman" w:cs="Times New Roman"/>
                <w:b/>
                <w:color w:val="auto"/>
              </w:rPr>
              <w:t xml:space="preserve">  本项目环境风险防范措施</w:t>
            </w:r>
          </w:p>
          <w:tbl>
            <w:tblPr>
              <w:tblStyle w:val="29"/>
              <w:tblW w:w="7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202"/>
              <w:gridCol w:w="64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1202" w:type="dxa"/>
                  <w:tcBorders>
                    <w:tl2br w:val="nil"/>
                    <w:tr2bl w:val="nil"/>
                  </w:tcBorders>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危险单元</w:t>
                  </w:r>
                </w:p>
              </w:tc>
              <w:tc>
                <w:tcPr>
                  <w:tcW w:w="6451" w:type="dxa"/>
                  <w:tcBorders>
                    <w:tl2br w:val="nil"/>
                    <w:tr2bl w:val="nil"/>
                  </w:tcBorders>
                  <w:vAlign w:val="center"/>
                </w:tcPr>
                <w:p>
                  <w:pPr>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防范措施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1202" w:type="dxa"/>
                  <w:tcBorders>
                    <w:tl2br w:val="nil"/>
                    <w:tr2bl w:val="nil"/>
                  </w:tcBorders>
                  <w:vAlign w:val="center"/>
                </w:tcPr>
                <w:p>
                  <w:pPr>
                    <w:jc w:val="center"/>
                    <w:rPr>
                      <w:rFonts w:hint="default" w:ascii="Times New Roman" w:hAnsi="Times New Roman" w:eastAsia="宋体" w:cs="Times New Roman"/>
                      <w:bCs/>
                      <w:color w:val="auto"/>
                      <w:kern w:val="2"/>
                      <w:sz w:val="21"/>
                      <w:szCs w:val="21"/>
                      <w:lang w:val="en-US" w:eastAsia="zh-CN" w:bidi="ar-SA"/>
                    </w:rPr>
                  </w:pPr>
                  <w:r>
                    <w:rPr>
                      <w:bCs/>
                      <w:color w:val="auto"/>
                      <w:sz w:val="21"/>
                      <w:szCs w:val="21"/>
                    </w:rPr>
                    <w:t>原料存放区</w:t>
                  </w:r>
                </w:p>
              </w:tc>
              <w:tc>
                <w:tcPr>
                  <w:tcW w:w="6451" w:type="dxa"/>
                  <w:tcBorders>
                    <w:tl2br w:val="nil"/>
                    <w:tr2bl w:val="nil"/>
                  </w:tcBorders>
                  <w:vAlign w:val="center"/>
                </w:tcPr>
                <w:p>
                  <w:pPr>
                    <w:adjustRightInd w:val="0"/>
                    <w:snapToGrid w:val="0"/>
                    <w:rPr>
                      <w:b/>
                      <w:bCs/>
                      <w:color w:val="auto"/>
                      <w:sz w:val="21"/>
                      <w:szCs w:val="21"/>
                    </w:rPr>
                  </w:pPr>
                  <w:r>
                    <w:rPr>
                      <w:color w:val="auto"/>
                      <w:sz w:val="21"/>
                      <w:szCs w:val="21"/>
                    </w:rPr>
                    <w:t>①分区暂存，定期检查原料包装；</w:t>
                  </w:r>
                </w:p>
                <w:p>
                  <w:pPr>
                    <w:adjustRightInd w:val="0"/>
                    <w:snapToGrid w:val="0"/>
                    <w:rPr>
                      <w:color w:val="auto"/>
                      <w:sz w:val="21"/>
                      <w:szCs w:val="21"/>
                    </w:rPr>
                  </w:pPr>
                  <w:r>
                    <w:rPr>
                      <w:color w:val="auto"/>
                      <w:sz w:val="21"/>
                      <w:szCs w:val="21"/>
                    </w:rPr>
                    <w:t>②远离火种，排除火灾隐患；</w:t>
                  </w:r>
                </w:p>
                <w:p>
                  <w:pPr>
                    <w:adjustRightInd w:val="0"/>
                    <w:snapToGrid w:val="0"/>
                    <w:rPr>
                      <w:rFonts w:hint="default" w:ascii="Times New Roman" w:hAnsi="Times New Roman" w:eastAsia="宋体" w:cs="Times New Roman"/>
                      <w:b/>
                      <w:color w:val="auto"/>
                      <w:kern w:val="2"/>
                      <w:sz w:val="21"/>
                      <w:szCs w:val="21"/>
                      <w:lang w:val="en-US" w:eastAsia="zh-CN" w:bidi="ar-SA"/>
                    </w:rPr>
                  </w:pPr>
                  <w:r>
                    <w:rPr>
                      <w:color w:val="auto"/>
                      <w:sz w:val="21"/>
                      <w:szCs w:val="21"/>
                    </w:rPr>
                    <w:t>③预留空置包装，以保证泄漏物料可及时存放。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1202" w:type="dxa"/>
                  <w:tcBorders>
                    <w:tl2br w:val="nil"/>
                    <w:tr2bl w:val="nil"/>
                  </w:tcBorders>
                  <w:vAlign w:val="center"/>
                </w:tcPr>
                <w:p>
                  <w:pPr>
                    <w:jc w:val="center"/>
                    <w:rPr>
                      <w:rFonts w:hint="default" w:ascii="Times New Roman" w:hAnsi="Times New Roman" w:eastAsia="宋体" w:cs="Times New Roman"/>
                      <w:bCs/>
                      <w:color w:val="auto"/>
                      <w:kern w:val="2"/>
                      <w:sz w:val="21"/>
                      <w:szCs w:val="21"/>
                      <w:lang w:val="en-US" w:eastAsia="zh-CN" w:bidi="ar-SA"/>
                    </w:rPr>
                  </w:pPr>
                  <w:r>
                    <w:rPr>
                      <w:bCs/>
                      <w:color w:val="auto"/>
                      <w:sz w:val="21"/>
                      <w:szCs w:val="21"/>
                    </w:rPr>
                    <w:t>废气处理设施</w:t>
                  </w:r>
                </w:p>
              </w:tc>
              <w:tc>
                <w:tcPr>
                  <w:tcW w:w="6451" w:type="dxa"/>
                  <w:tcBorders>
                    <w:tl2br w:val="nil"/>
                    <w:tr2bl w:val="nil"/>
                  </w:tcBorders>
                  <w:vAlign w:val="center"/>
                </w:tcPr>
                <w:p>
                  <w:pPr>
                    <w:adjustRightInd w:val="0"/>
                    <w:snapToGrid w:val="0"/>
                    <w:rPr>
                      <w:color w:val="auto"/>
                      <w:sz w:val="21"/>
                      <w:szCs w:val="21"/>
                    </w:rPr>
                  </w:pPr>
                  <w:r>
                    <w:rPr>
                      <w:color w:val="auto"/>
                      <w:sz w:val="21"/>
                      <w:szCs w:val="21"/>
                    </w:rPr>
                    <w:t>①建立环保责任制度，落实到人、明确职责；</w:t>
                  </w:r>
                </w:p>
                <w:p>
                  <w:pPr>
                    <w:adjustRightInd w:val="0"/>
                    <w:snapToGrid w:val="0"/>
                    <w:rPr>
                      <w:color w:val="auto"/>
                      <w:sz w:val="21"/>
                      <w:szCs w:val="21"/>
                    </w:rPr>
                  </w:pPr>
                  <w:r>
                    <w:rPr>
                      <w:color w:val="auto"/>
                      <w:sz w:val="21"/>
                      <w:szCs w:val="21"/>
                    </w:rPr>
                    <w:t>②责任人每天巡回检查，及时发现缺陷，及时上报、尽早处理；</w:t>
                  </w:r>
                </w:p>
                <w:p>
                  <w:pPr>
                    <w:adjustRightInd w:val="0"/>
                    <w:snapToGrid w:val="0"/>
                    <w:rPr>
                      <w:color w:val="auto"/>
                      <w:sz w:val="21"/>
                      <w:szCs w:val="21"/>
                    </w:rPr>
                  </w:pPr>
                  <w:r>
                    <w:rPr>
                      <w:color w:val="auto"/>
                      <w:sz w:val="21"/>
                      <w:szCs w:val="21"/>
                    </w:rPr>
                    <w:t>③检修岗位设立设备检修维护台账，为检修提供依据；</w:t>
                  </w:r>
                </w:p>
                <w:p>
                  <w:pPr>
                    <w:adjustRightInd w:val="0"/>
                    <w:snapToGrid w:val="0"/>
                    <w:rPr>
                      <w:rFonts w:hint="default" w:ascii="Times New Roman" w:hAnsi="Times New Roman" w:eastAsia="宋体" w:cs="Times New Roman"/>
                      <w:b/>
                      <w:color w:val="auto"/>
                      <w:kern w:val="2"/>
                      <w:sz w:val="21"/>
                      <w:szCs w:val="21"/>
                      <w:lang w:val="en-US" w:eastAsia="zh-CN" w:bidi="ar-SA"/>
                    </w:rPr>
                  </w:pPr>
                  <w:r>
                    <w:rPr>
                      <w:color w:val="auto"/>
                      <w:sz w:val="21"/>
                      <w:szCs w:val="21"/>
                    </w:rPr>
                    <w:t>④值班人员发现故障时，及时分析原因，进行必要的操作与调整，如无法及时消除，应立即向上级汇报</w:t>
                  </w:r>
                  <w:r>
                    <w:rPr>
                      <w:rFonts w:hint="eastAsia"/>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0" w:type="auto"/>
                  <w:vAlign w:val="center"/>
                </w:tcPr>
                <w:p>
                  <w:pPr>
                    <w:jc w:val="center"/>
                    <w:rPr>
                      <w:rFonts w:hint="default" w:ascii="Times New Roman" w:hAnsi="Times New Roman" w:eastAsia="宋体" w:cs="Times New Roman"/>
                      <w:bCs/>
                      <w:color w:val="auto"/>
                      <w:kern w:val="2"/>
                      <w:sz w:val="21"/>
                      <w:szCs w:val="21"/>
                      <w:lang w:val="en-US" w:eastAsia="zh-CN" w:bidi="ar-SA"/>
                    </w:rPr>
                  </w:pPr>
                  <w:r>
                    <w:rPr>
                      <w:bCs/>
                      <w:color w:val="auto"/>
                      <w:sz w:val="21"/>
                      <w:szCs w:val="21"/>
                    </w:rPr>
                    <w:t>危废仓库</w:t>
                  </w:r>
                </w:p>
              </w:tc>
              <w:tc>
                <w:tcPr>
                  <w:tcW w:w="0" w:type="auto"/>
                  <w:vAlign w:val="center"/>
                </w:tcPr>
                <w:p>
                  <w:pPr>
                    <w:adjustRightInd w:val="0"/>
                    <w:snapToGrid w:val="0"/>
                    <w:rPr>
                      <w:color w:val="auto"/>
                      <w:sz w:val="21"/>
                      <w:szCs w:val="21"/>
                    </w:rPr>
                  </w:pPr>
                  <w:r>
                    <w:rPr>
                      <w:color w:val="auto"/>
                      <w:sz w:val="21"/>
                      <w:szCs w:val="21"/>
                    </w:rPr>
                    <w:t>①危废贮存应满足《危险废物贮存污染控制标准》（GB18597-20</w:t>
                  </w:r>
                  <w:r>
                    <w:rPr>
                      <w:rFonts w:hint="eastAsia"/>
                      <w:color w:val="auto"/>
                      <w:sz w:val="21"/>
                      <w:szCs w:val="21"/>
                      <w:lang w:val="en-US" w:eastAsia="zh-CN"/>
                    </w:rPr>
                    <w:t>23</w:t>
                  </w:r>
                  <w:r>
                    <w:rPr>
                      <w:color w:val="auto"/>
                      <w:sz w:val="21"/>
                      <w:szCs w:val="21"/>
                    </w:rPr>
                    <w:t>）的要求；</w:t>
                  </w:r>
                </w:p>
                <w:p>
                  <w:pPr>
                    <w:adjustRightInd w:val="0"/>
                    <w:snapToGrid w:val="0"/>
                    <w:rPr>
                      <w:color w:val="auto"/>
                      <w:sz w:val="21"/>
                      <w:szCs w:val="21"/>
                    </w:rPr>
                  </w:pPr>
                  <w:r>
                    <w:rPr>
                      <w:color w:val="auto"/>
                      <w:sz w:val="21"/>
                      <w:szCs w:val="21"/>
                    </w:rPr>
                    <w:t>②贮存点必须防雨和远离其他水源，尽可能远离热源；贮存点必须有地面隔离层，塑料或其他耐腐蚀材料，并设置堵截泄漏的裙脚，以便截留任何泄露，便于收集后转入容器中；</w:t>
                  </w:r>
                </w:p>
                <w:p>
                  <w:pPr>
                    <w:adjustRightInd w:val="0"/>
                    <w:snapToGrid w:val="0"/>
                    <w:rPr>
                      <w:color w:val="auto"/>
                      <w:sz w:val="21"/>
                      <w:szCs w:val="21"/>
                    </w:rPr>
                  </w:pPr>
                  <w:r>
                    <w:rPr>
                      <w:color w:val="auto"/>
                      <w:sz w:val="21"/>
                      <w:szCs w:val="21"/>
                    </w:rPr>
                    <w:t>③贮存点必须加强管理，限制人员进入。若在贮存或装卸过程发生泄漏，则应及时收集并贮存在容器中，定期委托有资质的单位进行处理；</w:t>
                  </w:r>
                </w:p>
                <w:p>
                  <w:pPr>
                    <w:rPr>
                      <w:rFonts w:hint="default" w:ascii="Times New Roman" w:hAnsi="Times New Roman" w:eastAsia="宋体" w:cs="Times New Roman"/>
                      <w:b/>
                      <w:color w:val="auto"/>
                      <w:kern w:val="2"/>
                      <w:sz w:val="21"/>
                      <w:szCs w:val="21"/>
                      <w:lang w:val="en-US" w:eastAsia="zh-CN" w:bidi="ar-SA"/>
                    </w:rPr>
                  </w:pPr>
                  <w:r>
                    <w:rPr>
                      <w:color w:val="auto"/>
                      <w:sz w:val="21"/>
                      <w:szCs w:val="21"/>
                    </w:rPr>
                    <w:t>④危险废物出入暂存库必须检查验收登记，贮存期间定期巡查。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54" w:hRule="atLeast"/>
                <w:jc w:val="center"/>
              </w:trPr>
              <w:tc>
                <w:tcPr>
                  <w:tcW w:w="0" w:type="auto"/>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 w:val="21"/>
                      <w:szCs w:val="21"/>
                    </w:rPr>
                    <w:t>环保设施</w:t>
                  </w:r>
                </w:p>
              </w:tc>
              <w:tc>
                <w:tcPr>
                  <w:tcW w:w="0" w:type="auto"/>
                  <w:vAlign w:val="center"/>
                </w:tcPr>
                <w:p>
                  <w:pPr>
                    <w:rPr>
                      <w:color w:val="auto"/>
                      <w:sz w:val="21"/>
                      <w:szCs w:val="21"/>
                    </w:rPr>
                  </w:pPr>
                  <w:r>
                    <w:rPr>
                      <w:rFonts w:hint="eastAsia"/>
                      <w:color w:val="auto"/>
                      <w:sz w:val="21"/>
                      <w:szCs w:val="21"/>
                    </w:rPr>
                    <w:t>①加强环保设施源头管理，新、改、扩建重点环保设施应纳入建设项目管理，充分考虑安全风险，确保风险可控后方可施工和投入生产、使用；</w:t>
                  </w:r>
                </w:p>
                <w:p>
                  <w:pPr>
                    <w:rPr>
                      <w:color w:val="auto"/>
                      <w:sz w:val="21"/>
                      <w:szCs w:val="21"/>
                    </w:rPr>
                  </w:pPr>
                  <w:r>
                    <w:rPr>
                      <w:rFonts w:hint="eastAsia"/>
                      <w:color w:val="auto"/>
                      <w:sz w:val="21"/>
                      <w:szCs w:val="21"/>
                    </w:rPr>
                    <w:t>②有效落实各方安全管理责任，严格落实企业主体责任；严格落实部门监管责任；发挥中介机构专业技术支撑；</w:t>
                  </w:r>
                </w:p>
                <w:p>
                  <w:pPr>
                    <w:rPr>
                      <w:rFonts w:hint="default" w:ascii="Times New Roman" w:hAnsi="Times New Roman" w:eastAsia="宋体" w:cs="Times New Roman"/>
                      <w:color w:val="auto"/>
                      <w:kern w:val="2"/>
                      <w:sz w:val="21"/>
                      <w:szCs w:val="21"/>
                      <w:lang w:val="en-US" w:eastAsia="zh-CN" w:bidi="ar-SA"/>
                    </w:rPr>
                  </w:pPr>
                  <w:r>
                    <w:rPr>
                      <w:rFonts w:hint="eastAsia"/>
                      <w:color w:val="auto"/>
                      <w:sz w:val="21"/>
                      <w:szCs w:val="21"/>
                    </w:rPr>
                    <w:t>③建立环保安全联动机制，建立部门数据共享机制；建立项目审批联动机制；建立联动排查治理机制；建立违法行为联合执法和惩戒机制；完善部门联动长效机制。</w:t>
                  </w:r>
                </w:p>
              </w:tc>
            </w:tr>
          </w:tbl>
          <w:p>
            <w:pPr>
              <w:pStyle w:val="140"/>
              <w:spacing w:line="240" w:lineRule="auto"/>
              <w:ind w:firstLine="480"/>
              <w:rPr>
                <w:rFonts w:hint="default" w:ascii="Times New Roman" w:hAnsi="Times New Roman" w:cs="Times New Roman"/>
                <w:snapToGrid/>
                <w:color w:val="FF0000"/>
                <w:kern w:val="2"/>
              </w:rPr>
            </w:pPr>
          </w:p>
          <w:p>
            <w:pPr>
              <w:pStyle w:val="140"/>
              <w:ind w:firstLine="480"/>
              <w:rPr>
                <w:rFonts w:hint="default" w:ascii="Times New Roman" w:hAnsi="Times New Roman" w:cs="Times New Roman"/>
                <w:snapToGrid/>
                <w:color w:val="auto"/>
                <w:kern w:val="2"/>
              </w:rPr>
            </w:pPr>
            <w:r>
              <w:rPr>
                <w:rFonts w:hint="default" w:ascii="Times New Roman" w:hAnsi="Times New Roman" w:cs="Times New Roman"/>
                <w:snapToGrid/>
                <w:color w:val="auto"/>
                <w:kern w:val="2"/>
              </w:rPr>
              <w:t>本项目实施后不存在重大危险源，要求企业对原料贮存点、危险固废暂存库等风险单元采取各项防护措施，加强风险管理，及时进行突发环境应急预案的编制，并上报备案。在项目建设过程中认真落实各种风险防范措施，通过相应的技术手段降低风险发生概率，并在风险事故发生后，及时采取风险防范措施及应急预案，可以使风险事故对环境的危害得到有效控制，将事故风险控制在可以接受的范围内，故本项目事故风险水平是可防、可控的。</w:t>
            </w:r>
          </w:p>
          <w:p>
            <w:pPr>
              <w:pStyle w:val="140"/>
              <w:spacing w:line="240" w:lineRule="auto"/>
              <w:ind w:firstLine="480"/>
              <w:rPr>
                <w:rFonts w:hint="default" w:ascii="Times New Roman" w:hAnsi="Times New Roman" w:cs="Times New Roman"/>
                <w:snapToGrid/>
                <w:color w:val="auto"/>
                <w:kern w:val="2"/>
              </w:rPr>
            </w:pPr>
          </w:p>
          <w:p>
            <w:pPr>
              <w:spacing w:line="360" w:lineRule="auto"/>
              <w:rPr>
                <w:rFonts w:hint="default" w:ascii="Times New Roman" w:hAnsi="Times New Roman" w:cs="Times New Roman"/>
                <w:b/>
                <w:color w:val="auto"/>
                <w:szCs w:val="24"/>
              </w:rPr>
            </w:pPr>
            <w:r>
              <w:rPr>
                <w:rFonts w:hint="default" w:ascii="Times New Roman" w:hAnsi="Times New Roman" w:cs="Times New Roman"/>
                <w:b/>
                <w:color w:val="auto"/>
                <w:szCs w:val="24"/>
              </w:rPr>
              <w:t>4.2.7环保工程投资</w:t>
            </w:r>
          </w:p>
          <w:p>
            <w:pPr>
              <w:tabs>
                <w:tab w:val="left" w:pos="4288"/>
              </w:tabs>
              <w:spacing w:line="360" w:lineRule="auto"/>
              <w:ind w:firstLine="480" w:firstLineChars="200"/>
              <w:outlineLvl w:val="2"/>
              <w:rPr>
                <w:rFonts w:hint="default" w:ascii="Times New Roman" w:hAnsi="Times New Roman" w:cs="Times New Roman"/>
                <w:color w:val="auto"/>
                <w:szCs w:val="24"/>
              </w:rPr>
            </w:pPr>
            <w:r>
              <w:rPr>
                <w:rFonts w:hint="default" w:ascii="Times New Roman" w:hAnsi="Times New Roman" w:cs="Times New Roman"/>
                <w:color w:val="auto"/>
                <w:szCs w:val="24"/>
              </w:rPr>
              <w:t>本项目共需环保投资</w:t>
            </w:r>
            <w:r>
              <w:rPr>
                <w:rFonts w:hint="eastAsia" w:cs="Times New Roman"/>
                <w:color w:val="auto"/>
                <w:szCs w:val="24"/>
                <w:lang w:val="en-US" w:eastAsia="zh-CN"/>
              </w:rPr>
              <w:t>108</w:t>
            </w:r>
            <w:r>
              <w:rPr>
                <w:rFonts w:hint="default" w:ascii="Times New Roman" w:hAnsi="Times New Roman" w:cs="Times New Roman"/>
                <w:color w:val="auto"/>
                <w:szCs w:val="24"/>
              </w:rPr>
              <w:t>万元，占项目总投资的</w:t>
            </w:r>
            <w:r>
              <w:rPr>
                <w:rFonts w:hint="eastAsia" w:cs="Times New Roman"/>
                <w:color w:val="auto"/>
                <w:szCs w:val="24"/>
                <w:lang w:val="en-US" w:eastAsia="zh-CN"/>
              </w:rPr>
              <w:t>5.4</w:t>
            </w:r>
            <w:r>
              <w:rPr>
                <w:rFonts w:hint="default" w:ascii="Times New Roman" w:hAnsi="Times New Roman" w:cs="Times New Roman"/>
                <w:color w:val="auto"/>
                <w:szCs w:val="24"/>
              </w:rPr>
              <w:t>％。各污染物治理费用详见下表。</w:t>
            </w:r>
          </w:p>
          <w:p>
            <w:pPr>
              <w:spacing w:line="360" w:lineRule="auto"/>
              <w:jc w:val="center"/>
              <w:rPr>
                <w:rFonts w:hint="default" w:ascii="Times New Roman" w:hAnsi="Times New Roman" w:cs="Times New Roman"/>
                <w:b/>
                <w:color w:val="auto"/>
              </w:rPr>
            </w:pPr>
            <w:r>
              <w:rPr>
                <w:rFonts w:hint="default" w:ascii="Times New Roman" w:hAnsi="Times New Roman" w:cs="Times New Roman"/>
                <w:b/>
                <w:color w:val="auto"/>
              </w:rPr>
              <w:t>表4-</w:t>
            </w:r>
            <w:r>
              <w:rPr>
                <w:rFonts w:hint="eastAsia" w:cs="Times New Roman"/>
                <w:b/>
                <w:color w:val="auto"/>
                <w:lang w:val="en-US" w:eastAsia="zh-CN"/>
              </w:rPr>
              <w:t>27</w:t>
            </w:r>
            <w:r>
              <w:rPr>
                <w:rFonts w:hint="default" w:ascii="Times New Roman" w:hAnsi="Times New Roman" w:cs="Times New Roman"/>
                <w:b/>
                <w:color w:val="auto"/>
                <w:lang w:val="en-US" w:eastAsia="zh-CN"/>
              </w:rPr>
              <w:t xml:space="preserve">  </w:t>
            </w:r>
            <w:r>
              <w:rPr>
                <w:rFonts w:hint="default" w:ascii="Times New Roman" w:hAnsi="Times New Roman" w:cs="Times New Roman"/>
                <w:b/>
                <w:color w:val="auto"/>
              </w:rPr>
              <w:t>环保工程投资估算表</w:t>
            </w:r>
          </w:p>
          <w:tbl>
            <w:tblPr>
              <w:tblStyle w:val="29"/>
              <w:tblW w:w="765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59"/>
              <w:gridCol w:w="1128"/>
              <w:gridCol w:w="3953"/>
              <w:gridCol w:w="161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Align w:val="center"/>
                </w:tcPr>
                <w:p>
                  <w:pPr>
                    <w:pStyle w:val="8"/>
                    <w:ind w:firstLine="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序号</w:t>
                  </w:r>
                </w:p>
              </w:tc>
              <w:tc>
                <w:tcPr>
                  <w:tcW w:w="1128" w:type="dxa"/>
                  <w:vAlign w:val="center"/>
                </w:tcPr>
                <w:p>
                  <w:pPr>
                    <w:pStyle w:val="8"/>
                    <w:ind w:firstLine="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类别</w:t>
                  </w:r>
                </w:p>
              </w:tc>
              <w:tc>
                <w:tcPr>
                  <w:tcW w:w="3953" w:type="dxa"/>
                  <w:vAlign w:val="center"/>
                </w:tcPr>
                <w:p>
                  <w:pPr>
                    <w:pStyle w:val="8"/>
                    <w:ind w:firstLine="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污染防治设施或措施名称</w:t>
                  </w:r>
                </w:p>
              </w:tc>
              <w:tc>
                <w:tcPr>
                  <w:tcW w:w="1615" w:type="dxa"/>
                  <w:vAlign w:val="center"/>
                </w:tcPr>
                <w:p>
                  <w:pPr>
                    <w:pStyle w:val="8"/>
                    <w:ind w:firstLine="0"/>
                    <w:jc w:val="center"/>
                    <w:rPr>
                      <w:rFonts w:hint="default" w:ascii="Times New Roman" w:hAnsi="Times New Roman" w:cs="Times New Roman"/>
                      <w:b/>
                      <w:color w:val="auto"/>
                      <w:sz w:val="21"/>
                      <w:szCs w:val="21"/>
                    </w:rPr>
                  </w:pPr>
                  <w:r>
                    <w:rPr>
                      <w:rFonts w:hint="default" w:ascii="Times New Roman" w:hAnsi="Times New Roman" w:cs="Times New Roman"/>
                      <w:b/>
                      <w:color w:val="auto"/>
                      <w:sz w:val="21"/>
                      <w:szCs w:val="21"/>
                    </w:rPr>
                    <w:t>投资估算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1</w:t>
                  </w:r>
                </w:p>
              </w:tc>
              <w:tc>
                <w:tcPr>
                  <w:tcW w:w="1128" w:type="dxa"/>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废水</w:t>
                  </w:r>
                </w:p>
              </w:tc>
              <w:tc>
                <w:tcPr>
                  <w:tcW w:w="3953"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化粪池</w:t>
                  </w:r>
                  <w:r>
                    <w:rPr>
                      <w:rFonts w:hint="eastAsia" w:cs="Times New Roman"/>
                      <w:color w:val="auto"/>
                      <w:sz w:val="21"/>
                      <w:szCs w:val="21"/>
                      <w:lang w:val="en-US" w:eastAsia="zh-CN"/>
                    </w:rPr>
                    <w:t>（利用现有）</w:t>
                  </w:r>
                </w:p>
              </w:tc>
              <w:tc>
                <w:tcPr>
                  <w:tcW w:w="1615" w:type="dxa"/>
                  <w:vAlign w:val="center"/>
                </w:tcPr>
                <w:p>
                  <w:pPr>
                    <w:pStyle w:val="8"/>
                    <w:ind w:firstLine="0"/>
                    <w:jc w:val="center"/>
                    <w:rPr>
                      <w:rFonts w:hint="default" w:ascii="Times New Roman" w:hAnsi="Times New Roman" w:eastAsia="宋体" w:cs="Times New Roman"/>
                      <w:color w:val="auto"/>
                      <w:sz w:val="21"/>
                      <w:szCs w:val="21"/>
                      <w:lang w:eastAsia="zh-CN"/>
                    </w:rPr>
                  </w:pPr>
                  <w:r>
                    <w:rPr>
                      <w:rFonts w:hint="eastAsia" w:cs="Times New Roman"/>
                      <w:color w:val="auto"/>
                      <w:sz w:val="21"/>
                      <w:szCs w:val="21"/>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Merge w:val="restart"/>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2</w:t>
                  </w:r>
                </w:p>
              </w:tc>
              <w:tc>
                <w:tcPr>
                  <w:tcW w:w="1128" w:type="dxa"/>
                  <w:vMerge w:val="restart"/>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废气</w:t>
                  </w:r>
                </w:p>
              </w:tc>
              <w:tc>
                <w:tcPr>
                  <w:tcW w:w="3953" w:type="dxa"/>
                  <w:vAlign w:val="center"/>
                </w:tcPr>
                <w:p>
                  <w:pPr>
                    <w:snapToGrid w:val="0"/>
                    <w:ind w:right="-12" w:rightChars="-5"/>
                    <w:jc w:val="center"/>
                    <w:rPr>
                      <w:rFonts w:hint="eastAsia" w:cs="Times New Roman"/>
                      <w:color w:val="auto"/>
                      <w:sz w:val="21"/>
                      <w:szCs w:val="21"/>
                      <w:lang w:val="en-US" w:eastAsia="zh-CN"/>
                    </w:rPr>
                  </w:pPr>
                  <w:r>
                    <w:rPr>
                      <w:rFonts w:hint="eastAsia" w:cs="Times New Roman"/>
                      <w:color w:val="auto"/>
                      <w:sz w:val="21"/>
                      <w:szCs w:val="21"/>
                      <w:lang w:val="en-US" w:eastAsia="zh-CN"/>
                    </w:rPr>
                    <w:t>4</w:t>
                  </w:r>
                  <w:r>
                    <w:rPr>
                      <w:rFonts w:hint="default" w:ascii="Times New Roman" w:hAnsi="Times New Roman" w:cs="Times New Roman"/>
                      <w:color w:val="auto"/>
                      <w:sz w:val="21"/>
                      <w:szCs w:val="21"/>
                      <w:lang w:val="en-US" w:eastAsia="zh-CN"/>
                    </w:rPr>
                    <w:t>套</w:t>
                  </w:r>
                  <w:r>
                    <w:rPr>
                      <w:rFonts w:hint="eastAsia" w:cs="Times New Roman"/>
                      <w:color w:val="auto"/>
                      <w:sz w:val="21"/>
                      <w:szCs w:val="21"/>
                      <w:lang w:val="en-US" w:eastAsia="zh-CN"/>
                    </w:rPr>
                    <w:t>脉冲布袋除尘装置及排气筒</w:t>
                  </w:r>
                </w:p>
                <w:p>
                  <w:pPr>
                    <w:snapToGrid w:val="0"/>
                    <w:ind w:right="-12" w:rightChars="-5"/>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（处理抛丸废气，其中1套利用现有）</w:t>
                  </w:r>
                </w:p>
              </w:tc>
              <w:tc>
                <w:tcPr>
                  <w:tcW w:w="1615" w:type="dxa"/>
                  <w:vAlign w:val="center"/>
                </w:tcPr>
                <w:p>
                  <w:pPr>
                    <w:pStyle w:val="8"/>
                    <w:ind w:firstLine="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Merge w:val="continue"/>
                  <w:vAlign w:val="center"/>
                </w:tcPr>
                <w:p>
                  <w:pPr>
                    <w:pStyle w:val="8"/>
                    <w:ind w:firstLine="0"/>
                    <w:jc w:val="center"/>
                    <w:rPr>
                      <w:rFonts w:hint="default" w:ascii="Times New Roman" w:hAnsi="Times New Roman" w:cs="Times New Roman"/>
                      <w:bCs/>
                      <w:color w:val="auto"/>
                      <w:sz w:val="21"/>
                      <w:szCs w:val="21"/>
                    </w:rPr>
                  </w:pPr>
                </w:p>
              </w:tc>
              <w:tc>
                <w:tcPr>
                  <w:tcW w:w="1128" w:type="dxa"/>
                  <w:vMerge w:val="continue"/>
                  <w:vAlign w:val="center"/>
                </w:tcPr>
                <w:p>
                  <w:pPr>
                    <w:pStyle w:val="8"/>
                    <w:ind w:firstLine="0"/>
                    <w:jc w:val="center"/>
                    <w:rPr>
                      <w:rFonts w:hint="default" w:ascii="Times New Roman" w:hAnsi="Times New Roman" w:cs="Times New Roman"/>
                      <w:bCs/>
                      <w:color w:val="auto"/>
                      <w:sz w:val="21"/>
                      <w:szCs w:val="21"/>
                    </w:rPr>
                  </w:pPr>
                </w:p>
              </w:tc>
              <w:tc>
                <w:tcPr>
                  <w:tcW w:w="3953" w:type="dxa"/>
                  <w:vAlign w:val="center"/>
                </w:tcPr>
                <w:p>
                  <w:pPr>
                    <w:snapToGrid w:val="0"/>
                    <w:ind w:right="-12" w:rightChars="-5"/>
                    <w:jc w:val="center"/>
                    <w:rPr>
                      <w:rFonts w:hint="default" w:cs="Times New Roman"/>
                      <w:color w:val="auto"/>
                      <w:sz w:val="21"/>
                      <w:szCs w:val="21"/>
                      <w:lang w:val="en-US" w:eastAsia="zh-CN"/>
                    </w:rPr>
                  </w:pPr>
                  <w:r>
                    <w:rPr>
                      <w:rFonts w:hint="eastAsia" w:cs="Times New Roman"/>
                      <w:color w:val="auto"/>
                      <w:sz w:val="21"/>
                      <w:szCs w:val="21"/>
                      <w:lang w:val="en-US" w:eastAsia="zh-CN"/>
                    </w:rPr>
                    <w:t>1套两级活性炭吸附装置及排气筒（利用现有）</w:t>
                  </w:r>
                </w:p>
              </w:tc>
              <w:tc>
                <w:tcPr>
                  <w:tcW w:w="1615" w:type="dxa"/>
                  <w:vAlign w:val="center"/>
                </w:tcPr>
                <w:p>
                  <w:pPr>
                    <w:pStyle w:val="8"/>
                    <w:ind w:firstLine="0"/>
                    <w:jc w:val="center"/>
                    <w:rPr>
                      <w:rFonts w:hint="default" w:cs="Times New Roman"/>
                      <w:color w:val="auto"/>
                      <w:sz w:val="21"/>
                      <w:szCs w:val="21"/>
                      <w:lang w:val="en-US" w:eastAsia="zh-CN"/>
                    </w:rPr>
                  </w:pPr>
                  <w:r>
                    <w:rPr>
                      <w:rFonts w:hint="eastAsia" w:cs="Times New Roman"/>
                      <w:color w:val="auto"/>
                      <w:sz w:val="21"/>
                      <w:szCs w:val="21"/>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Merge w:val="continue"/>
                  <w:vAlign w:val="center"/>
                </w:tcPr>
                <w:p>
                  <w:pPr>
                    <w:pStyle w:val="8"/>
                    <w:ind w:firstLine="0"/>
                    <w:jc w:val="center"/>
                    <w:rPr>
                      <w:rFonts w:hint="default" w:ascii="Times New Roman" w:hAnsi="Times New Roman" w:cs="Times New Roman"/>
                      <w:bCs/>
                      <w:color w:val="auto"/>
                      <w:sz w:val="21"/>
                      <w:szCs w:val="21"/>
                    </w:rPr>
                  </w:pPr>
                </w:p>
              </w:tc>
              <w:tc>
                <w:tcPr>
                  <w:tcW w:w="1128" w:type="dxa"/>
                  <w:vMerge w:val="continue"/>
                  <w:vAlign w:val="center"/>
                </w:tcPr>
                <w:p>
                  <w:pPr>
                    <w:pStyle w:val="8"/>
                    <w:ind w:firstLine="0"/>
                    <w:jc w:val="center"/>
                    <w:rPr>
                      <w:rFonts w:hint="default" w:ascii="Times New Roman" w:hAnsi="Times New Roman" w:cs="Times New Roman"/>
                      <w:bCs/>
                      <w:color w:val="auto"/>
                      <w:sz w:val="21"/>
                      <w:szCs w:val="21"/>
                    </w:rPr>
                  </w:pPr>
                </w:p>
              </w:tc>
              <w:tc>
                <w:tcPr>
                  <w:tcW w:w="3953" w:type="dxa"/>
                  <w:vAlign w:val="center"/>
                </w:tcPr>
                <w:p>
                  <w:pPr>
                    <w:snapToGrid w:val="0"/>
                    <w:ind w:right="-12" w:rightChars="-5"/>
                    <w:jc w:val="center"/>
                    <w:rPr>
                      <w:rFonts w:hint="default" w:cs="Times New Roman"/>
                      <w:color w:val="auto"/>
                      <w:sz w:val="21"/>
                      <w:szCs w:val="21"/>
                      <w:lang w:val="en-US" w:eastAsia="zh-CN"/>
                    </w:rPr>
                  </w:pPr>
                  <w:r>
                    <w:rPr>
                      <w:rFonts w:hint="eastAsia" w:cs="Times New Roman"/>
                      <w:color w:val="auto"/>
                      <w:sz w:val="21"/>
                      <w:szCs w:val="21"/>
                      <w:lang w:val="en-US" w:eastAsia="zh-CN"/>
                    </w:rPr>
                    <w:t>1</w:t>
                  </w:r>
                  <w:r>
                    <w:rPr>
                      <w:rFonts w:hint="default" w:ascii="Times New Roman" w:hAnsi="Times New Roman" w:cs="Times New Roman"/>
                      <w:color w:val="auto"/>
                      <w:sz w:val="21"/>
                      <w:szCs w:val="21"/>
                      <w:lang w:val="en-US" w:eastAsia="zh-CN"/>
                    </w:rPr>
                    <w:t>套</w:t>
                  </w:r>
                  <w:r>
                    <w:rPr>
                      <w:rFonts w:hint="eastAsia" w:ascii="Times New Roman" w:hAnsi="Times New Roman" w:cs="Times New Roman"/>
                      <w:color w:val="auto"/>
                      <w:sz w:val="21"/>
                      <w:szCs w:val="21"/>
                      <w:lang w:val="en-US" w:eastAsia="zh-CN"/>
                    </w:rPr>
                    <w:t>水喷淋+干式过滤+活性炭吸脱附装置</w:t>
                  </w:r>
                  <w:r>
                    <w:rPr>
                      <w:rFonts w:hint="eastAsia" w:cs="Times New Roman"/>
                      <w:color w:val="auto"/>
                      <w:sz w:val="21"/>
                      <w:szCs w:val="21"/>
                      <w:lang w:val="en-US" w:eastAsia="zh-CN"/>
                    </w:rPr>
                    <w:t>及排气筒</w:t>
                  </w:r>
                </w:p>
              </w:tc>
              <w:tc>
                <w:tcPr>
                  <w:tcW w:w="1615" w:type="dxa"/>
                  <w:vAlign w:val="center"/>
                </w:tcPr>
                <w:p>
                  <w:pPr>
                    <w:pStyle w:val="8"/>
                    <w:ind w:firstLine="0"/>
                    <w:jc w:val="center"/>
                    <w:rPr>
                      <w:rFonts w:hint="default" w:cs="Times New Roman"/>
                      <w:color w:val="auto"/>
                      <w:sz w:val="21"/>
                      <w:szCs w:val="21"/>
                      <w:lang w:val="en-US" w:eastAsia="zh-CN"/>
                    </w:rPr>
                  </w:pPr>
                  <w:r>
                    <w:rPr>
                      <w:rFonts w:hint="eastAsia" w:cs="Times New Roman"/>
                      <w:color w:val="auto"/>
                      <w:sz w:val="21"/>
                      <w:szCs w:val="21"/>
                      <w:lang w:val="en-US" w:eastAsia="zh-CN"/>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Merge w:val="continue"/>
                  <w:vAlign w:val="center"/>
                </w:tcPr>
                <w:p>
                  <w:pPr>
                    <w:pStyle w:val="8"/>
                    <w:ind w:firstLine="0"/>
                    <w:jc w:val="center"/>
                    <w:rPr>
                      <w:rFonts w:hint="default" w:ascii="Times New Roman" w:hAnsi="Times New Roman" w:cs="Times New Roman"/>
                      <w:bCs/>
                      <w:color w:val="auto"/>
                      <w:sz w:val="21"/>
                      <w:szCs w:val="21"/>
                    </w:rPr>
                  </w:pPr>
                </w:p>
              </w:tc>
              <w:tc>
                <w:tcPr>
                  <w:tcW w:w="1128" w:type="dxa"/>
                  <w:vMerge w:val="continue"/>
                  <w:vAlign w:val="center"/>
                </w:tcPr>
                <w:p>
                  <w:pPr>
                    <w:pStyle w:val="8"/>
                    <w:ind w:firstLine="0"/>
                    <w:jc w:val="center"/>
                    <w:rPr>
                      <w:rFonts w:hint="default" w:ascii="Times New Roman" w:hAnsi="Times New Roman" w:cs="Times New Roman"/>
                      <w:bCs/>
                      <w:color w:val="auto"/>
                      <w:sz w:val="21"/>
                      <w:szCs w:val="21"/>
                    </w:rPr>
                  </w:pPr>
                </w:p>
              </w:tc>
              <w:tc>
                <w:tcPr>
                  <w:tcW w:w="3953" w:type="dxa"/>
                  <w:vAlign w:val="center"/>
                </w:tcPr>
                <w:p>
                  <w:pPr>
                    <w:snapToGrid w:val="0"/>
                    <w:ind w:right="-12" w:rightChars="-5"/>
                    <w:jc w:val="center"/>
                    <w:rPr>
                      <w:rFonts w:hint="eastAsia" w:cs="Times New Roman"/>
                      <w:color w:val="auto"/>
                      <w:sz w:val="21"/>
                      <w:szCs w:val="21"/>
                      <w:lang w:val="en-US" w:eastAsia="zh-CN"/>
                    </w:rPr>
                  </w:pPr>
                  <w:r>
                    <w:rPr>
                      <w:rFonts w:hint="eastAsia" w:cs="Times New Roman"/>
                      <w:color w:val="auto"/>
                      <w:sz w:val="21"/>
                      <w:szCs w:val="21"/>
                      <w:lang w:val="en-US" w:eastAsia="zh-CN"/>
                    </w:rPr>
                    <w:t>2套滤芯除尘+布袋除尘器+</w:t>
                  </w:r>
                  <w:r>
                    <w:rPr>
                      <w:rFonts w:hint="default" w:ascii="Times New Roman" w:hAnsi="Times New Roman" w:cs="Times New Roman"/>
                      <w:color w:val="auto"/>
                      <w:sz w:val="21"/>
                      <w:szCs w:val="21"/>
                      <w:lang w:val="en-US" w:eastAsia="zh-CN"/>
                    </w:rPr>
                    <w:t>两级活性炭吸附装置</w:t>
                  </w:r>
                  <w:r>
                    <w:rPr>
                      <w:rFonts w:hint="eastAsia" w:cs="Times New Roman"/>
                      <w:color w:val="auto"/>
                      <w:sz w:val="21"/>
                      <w:szCs w:val="21"/>
                      <w:lang w:val="en-US" w:eastAsia="zh-CN"/>
                    </w:rPr>
                    <w:t>及排气筒（其中1套利用现有）</w:t>
                  </w:r>
                </w:p>
              </w:tc>
              <w:tc>
                <w:tcPr>
                  <w:tcW w:w="1615" w:type="dxa"/>
                  <w:vAlign w:val="center"/>
                </w:tcPr>
                <w:p>
                  <w:pPr>
                    <w:pStyle w:val="8"/>
                    <w:ind w:firstLine="0"/>
                    <w:jc w:val="center"/>
                    <w:rPr>
                      <w:rFonts w:hint="default" w:cs="Times New Roman"/>
                      <w:color w:val="auto"/>
                      <w:sz w:val="21"/>
                      <w:szCs w:val="21"/>
                      <w:lang w:val="en-US" w:eastAsia="zh-CN"/>
                    </w:rPr>
                  </w:pPr>
                  <w:r>
                    <w:rPr>
                      <w:rFonts w:hint="eastAsia" w:cs="Times New Roman"/>
                      <w:color w:val="auto"/>
                      <w:sz w:val="21"/>
                      <w:szCs w:val="21"/>
                      <w:lang w:val="en-US" w:eastAsia="zh-CN"/>
                    </w:rPr>
                    <w:t>15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Merge w:val="continue"/>
                  <w:vAlign w:val="center"/>
                </w:tcPr>
                <w:p>
                  <w:pPr>
                    <w:pStyle w:val="8"/>
                    <w:ind w:firstLine="0"/>
                    <w:jc w:val="center"/>
                    <w:rPr>
                      <w:rFonts w:hint="default" w:ascii="Times New Roman" w:hAnsi="Times New Roman" w:cs="Times New Roman"/>
                      <w:bCs/>
                      <w:color w:val="auto"/>
                      <w:sz w:val="21"/>
                      <w:szCs w:val="21"/>
                    </w:rPr>
                  </w:pPr>
                </w:p>
              </w:tc>
              <w:tc>
                <w:tcPr>
                  <w:tcW w:w="1128" w:type="dxa"/>
                  <w:vMerge w:val="continue"/>
                  <w:vAlign w:val="center"/>
                </w:tcPr>
                <w:p>
                  <w:pPr>
                    <w:pStyle w:val="8"/>
                    <w:ind w:firstLine="0"/>
                    <w:jc w:val="center"/>
                    <w:rPr>
                      <w:rFonts w:hint="default" w:ascii="Times New Roman" w:hAnsi="Times New Roman" w:cs="Times New Roman"/>
                      <w:bCs/>
                      <w:color w:val="auto"/>
                      <w:sz w:val="21"/>
                      <w:szCs w:val="21"/>
                    </w:rPr>
                  </w:pPr>
                </w:p>
              </w:tc>
              <w:tc>
                <w:tcPr>
                  <w:tcW w:w="3953" w:type="dxa"/>
                  <w:vAlign w:val="center"/>
                </w:tcPr>
                <w:p>
                  <w:pPr>
                    <w:snapToGrid w:val="0"/>
                    <w:ind w:right="-12" w:rightChars="-5"/>
                    <w:jc w:val="center"/>
                    <w:rPr>
                      <w:rFonts w:hint="eastAsia" w:cs="Times New Roman"/>
                      <w:color w:val="auto"/>
                      <w:sz w:val="21"/>
                      <w:szCs w:val="21"/>
                      <w:lang w:val="en-US" w:eastAsia="zh-CN"/>
                    </w:rPr>
                  </w:pPr>
                  <w:r>
                    <w:rPr>
                      <w:rFonts w:hint="eastAsia" w:cs="Times New Roman"/>
                      <w:color w:val="auto"/>
                      <w:sz w:val="21"/>
                      <w:szCs w:val="21"/>
                      <w:lang w:val="en-US" w:eastAsia="zh-CN"/>
                    </w:rPr>
                    <w:t>2套滤芯除尘+布袋除尘器+</w:t>
                  </w:r>
                  <w:r>
                    <w:rPr>
                      <w:rFonts w:hint="default" w:ascii="Times New Roman" w:hAnsi="Times New Roman" w:cs="Times New Roman"/>
                      <w:color w:val="auto"/>
                      <w:sz w:val="21"/>
                      <w:szCs w:val="21"/>
                      <w:lang w:val="en-US" w:eastAsia="zh-CN"/>
                    </w:rPr>
                    <w:t>两级活性炭吸附装置</w:t>
                  </w:r>
                </w:p>
              </w:tc>
              <w:tc>
                <w:tcPr>
                  <w:tcW w:w="1615" w:type="dxa"/>
                  <w:vAlign w:val="center"/>
                </w:tcPr>
                <w:p>
                  <w:pPr>
                    <w:pStyle w:val="8"/>
                    <w:ind w:firstLine="0"/>
                    <w:jc w:val="center"/>
                    <w:rPr>
                      <w:rFonts w:hint="default" w:cs="Times New Roman"/>
                      <w:color w:val="auto"/>
                      <w:sz w:val="21"/>
                      <w:szCs w:val="21"/>
                      <w:lang w:val="en-US" w:eastAsia="zh-CN"/>
                    </w:rPr>
                  </w:pPr>
                  <w:r>
                    <w:rPr>
                      <w:rFonts w:hint="eastAsia" w:cs="Times New Roman"/>
                      <w:color w:val="auto"/>
                      <w:sz w:val="21"/>
                      <w:szCs w:val="21"/>
                      <w:lang w:val="en-US" w:eastAsia="zh-CN"/>
                    </w:rPr>
                    <w:t>25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3</w:t>
                  </w:r>
                </w:p>
              </w:tc>
              <w:tc>
                <w:tcPr>
                  <w:tcW w:w="1128" w:type="dxa"/>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固废</w:t>
                  </w:r>
                </w:p>
              </w:tc>
              <w:tc>
                <w:tcPr>
                  <w:tcW w:w="3953"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危废暂存及处置</w:t>
                  </w:r>
                </w:p>
              </w:tc>
              <w:tc>
                <w:tcPr>
                  <w:tcW w:w="1615" w:type="dxa"/>
                  <w:vAlign w:val="center"/>
                </w:tcPr>
                <w:p>
                  <w:pPr>
                    <w:pStyle w:val="8"/>
                    <w:ind w:firstLine="0"/>
                    <w:jc w:val="center"/>
                    <w:rPr>
                      <w:rFonts w:hint="default" w:ascii="Times New Roman" w:hAnsi="Times New Roman" w:eastAsia="宋体" w:cs="Times New Roman"/>
                      <w:color w:val="auto"/>
                      <w:sz w:val="21"/>
                      <w:szCs w:val="21"/>
                      <w:lang w:eastAsia="zh-CN"/>
                    </w:rPr>
                  </w:pPr>
                  <w:r>
                    <w:rPr>
                      <w:rFonts w:hint="eastAsia" w:cs="Times New Roman"/>
                      <w:color w:val="auto"/>
                      <w:sz w:val="21"/>
                      <w:szCs w:val="21"/>
                      <w:lang w:val="en-US" w:eastAsia="zh-CN"/>
                    </w:rPr>
                    <w:t>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59" w:type="dxa"/>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4</w:t>
                  </w:r>
                </w:p>
              </w:tc>
              <w:tc>
                <w:tcPr>
                  <w:tcW w:w="1128" w:type="dxa"/>
                  <w:vAlign w:val="center"/>
                </w:tcPr>
                <w:p>
                  <w:pPr>
                    <w:pStyle w:val="8"/>
                    <w:ind w:firstLine="0"/>
                    <w:jc w:val="center"/>
                    <w:rPr>
                      <w:rFonts w:hint="default" w:ascii="Times New Roman" w:hAnsi="Times New Roman" w:cs="Times New Roman"/>
                      <w:bCs/>
                      <w:color w:val="auto"/>
                      <w:sz w:val="21"/>
                      <w:szCs w:val="21"/>
                    </w:rPr>
                  </w:pPr>
                  <w:r>
                    <w:rPr>
                      <w:rFonts w:hint="default" w:ascii="Times New Roman" w:hAnsi="Times New Roman" w:cs="Times New Roman"/>
                      <w:bCs/>
                      <w:color w:val="auto"/>
                      <w:sz w:val="21"/>
                      <w:szCs w:val="21"/>
                    </w:rPr>
                    <w:t>噪声</w:t>
                  </w:r>
                </w:p>
              </w:tc>
              <w:tc>
                <w:tcPr>
                  <w:tcW w:w="3953" w:type="dxa"/>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设备保养及维护</w:t>
                  </w:r>
                </w:p>
              </w:tc>
              <w:tc>
                <w:tcPr>
                  <w:tcW w:w="1615" w:type="dxa"/>
                  <w:vAlign w:val="center"/>
                </w:tcPr>
                <w:p>
                  <w:pPr>
                    <w:pStyle w:val="8"/>
                    <w:ind w:firstLine="0"/>
                    <w:jc w:val="center"/>
                    <w:rPr>
                      <w:rFonts w:hint="eastAsia" w:ascii="Times New Roman" w:hAnsi="Times New Roman" w:eastAsia="宋体" w:cs="Times New Roman"/>
                      <w:color w:val="auto"/>
                      <w:sz w:val="21"/>
                      <w:szCs w:val="21"/>
                      <w:lang w:eastAsia="zh-CN"/>
                    </w:rPr>
                  </w:pPr>
                  <w:r>
                    <w:rPr>
                      <w:rFonts w:hint="eastAsia" w:cs="Times New Roman"/>
                      <w:color w:val="auto"/>
                      <w:sz w:val="21"/>
                      <w:szCs w:val="21"/>
                      <w:lang w:val="en-US" w:eastAsia="zh-CN"/>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6040" w:type="dxa"/>
                  <w:gridSpan w:val="3"/>
                  <w:vAlign w:val="center"/>
                </w:tcPr>
                <w:p>
                  <w:pPr>
                    <w:pStyle w:val="8"/>
                    <w:ind w:firstLine="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合计</w:t>
                  </w:r>
                </w:p>
              </w:tc>
              <w:tc>
                <w:tcPr>
                  <w:tcW w:w="1615" w:type="dxa"/>
                  <w:vAlign w:val="center"/>
                </w:tcPr>
                <w:p>
                  <w:pPr>
                    <w:pStyle w:val="8"/>
                    <w:ind w:firstLine="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108</w:t>
                  </w:r>
                </w:p>
              </w:tc>
            </w:tr>
          </w:tbl>
          <w:p>
            <w:pPr>
              <w:pStyle w:val="40"/>
              <w:rPr>
                <w:rFonts w:hint="default" w:ascii="Times New Roman" w:hAnsi="Times New Roman" w:cs="Times New Roman"/>
                <w:color w:val="FF0000"/>
              </w:rPr>
            </w:pPr>
          </w:p>
          <w:p>
            <w:pPr>
              <w:pStyle w:val="40"/>
              <w:spacing w:line="240" w:lineRule="auto"/>
              <w:rPr>
                <w:rFonts w:hint="default" w:ascii="Times New Roman" w:hAnsi="Times New Roman" w:cs="Times New Roman"/>
                <w:color w:val="FF0000"/>
              </w:rPr>
            </w:pPr>
          </w:p>
        </w:tc>
      </w:tr>
    </w:tbl>
    <w:p>
      <w:pPr>
        <w:pStyle w:val="38"/>
        <w:rPr>
          <w:rFonts w:hint="default" w:ascii="Times New Roman" w:hAnsi="Times New Roman" w:cs="Times New Roman"/>
          <w:color w:val="FF0000"/>
        </w:rPr>
        <w:sectPr>
          <w:pgSz w:w="11906" w:h="16838"/>
          <w:pgMar w:top="1440" w:right="1797" w:bottom="1440" w:left="1797" w:header="851" w:footer="992" w:gutter="0"/>
          <w:pgBorders>
            <w:top w:val="none" w:sz="0" w:space="0"/>
            <w:left w:val="none" w:sz="0" w:space="0"/>
            <w:bottom w:val="none" w:sz="0" w:space="0"/>
            <w:right w:val="none" w:sz="0" w:space="0"/>
          </w:pgBorders>
          <w:cols w:space="0" w:num="1"/>
          <w:docGrid w:type="lines" w:linePitch="332" w:charSpace="0"/>
        </w:sectPr>
      </w:pPr>
    </w:p>
    <w:p>
      <w:pPr>
        <w:pStyle w:val="4"/>
        <w:rPr>
          <w:rFonts w:hint="default" w:ascii="Times New Roman" w:hAnsi="Times New Roman" w:eastAsia="宋体" w:cs="Times New Roman"/>
          <w:b/>
          <w:bCs w:val="0"/>
          <w:color w:val="auto"/>
        </w:rPr>
      </w:pPr>
      <w:bookmarkStart w:id="21" w:name="_Toc99693256"/>
      <w:bookmarkStart w:id="22" w:name="_Toc65834465"/>
      <w:bookmarkStart w:id="23" w:name="_Toc65835261"/>
      <w:r>
        <w:rPr>
          <w:rFonts w:hint="default" w:ascii="Times New Roman" w:hAnsi="Times New Roman" w:eastAsia="宋体" w:cs="Times New Roman"/>
          <w:b/>
          <w:bCs w:val="0"/>
          <w:color w:val="auto"/>
        </w:rPr>
        <w:t>五、环境保护措施监督检查清单</w:t>
      </w:r>
      <w:bookmarkEnd w:id="21"/>
      <w:bookmarkEnd w:id="22"/>
      <w:bookmarkEnd w:id="23"/>
    </w:p>
    <w:tbl>
      <w:tblPr>
        <w:tblStyle w:val="29"/>
        <w:tblW w:w="880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30"/>
        <w:gridCol w:w="1580"/>
        <w:gridCol w:w="1393"/>
        <w:gridCol w:w="2582"/>
        <w:gridCol w:w="221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1030" w:type="dxa"/>
            <w:tcBorders>
              <w:tl2br w:val="single" w:color="auto" w:sz="4" w:space="0"/>
            </w:tcBorders>
          </w:tcPr>
          <w:p>
            <w:pPr>
              <w:adjustRightInd w:val="0"/>
              <w:snapToGrid w:val="0"/>
              <w:ind w:firstLine="211" w:firstLineChars="100"/>
              <w:jc w:val="right"/>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内容</w:t>
            </w:r>
          </w:p>
          <w:p>
            <w:pPr>
              <w:adjustRightInd w:val="0"/>
              <w:snapToGrid w:val="0"/>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要素</w:t>
            </w:r>
          </w:p>
        </w:tc>
        <w:tc>
          <w:tcPr>
            <w:tcW w:w="1580"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排放口(编号、</w:t>
            </w:r>
          </w:p>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名称)/污染源</w:t>
            </w:r>
          </w:p>
        </w:tc>
        <w:tc>
          <w:tcPr>
            <w:tcW w:w="1393"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污染物项目</w:t>
            </w:r>
          </w:p>
        </w:tc>
        <w:tc>
          <w:tcPr>
            <w:tcW w:w="2582"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环境保护措施</w:t>
            </w:r>
          </w:p>
        </w:tc>
        <w:tc>
          <w:tcPr>
            <w:tcW w:w="2215"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1030" w:type="dxa"/>
            <w:vMerge w:val="restart"/>
            <w:vAlign w:val="center"/>
          </w:tcPr>
          <w:p>
            <w:pPr>
              <w:adjustRightInd w:val="0"/>
              <w:snapToGrid w:val="0"/>
              <w:jc w:val="center"/>
              <w:rPr>
                <w:rFonts w:hint="default" w:ascii="Times New Roman" w:hAnsi="Times New Roman" w:cs="Times New Roman"/>
                <w:b/>
                <w:bCs/>
                <w:color w:val="FF0000"/>
                <w:sz w:val="21"/>
                <w:szCs w:val="21"/>
              </w:rPr>
            </w:pPr>
            <w:r>
              <w:rPr>
                <w:rFonts w:hint="default" w:ascii="Times New Roman" w:hAnsi="Times New Roman" w:cs="Times New Roman"/>
                <w:b/>
                <w:bCs/>
                <w:color w:val="auto"/>
                <w:sz w:val="21"/>
                <w:szCs w:val="21"/>
              </w:rPr>
              <w:t>大气环境</w:t>
            </w:r>
          </w:p>
        </w:tc>
        <w:tc>
          <w:tcPr>
            <w:tcW w:w="1580" w:type="dxa"/>
            <w:vAlign w:val="center"/>
          </w:tcPr>
          <w:p>
            <w:pPr>
              <w:adjustRightInd w:val="0"/>
              <w:snapToGrid w:val="0"/>
              <w:jc w:val="center"/>
              <w:rPr>
                <w:rFonts w:hint="eastAsia" w:cs="Times New Roman"/>
                <w:color w:val="auto"/>
                <w:sz w:val="21"/>
                <w:szCs w:val="24"/>
                <w:lang w:val="en-US" w:eastAsia="zh-CN"/>
              </w:rPr>
            </w:pPr>
            <w:r>
              <w:rPr>
                <w:rFonts w:hint="eastAsia" w:cs="Times New Roman"/>
                <w:color w:val="auto"/>
                <w:sz w:val="21"/>
                <w:szCs w:val="24"/>
                <w:lang w:val="en-US" w:eastAsia="zh-CN"/>
              </w:rPr>
              <w:t>抛丸粉尘DA002、DA004</w:t>
            </w:r>
          </w:p>
          <w:p>
            <w:pPr>
              <w:adjustRightInd w:val="0"/>
              <w:snapToGrid w:val="0"/>
              <w:jc w:val="center"/>
              <w:rPr>
                <w:rFonts w:hint="default" w:ascii="Times New Roman" w:hAnsi="Times New Roman" w:cs="Times New Roman"/>
                <w:color w:val="auto"/>
                <w:sz w:val="21"/>
                <w:szCs w:val="24"/>
                <w:lang w:val="en-US" w:eastAsia="zh-CN"/>
              </w:rPr>
            </w:pPr>
            <w:r>
              <w:rPr>
                <w:rFonts w:hint="eastAsia" w:cs="Times New Roman"/>
                <w:color w:val="auto"/>
                <w:sz w:val="21"/>
                <w:szCs w:val="24"/>
                <w:lang w:val="en-US" w:eastAsia="zh-CN"/>
              </w:rPr>
              <w:t>DA006、DA007</w:t>
            </w:r>
          </w:p>
        </w:tc>
        <w:tc>
          <w:tcPr>
            <w:tcW w:w="1393" w:type="dxa"/>
            <w:vAlign w:val="center"/>
          </w:tcPr>
          <w:p>
            <w:pPr>
              <w:adjustRightInd w:val="0"/>
              <w:snapToGrid w:val="0"/>
              <w:jc w:val="center"/>
              <w:rPr>
                <w:rFonts w:hint="default" w:cs="Times New Roman"/>
                <w:color w:val="auto"/>
                <w:sz w:val="21"/>
                <w:szCs w:val="24"/>
                <w:vertAlign w:val="baseline"/>
                <w:lang w:val="en-US" w:eastAsia="zh-CN"/>
              </w:rPr>
            </w:pPr>
            <w:r>
              <w:rPr>
                <w:rFonts w:hint="eastAsia" w:cs="Times New Roman"/>
                <w:color w:val="auto"/>
                <w:sz w:val="21"/>
                <w:szCs w:val="24"/>
                <w:vertAlign w:val="baseline"/>
                <w:lang w:val="en-US" w:eastAsia="zh-CN"/>
              </w:rPr>
              <w:t>颗粒物</w:t>
            </w:r>
          </w:p>
        </w:tc>
        <w:tc>
          <w:tcPr>
            <w:tcW w:w="2582" w:type="dxa"/>
            <w:vAlign w:val="center"/>
          </w:tcPr>
          <w:p>
            <w:pPr>
              <w:adjustRightInd w:val="0"/>
              <w:snapToGrid w:val="0"/>
              <w:jc w:val="left"/>
              <w:rPr>
                <w:rFonts w:hint="eastAsia" w:cs="Times New Roman"/>
                <w:color w:val="auto"/>
                <w:sz w:val="21"/>
                <w:szCs w:val="21"/>
                <w:lang w:val="en-US" w:eastAsia="zh-CN"/>
              </w:rPr>
            </w:pPr>
            <w:r>
              <w:rPr>
                <w:rFonts w:hint="eastAsia" w:cs="Times New Roman"/>
                <w:color w:val="auto"/>
                <w:sz w:val="21"/>
                <w:szCs w:val="21"/>
                <w:lang w:val="en-US" w:eastAsia="zh-CN"/>
              </w:rPr>
              <w:t>小管内抛、小管外抛、大管内抛、大管外抛</w:t>
            </w:r>
            <w:r>
              <w:rPr>
                <w:rFonts w:hint="default" w:ascii="Times New Roman" w:hAnsi="Times New Roman" w:cs="Times New Roman"/>
                <w:color w:val="auto"/>
                <w:sz w:val="21"/>
                <w:szCs w:val="21"/>
                <w:lang w:val="en-US" w:eastAsia="zh-CN"/>
              </w:rPr>
              <w:t>过程产生的</w:t>
            </w:r>
            <w:r>
              <w:rPr>
                <w:rFonts w:hint="eastAsia" w:cs="Times New Roman"/>
                <w:color w:val="auto"/>
                <w:sz w:val="21"/>
                <w:szCs w:val="21"/>
                <w:lang w:val="en-US" w:eastAsia="zh-CN"/>
              </w:rPr>
              <w:t>粉尘经过各自的脉冲布袋除尘装置（共四套）处理</w:t>
            </w:r>
            <w:r>
              <w:rPr>
                <w:rFonts w:hint="default" w:ascii="Times New Roman" w:hAnsi="Times New Roman" w:cs="Times New Roman"/>
                <w:color w:val="auto"/>
                <w:sz w:val="21"/>
                <w:szCs w:val="21"/>
                <w:lang w:val="en-US" w:eastAsia="zh-CN"/>
              </w:rPr>
              <w:t>，尾气通过</w:t>
            </w:r>
            <w:r>
              <w:rPr>
                <w:rFonts w:hint="eastAsia" w:cs="Times New Roman"/>
                <w:color w:val="auto"/>
                <w:sz w:val="21"/>
                <w:szCs w:val="21"/>
                <w:lang w:val="en-US" w:eastAsia="zh-CN"/>
              </w:rPr>
              <w:t>4</w:t>
            </w:r>
            <w:r>
              <w:rPr>
                <w:rFonts w:hint="default" w:ascii="Times New Roman" w:hAnsi="Times New Roman" w:cs="Times New Roman"/>
                <w:color w:val="auto"/>
                <w:sz w:val="21"/>
                <w:szCs w:val="21"/>
                <w:lang w:val="en-US" w:eastAsia="zh-CN"/>
              </w:rPr>
              <w:t>根15m高的排气筒（DA00</w:t>
            </w:r>
            <w:r>
              <w:rPr>
                <w:rFonts w:hint="eastAsia" w:cs="Times New Roman"/>
                <w:color w:val="auto"/>
                <w:sz w:val="21"/>
                <w:szCs w:val="21"/>
                <w:lang w:val="en-US" w:eastAsia="zh-CN"/>
              </w:rPr>
              <w:t>2、</w:t>
            </w:r>
            <w:r>
              <w:rPr>
                <w:rFonts w:hint="default" w:ascii="Times New Roman" w:hAnsi="Times New Roman" w:cs="Times New Roman"/>
                <w:color w:val="auto"/>
                <w:sz w:val="21"/>
                <w:szCs w:val="21"/>
                <w:lang w:val="en-US" w:eastAsia="zh-CN"/>
              </w:rPr>
              <w:t>DA00</w:t>
            </w:r>
            <w:r>
              <w:rPr>
                <w:rFonts w:hint="eastAsia" w:ascii="Times New Roman" w:hAnsi="Times New Roman" w:cs="Times New Roman"/>
                <w:color w:val="auto"/>
                <w:sz w:val="21"/>
                <w:szCs w:val="21"/>
                <w:lang w:val="en-US" w:eastAsia="zh-CN"/>
              </w:rPr>
              <w:t>4</w:t>
            </w:r>
            <w:r>
              <w:rPr>
                <w:rFonts w:hint="eastAsia" w:cs="Times New Roman"/>
                <w:color w:val="auto"/>
                <w:sz w:val="21"/>
                <w:szCs w:val="21"/>
                <w:lang w:val="en-US" w:eastAsia="zh-CN"/>
              </w:rPr>
              <w:t>、</w:t>
            </w:r>
            <w:r>
              <w:rPr>
                <w:rFonts w:hint="default" w:ascii="Times New Roman" w:hAnsi="Times New Roman" w:cs="Times New Roman"/>
                <w:color w:val="auto"/>
                <w:sz w:val="21"/>
                <w:szCs w:val="21"/>
                <w:lang w:val="en-US" w:eastAsia="zh-CN"/>
              </w:rPr>
              <w:t>DA00</w:t>
            </w:r>
            <w:r>
              <w:rPr>
                <w:rFonts w:hint="eastAsia" w:cs="Times New Roman"/>
                <w:color w:val="auto"/>
                <w:sz w:val="21"/>
                <w:szCs w:val="21"/>
                <w:lang w:val="en-US" w:eastAsia="zh-CN"/>
              </w:rPr>
              <w:t>7、</w:t>
            </w:r>
            <w:r>
              <w:rPr>
                <w:rFonts w:hint="default" w:ascii="Times New Roman" w:hAnsi="Times New Roman" w:cs="Times New Roman"/>
                <w:color w:val="auto"/>
                <w:sz w:val="21"/>
                <w:szCs w:val="21"/>
                <w:lang w:val="en-US" w:eastAsia="zh-CN"/>
              </w:rPr>
              <w:t>DA00</w:t>
            </w:r>
            <w:r>
              <w:rPr>
                <w:rFonts w:hint="eastAsia"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）排放。</w:t>
            </w:r>
          </w:p>
        </w:tc>
        <w:tc>
          <w:tcPr>
            <w:tcW w:w="2215" w:type="dxa"/>
            <w:vMerge w:val="restart"/>
            <w:vAlign w:val="center"/>
          </w:tcPr>
          <w:p>
            <w:pPr>
              <w:adjustRightInd w:val="0"/>
              <w:snapToGrid w:val="0"/>
              <w:jc w:val="left"/>
              <w:rPr>
                <w:rFonts w:hint="default" w:ascii="Times New Roman" w:hAnsi="Times New Roman" w:eastAsia="宋体" w:cs="Times New Roman"/>
                <w:color w:val="FF0000"/>
                <w:kern w:val="2"/>
                <w:sz w:val="21"/>
                <w:szCs w:val="24"/>
                <w:lang w:val="en-US" w:eastAsia="zh-CN" w:bidi="ar-SA"/>
              </w:rPr>
            </w:pPr>
            <w:r>
              <w:rPr>
                <w:rFonts w:hint="eastAsia"/>
                <w:color w:val="auto"/>
                <w:sz w:val="21"/>
                <w:szCs w:val="24"/>
              </w:rPr>
              <w:t>DB33/2146-2018《工业涂装工序大气污染物排放标准》中表</w:t>
            </w:r>
            <w:r>
              <w:rPr>
                <w:rFonts w:hint="eastAsia"/>
                <w:color w:val="auto"/>
                <w:sz w:val="21"/>
                <w:szCs w:val="24"/>
                <w:lang w:val="en-US" w:eastAsia="zh-CN"/>
              </w:rPr>
              <w:t>2</w:t>
            </w:r>
            <w:r>
              <w:rPr>
                <w:rFonts w:hint="eastAsia"/>
                <w:color w:val="auto"/>
                <w:sz w:val="21"/>
                <w:szCs w:val="24"/>
              </w:rPr>
              <w:t>排放限值要求。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adjustRightInd w:val="0"/>
              <w:snapToGrid w:val="0"/>
              <w:jc w:val="center"/>
              <w:rPr>
                <w:rFonts w:hint="eastAsia" w:cs="Times New Roman"/>
                <w:color w:val="auto"/>
                <w:sz w:val="21"/>
                <w:szCs w:val="24"/>
                <w:lang w:val="en-US" w:eastAsia="zh-CN"/>
              </w:rPr>
            </w:pPr>
            <w:r>
              <w:rPr>
                <w:rFonts w:hint="eastAsia" w:cs="Times New Roman"/>
                <w:color w:val="auto"/>
                <w:sz w:val="21"/>
                <w:szCs w:val="24"/>
                <w:lang w:val="en-US" w:eastAsia="zh-CN"/>
              </w:rPr>
              <w:t>刷漆废气</w:t>
            </w:r>
          </w:p>
          <w:p>
            <w:pPr>
              <w:adjustRightInd w:val="0"/>
              <w:snapToGrid w:val="0"/>
              <w:jc w:val="center"/>
              <w:rPr>
                <w:rFonts w:hint="default" w:ascii="Times New Roman" w:hAnsi="Times New Roman" w:cs="Times New Roman"/>
                <w:color w:val="auto"/>
                <w:sz w:val="21"/>
                <w:szCs w:val="24"/>
                <w:lang w:val="en-US" w:eastAsia="zh-CN"/>
              </w:rPr>
            </w:pPr>
            <w:r>
              <w:rPr>
                <w:rFonts w:hint="eastAsia" w:cs="Times New Roman"/>
                <w:color w:val="auto"/>
                <w:sz w:val="21"/>
                <w:szCs w:val="24"/>
                <w:lang w:val="en-US" w:eastAsia="zh-CN"/>
              </w:rPr>
              <w:t>DA001</w:t>
            </w:r>
          </w:p>
        </w:tc>
        <w:tc>
          <w:tcPr>
            <w:tcW w:w="1393" w:type="dxa"/>
            <w:vAlign w:val="center"/>
          </w:tcPr>
          <w:p>
            <w:pPr>
              <w:adjustRightInd w:val="0"/>
              <w:snapToGrid w:val="0"/>
              <w:jc w:val="center"/>
              <w:rPr>
                <w:rFonts w:hint="default" w:ascii="Times New Roman" w:hAnsi="Times New Roman" w:eastAsia="宋体" w:cs="Times New Roman"/>
                <w:color w:val="auto"/>
                <w:sz w:val="21"/>
                <w:szCs w:val="24"/>
                <w:vertAlign w:val="baseline"/>
                <w:lang w:val="en-US" w:eastAsia="zh-CN"/>
              </w:rPr>
            </w:pPr>
            <w:r>
              <w:rPr>
                <w:rFonts w:hint="eastAsia" w:ascii="Times New Roman" w:hAnsi="Times New Roman" w:eastAsia="宋体" w:cs="Times New Roman"/>
                <w:color w:val="auto"/>
                <w:sz w:val="21"/>
                <w:szCs w:val="24"/>
                <w:vertAlign w:val="baseline"/>
                <w:lang w:val="en-US" w:eastAsia="zh-CN"/>
              </w:rPr>
              <w:t>二甲苯</w:t>
            </w:r>
          </w:p>
        </w:tc>
        <w:tc>
          <w:tcPr>
            <w:tcW w:w="2582" w:type="dxa"/>
            <w:vAlign w:val="center"/>
          </w:tcPr>
          <w:p>
            <w:pPr>
              <w:adjustRightInd w:val="0"/>
              <w:snapToGrid w:val="0"/>
              <w:jc w:val="lef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经现有的两级活性炭吸附装置处理后</w:t>
            </w:r>
            <w:r>
              <w:rPr>
                <w:rFonts w:hint="default" w:ascii="Times New Roman" w:hAnsi="Times New Roman" w:eastAsia="宋体" w:cs="Times New Roman"/>
                <w:color w:val="auto"/>
                <w:sz w:val="21"/>
                <w:szCs w:val="21"/>
                <w:lang w:val="en-US" w:eastAsia="zh-CN"/>
              </w:rPr>
              <w:t>通过</w:t>
            </w:r>
            <w:r>
              <w:rPr>
                <w:rFonts w:hint="eastAsia" w:ascii="Times New Roman" w:hAnsi="Times New Roman" w:eastAsia="宋体" w:cs="Times New Roman"/>
                <w:color w:val="auto"/>
                <w:sz w:val="21"/>
                <w:szCs w:val="21"/>
                <w:lang w:val="en-US" w:eastAsia="zh-CN"/>
              </w:rPr>
              <w:t>15</w:t>
            </w:r>
            <w:r>
              <w:rPr>
                <w:rFonts w:hint="default" w:ascii="Times New Roman" w:hAnsi="Times New Roman" w:eastAsia="宋体" w:cs="Times New Roman"/>
                <w:color w:val="auto"/>
                <w:sz w:val="21"/>
                <w:szCs w:val="21"/>
                <w:lang w:val="en-US" w:eastAsia="zh-CN"/>
              </w:rPr>
              <w:t>米高排气筒</w:t>
            </w:r>
            <w:r>
              <w:rPr>
                <w:rFonts w:hint="eastAsia" w:ascii="Times New Roman" w:hAnsi="Times New Roman" w:eastAsia="宋体" w:cs="Times New Roman"/>
                <w:color w:val="auto"/>
                <w:sz w:val="21"/>
                <w:szCs w:val="21"/>
                <w:lang w:val="en-US" w:eastAsia="zh-CN"/>
              </w:rPr>
              <w:t>（DA001）</w:t>
            </w:r>
            <w:r>
              <w:rPr>
                <w:rFonts w:hint="default" w:ascii="Times New Roman" w:hAnsi="Times New Roman" w:eastAsia="宋体" w:cs="Times New Roman"/>
                <w:color w:val="auto"/>
                <w:sz w:val="21"/>
                <w:szCs w:val="21"/>
                <w:lang w:val="en-US" w:eastAsia="zh-CN"/>
              </w:rPr>
              <w:t>排放</w:t>
            </w:r>
            <w:r>
              <w:rPr>
                <w:rFonts w:hint="eastAsia" w:ascii="Times New Roman" w:hAnsi="Times New Roman" w:eastAsia="宋体" w:cs="Times New Roman"/>
                <w:color w:val="auto"/>
                <w:sz w:val="21"/>
                <w:szCs w:val="21"/>
                <w:lang w:val="en-US" w:eastAsia="zh-CN"/>
              </w:rPr>
              <w:t>。</w:t>
            </w:r>
          </w:p>
        </w:tc>
        <w:tc>
          <w:tcPr>
            <w:tcW w:w="2215" w:type="dxa"/>
            <w:vMerge w:val="continue"/>
            <w:vAlign w:val="center"/>
          </w:tcPr>
          <w:p>
            <w:pPr>
              <w:adjustRightInd w:val="0"/>
              <w:snapToGrid w:val="0"/>
              <w:jc w:val="left"/>
              <w:rPr>
                <w:rFonts w:hint="default" w:ascii="Times New Roman" w:hAnsi="Times New Roman" w:eastAsia="宋体" w:cs="Times New Roman"/>
                <w:color w:val="FF0000"/>
                <w:kern w:val="2"/>
                <w:sz w:val="21"/>
                <w:szCs w:val="24"/>
                <w:lang w:val="en-US" w:eastAsia="zh-CN" w:bidi="ar-SA"/>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adjustRightInd w:val="0"/>
              <w:snapToGrid w:val="0"/>
              <w:jc w:val="center"/>
              <w:rPr>
                <w:rFonts w:hint="eastAsia" w:cs="Times New Roman"/>
                <w:color w:val="auto"/>
                <w:sz w:val="21"/>
                <w:szCs w:val="24"/>
                <w:lang w:val="en-US" w:eastAsia="zh-CN"/>
              </w:rPr>
            </w:pPr>
            <w:r>
              <w:rPr>
                <w:rFonts w:hint="eastAsia" w:cs="Times New Roman"/>
                <w:color w:val="auto"/>
                <w:sz w:val="21"/>
                <w:szCs w:val="24"/>
                <w:lang w:val="en-US" w:eastAsia="zh-CN"/>
              </w:rPr>
              <w:t>喷漆废气</w:t>
            </w:r>
          </w:p>
          <w:p>
            <w:pPr>
              <w:adjustRightInd w:val="0"/>
              <w:snapToGrid w:val="0"/>
              <w:jc w:val="center"/>
              <w:rPr>
                <w:rFonts w:hint="default" w:ascii="Times New Roman" w:hAnsi="Times New Roman" w:cs="Times New Roman"/>
                <w:color w:val="auto"/>
                <w:sz w:val="21"/>
                <w:szCs w:val="24"/>
                <w:lang w:val="en-US" w:eastAsia="zh-CN"/>
              </w:rPr>
            </w:pPr>
            <w:r>
              <w:rPr>
                <w:rFonts w:hint="eastAsia" w:cs="Times New Roman"/>
                <w:color w:val="auto"/>
                <w:sz w:val="21"/>
                <w:szCs w:val="24"/>
                <w:lang w:val="en-US" w:eastAsia="zh-CN"/>
              </w:rPr>
              <w:t>DA005</w:t>
            </w:r>
          </w:p>
        </w:tc>
        <w:tc>
          <w:tcPr>
            <w:tcW w:w="1393" w:type="dxa"/>
            <w:vAlign w:val="center"/>
          </w:tcPr>
          <w:p>
            <w:pPr>
              <w:adjustRightInd w:val="0"/>
              <w:snapToGrid w:val="0"/>
              <w:jc w:val="center"/>
              <w:rPr>
                <w:rFonts w:hint="eastAsia" w:ascii="Times New Roman" w:hAnsi="Times New Roman" w:eastAsia="宋体" w:cs="Times New Roman"/>
                <w:color w:val="auto"/>
                <w:sz w:val="21"/>
                <w:szCs w:val="24"/>
                <w:vertAlign w:val="baseline"/>
                <w:lang w:val="en-US" w:eastAsia="zh-CN"/>
              </w:rPr>
            </w:pPr>
            <w:r>
              <w:rPr>
                <w:rFonts w:hint="eastAsia" w:ascii="Times New Roman" w:hAnsi="Times New Roman" w:eastAsia="宋体" w:cs="Times New Roman"/>
                <w:color w:val="auto"/>
                <w:sz w:val="21"/>
                <w:szCs w:val="24"/>
                <w:vertAlign w:val="baseline"/>
                <w:lang w:val="en-US" w:eastAsia="zh-CN"/>
              </w:rPr>
              <w:t>二甲苯</w:t>
            </w:r>
          </w:p>
          <w:p>
            <w:pPr>
              <w:adjustRightInd w:val="0"/>
              <w:snapToGrid w:val="0"/>
              <w:jc w:val="center"/>
              <w:rPr>
                <w:rFonts w:hint="default" w:ascii="Times New Roman" w:hAnsi="Times New Roman" w:eastAsia="宋体" w:cs="Times New Roman"/>
                <w:color w:val="auto"/>
                <w:sz w:val="21"/>
                <w:szCs w:val="24"/>
                <w:vertAlign w:val="baseline"/>
                <w:lang w:val="en-US" w:eastAsia="zh-CN"/>
              </w:rPr>
            </w:pPr>
            <w:r>
              <w:rPr>
                <w:rFonts w:hint="eastAsia" w:ascii="Times New Roman" w:hAnsi="Times New Roman" w:eastAsia="宋体" w:cs="Times New Roman"/>
                <w:color w:val="auto"/>
                <w:sz w:val="21"/>
                <w:szCs w:val="24"/>
                <w:vertAlign w:val="baseline"/>
                <w:lang w:val="en-US" w:eastAsia="zh-CN"/>
              </w:rPr>
              <w:t>颗粒物</w:t>
            </w:r>
          </w:p>
        </w:tc>
        <w:tc>
          <w:tcPr>
            <w:tcW w:w="2582" w:type="dxa"/>
            <w:vAlign w:val="center"/>
          </w:tcPr>
          <w:p>
            <w:pPr>
              <w:adjustRightInd w:val="0"/>
              <w:snapToGrid w:val="0"/>
              <w:jc w:val="lef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经1套水喷淋+干式过滤+活性炭吸脱附装置处理后通过15米高排气筒（DA005）排放。</w:t>
            </w:r>
          </w:p>
        </w:tc>
        <w:tc>
          <w:tcPr>
            <w:tcW w:w="2215" w:type="dxa"/>
            <w:vMerge w:val="continue"/>
            <w:vAlign w:val="center"/>
          </w:tcPr>
          <w:p>
            <w:pPr>
              <w:adjustRightInd w:val="0"/>
              <w:snapToGrid w:val="0"/>
              <w:jc w:val="left"/>
              <w:rPr>
                <w:rFonts w:hint="default" w:ascii="Times New Roman" w:hAnsi="Times New Roman" w:eastAsia="宋体" w:cs="Times New Roman"/>
                <w:color w:val="FF0000"/>
                <w:kern w:val="2"/>
                <w:sz w:val="21"/>
                <w:szCs w:val="24"/>
                <w:lang w:val="en-US" w:eastAsia="zh-CN" w:bidi="ar-SA"/>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32"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adjustRightInd w:val="0"/>
              <w:snapToGrid w:val="0"/>
              <w:jc w:val="center"/>
              <w:rPr>
                <w:rFonts w:hint="eastAsia" w:cs="Times New Roman"/>
                <w:color w:val="auto"/>
                <w:sz w:val="21"/>
                <w:szCs w:val="24"/>
                <w:lang w:val="en-US" w:eastAsia="zh-CN"/>
              </w:rPr>
            </w:pPr>
            <w:r>
              <w:rPr>
                <w:rFonts w:hint="eastAsia" w:cs="Times New Roman"/>
                <w:color w:val="auto"/>
                <w:sz w:val="21"/>
                <w:szCs w:val="24"/>
                <w:lang w:val="en-US" w:eastAsia="zh-CN"/>
              </w:rPr>
              <w:t>喷塑废气</w:t>
            </w:r>
          </w:p>
          <w:p>
            <w:pPr>
              <w:adjustRightInd w:val="0"/>
              <w:snapToGrid w:val="0"/>
              <w:jc w:val="center"/>
              <w:rPr>
                <w:rFonts w:hint="default" w:cs="Times New Roman"/>
                <w:color w:val="auto"/>
                <w:sz w:val="21"/>
                <w:szCs w:val="24"/>
                <w:lang w:val="en-US" w:eastAsia="zh-CN"/>
              </w:rPr>
            </w:pPr>
            <w:r>
              <w:rPr>
                <w:rFonts w:hint="eastAsia" w:cs="Times New Roman"/>
                <w:color w:val="auto"/>
                <w:sz w:val="21"/>
                <w:szCs w:val="24"/>
                <w:lang w:val="en-US" w:eastAsia="zh-CN"/>
              </w:rPr>
              <w:t>DA003、DA008</w:t>
            </w:r>
          </w:p>
        </w:tc>
        <w:tc>
          <w:tcPr>
            <w:tcW w:w="1393" w:type="dxa"/>
            <w:vAlign w:val="center"/>
          </w:tcPr>
          <w:p>
            <w:pPr>
              <w:adjustRightInd w:val="0"/>
              <w:snapToGrid w:val="0"/>
              <w:jc w:val="center"/>
              <w:rPr>
                <w:rFonts w:hint="eastAsia" w:ascii="Times New Roman" w:hAnsi="Times New Roman" w:eastAsia="宋体" w:cs="Times New Roman"/>
                <w:color w:val="auto"/>
                <w:sz w:val="21"/>
                <w:szCs w:val="24"/>
                <w:vertAlign w:val="baseline"/>
                <w:lang w:val="en-US" w:eastAsia="zh-CN"/>
              </w:rPr>
            </w:pPr>
            <w:r>
              <w:rPr>
                <w:rFonts w:hint="eastAsia" w:ascii="Times New Roman" w:hAnsi="Times New Roman" w:eastAsia="宋体" w:cs="Times New Roman"/>
                <w:color w:val="auto"/>
                <w:sz w:val="21"/>
                <w:szCs w:val="24"/>
                <w:vertAlign w:val="baseline"/>
                <w:lang w:val="en-US" w:eastAsia="zh-CN"/>
              </w:rPr>
              <w:t>颗粒物</w:t>
            </w:r>
          </w:p>
          <w:p>
            <w:pPr>
              <w:adjustRightInd w:val="0"/>
              <w:snapToGrid w:val="0"/>
              <w:jc w:val="center"/>
              <w:rPr>
                <w:rFonts w:hint="default" w:ascii="Times New Roman" w:hAnsi="Times New Roman" w:eastAsia="宋体" w:cs="Times New Roman"/>
                <w:color w:val="auto"/>
                <w:sz w:val="21"/>
                <w:szCs w:val="24"/>
                <w:vertAlign w:val="baseline"/>
                <w:lang w:val="en-US" w:eastAsia="zh-CN"/>
              </w:rPr>
            </w:pPr>
            <w:r>
              <w:rPr>
                <w:rFonts w:hint="eastAsia" w:ascii="Times New Roman" w:hAnsi="Times New Roman" w:eastAsia="宋体" w:cs="Times New Roman"/>
                <w:color w:val="auto"/>
                <w:sz w:val="21"/>
                <w:szCs w:val="24"/>
                <w:vertAlign w:val="baseline"/>
                <w:lang w:val="en-US" w:eastAsia="zh-CN"/>
              </w:rPr>
              <w:t>非甲烷总烃</w:t>
            </w:r>
          </w:p>
        </w:tc>
        <w:tc>
          <w:tcPr>
            <w:tcW w:w="2582" w:type="dxa"/>
            <w:vAlign w:val="center"/>
          </w:tcPr>
          <w:p>
            <w:pPr>
              <w:adjustRightInd w:val="0"/>
              <w:snapToGrid w:val="0"/>
              <w:jc w:val="left"/>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小管外壁喷塑、大管外壁喷塑产生的粉尘及有机废气通过两套滤芯除尘+布袋除尘器+</w:t>
            </w:r>
            <w:r>
              <w:rPr>
                <w:rFonts w:hint="default" w:ascii="Times New Roman" w:hAnsi="Times New Roman" w:eastAsia="宋体" w:cs="Times New Roman"/>
                <w:color w:val="auto"/>
                <w:sz w:val="21"/>
                <w:szCs w:val="21"/>
                <w:lang w:val="en-US" w:eastAsia="zh-CN"/>
              </w:rPr>
              <w:t>两级活性炭吸附装置处理，尾气通过</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根15m高的排气筒（DA00</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val="en-US" w:eastAsia="zh-CN"/>
              </w:rPr>
              <w:t>DA00</w:t>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color w:val="auto"/>
                <w:sz w:val="21"/>
                <w:szCs w:val="21"/>
                <w:lang w:val="en-US" w:eastAsia="zh-CN"/>
              </w:rPr>
              <w:t>）排放。</w:t>
            </w:r>
          </w:p>
          <w:p>
            <w:pPr>
              <w:adjustRightInd w:val="0"/>
              <w:snapToGrid w:val="0"/>
              <w:jc w:val="left"/>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大管及小管内喷粉产生的粉尘及有机废气通过移动式旋风除尘+布袋除尘器+</w:t>
            </w:r>
            <w:r>
              <w:rPr>
                <w:rFonts w:hint="default" w:ascii="Times New Roman" w:hAnsi="Times New Roman" w:eastAsia="宋体" w:cs="Times New Roman"/>
                <w:color w:val="auto"/>
                <w:sz w:val="21"/>
                <w:szCs w:val="21"/>
                <w:lang w:val="en-US" w:eastAsia="zh-CN"/>
              </w:rPr>
              <w:t>两级活性炭吸附装置</w:t>
            </w:r>
            <w:r>
              <w:rPr>
                <w:rFonts w:hint="eastAsia" w:ascii="Times New Roman" w:hAnsi="Times New Roman" w:eastAsia="宋体" w:cs="Times New Roman"/>
                <w:color w:val="auto"/>
                <w:sz w:val="21"/>
                <w:szCs w:val="21"/>
                <w:lang w:val="en-US" w:eastAsia="zh-CN"/>
              </w:rPr>
              <w:t>处理，尾气车间内无组织排放。</w:t>
            </w:r>
          </w:p>
        </w:tc>
        <w:tc>
          <w:tcPr>
            <w:tcW w:w="2215" w:type="dxa"/>
            <w:vMerge w:val="continue"/>
            <w:vAlign w:val="center"/>
          </w:tcPr>
          <w:p>
            <w:pPr>
              <w:adjustRightInd w:val="0"/>
              <w:snapToGrid w:val="0"/>
              <w:jc w:val="left"/>
              <w:rPr>
                <w:rFonts w:hint="default" w:ascii="Times New Roman" w:hAnsi="Times New Roman" w:eastAsia="宋体" w:cs="Times New Roman"/>
                <w:color w:val="auto"/>
                <w:sz w:val="21"/>
                <w:szCs w:val="21"/>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16" w:hRule="atLeast"/>
          <w:jc w:val="center"/>
        </w:trPr>
        <w:tc>
          <w:tcPr>
            <w:tcW w:w="1030"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地表水环境</w:t>
            </w:r>
          </w:p>
        </w:tc>
        <w:tc>
          <w:tcPr>
            <w:tcW w:w="1580" w:type="dxa"/>
            <w:vAlign w:val="center"/>
          </w:tcPr>
          <w:p>
            <w:pPr>
              <w:adjustRightInd w:val="0"/>
              <w:snapToGrid w:val="0"/>
              <w:jc w:val="center"/>
              <w:rPr>
                <w:rFonts w:hint="default" w:ascii="Times New Roman" w:hAnsi="Times New Roman" w:cs="Times New Roman"/>
                <w:color w:val="auto"/>
                <w:sz w:val="21"/>
                <w:szCs w:val="24"/>
              </w:rPr>
            </w:pPr>
            <w:r>
              <w:rPr>
                <w:rFonts w:hint="default" w:ascii="Times New Roman" w:hAnsi="Times New Roman" w:cs="Times New Roman"/>
                <w:color w:val="auto"/>
                <w:sz w:val="21"/>
                <w:szCs w:val="24"/>
              </w:rPr>
              <w:t>生活污水</w:t>
            </w:r>
          </w:p>
          <w:p>
            <w:pPr>
              <w:adjustRightInd w:val="0"/>
              <w:snapToGrid w:val="0"/>
              <w:jc w:val="center"/>
              <w:rPr>
                <w:rFonts w:hint="default" w:ascii="Times New Roman" w:hAnsi="Times New Roman" w:cs="Times New Roman"/>
                <w:color w:val="auto"/>
                <w:sz w:val="21"/>
                <w:szCs w:val="24"/>
              </w:rPr>
            </w:pPr>
            <w:r>
              <w:rPr>
                <w:rFonts w:hint="default" w:ascii="Times New Roman" w:hAnsi="Times New Roman" w:cs="Times New Roman"/>
                <w:color w:val="auto"/>
                <w:sz w:val="21"/>
                <w:szCs w:val="24"/>
              </w:rPr>
              <w:t>DW001</w:t>
            </w:r>
          </w:p>
        </w:tc>
        <w:tc>
          <w:tcPr>
            <w:tcW w:w="1393" w:type="dxa"/>
            <w:vAlign w:val="center"/>
          </w:tcPr>
          <w:p>
            <w:pPr>
              <w:adjustRightInd w:val="0"/>
              <w:snapToGrid w:val="0"/>
              <w:spacing w:line="240" w:lineRule="atLeast"/>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COD</w:t>
            </w:r>
            <w:r>
              <w:rPr>
                <w:rFonts w:hint="default" w:ascii="Times New Roman" w:hAnsi="Times New Roman" w:cs="Times New Roman"/>
                <w:color w:val="auto"/>
                <w:sz w:val="21"/>
                <w:szCs w:val="21"/>
                <w:vertAlign w:val="subscript"/>
              </w:rPr>
              <w:t>Cr</w:t>
            </w:r>
          </w:p>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氨氮</w:t>
            </w:r>
          </w:p>
        </w:tc>
        <w:tc>
          <w:tcPr>
            <w:tcW w:w="2582" w:type="dxa"/>
            <w:vAlign w:val="center"/>
          </w:tcPr>
          <w:p>
            <w:pPr>
              <w:adjustRightInd w:val="0"/>
              <w:spacing w:line="240" w:lineRule="atLeast"/>
              <w:jc w:val="left"/>
              <w:textAlignment w:val="baseline"/>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生活污水经化粪池预处理后纳入市政污水管网</w:t>
            </w:r>
            <w:r>
              <w:rPr>
                <w:rFonts w:hint="default" w:ascii="Times New Roman" w:hAnsi="Times New Roman" w:eastAsia="宋体" w:cs="Times New Roman"/>
                <w:color w:val="auto"/>
                <w:sz w:val="21"/>
                <w:szCs w:val="21"/>
                <w:lang w:eastAsia="zh-CN"/>
              </w:rPr>
              <w:t>。</w:t>
            </w:r>
          </w:p>
        </w:tc>
        <w:tc>
          <w:tcPr>
            <w:tcW w:w="221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达到《污水综合排放标准》（GB8978-1996）中三级标准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97" w:hRule="atLeast"/>
          <w:jc w:val="center"/>
        </w:trPr>
        <w:tc>
          <w:tcPr>
            <w:tcW w:w="1030"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声环境</w:t>
            </w:r>
          </w:p>
        </w:tc>
        <w:tc>
          <w:tcPr>
            <w:tcW w:w="158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设备运行</w:t>
            </w:r>
          </w:p>
        </w:tc>
        <w:tc>
          <w:tcPr>
            <w:tcW w:w="13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L</w:t>
            </w:r>
            <w:r>
              <w:rPr>
                <w:rFonts w:hint="default" w:ascii="Times New Roman" w:hAnsi="Times New Roman" w:cs="Times New Roman"/>
                <w:color w:val="auto"/>
                <w:sz w:val="21"/>
                <w:szCs w:val="21"/>
                <w:vertAlign w:val="subscript"/>
              </w:rPr>
              <w:t>Aeq</w:t>
            </w:r>
          </w:p>
        </w:tc>
        <w:tc>
          <w:tcPr>
            <w:tcW w:w="2582" w:type="dxa"/>
            <w:vAlign w:val="center"/>
          </w:tcPr>
          <w:p>
            <w:pPr>
              <w:adjustRightInd w:val="0"/>
              <w:snapToGrid w:val="0"/>
              <w:jc w:val="left"/>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①合理布局，优化布置设备设施；②合理设计建筑物、构筑以及绿化，以阻隔噪声的传播和干扰；③平时加强管理和设备维护保物养；加强工人的操作管理，减少或降低人为噪声的产生。</w:t>
            </w:r>
          </w:p>
        </w:tc>
        <w:tc>
          <w:tcPr>
            <w:tcW w:w="2215" w:type="dxa"/>
            <w:vAlign w:val="center"/>
          </w:tcPr>
          <w:p>
            <w:pPr>
              <w:adjustRightInd w:val="0"/>
              <w:snapToGrid w:val="0"/>
              <w:jc w:val="left"/>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厂界四周达到《企业厂界环境噪声排放标准》（GB12348-2008）3类标准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0" w:hRule="atLeast"/>
          <w:jc w:val="center"/>
        </w:trPr>
        <w:tc>
          <w:tcPr>
            <w:tcW w:w="1030"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电磁辐射</w:t>
            </w:r>
          </w:p>
        </w:tc>
        <w:tc>
          <w:tcPr>
            <w:tcW w:w="1580"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无</w:t>
            </w:r>
          </w:p>
        </w:tc>
        <w:tc>
          <w:tcPr>
            <w:tcW w:w="1393"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2582"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c>
          <w:tcPr>
            <w:tcW w:w="2215" w:type="dxa"/>
            <w:vAlign w:val="center"/>
          </w:tcPr>
          <w:p>
            <w:pPr>
              <w:adjustRightInd w:val="0"/>
              <w:snapToGrid w:val="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restart"/>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固体废物</w:t>
            </w:r>
          </w:p>
        </w:tc>
        <w:tc>
          <w:tcPr>
            <w:tcW w:w="1580" w:type="dxa"/>
            <w:vAlign w:val="center"/>
          </w:tcPr>
          <w:p>
            <w:pPr>
              <w:topLinePunct/>
              <w:adjustRightInd w:val="0"/>
              <w:snapToGrid w:val="0"/>
              <w:jc w:val="center"/>
              <w:outlineLvl w:val="2"/>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生活垃圾</w:t>
            </w:r>
          </w:p>
        </w:tc>
        <w:tc>
          <w:tcPr>
            <w:tcW w:w="3975" w:type="dxa"/>
            <w:gridSpan w:val="2"/>
            <w:vAlign w:val="center"/>
          </w:tcPr>
          <w:p>
            <w:pPr>
              <w:topLinePunct/>
              <w:adjustRightInd w:val="0"/>
              <w:snapToGrid w:val="0"/>
              <w:jc w:val="center"/>
              <w:outlineLvl w:val="2"/>
              <w:rPr>
                <w:rFonts w:hint="default" w:ascii="Times New Roman" w:hAnsi="Times New Roman" w:cs="Times New Roman"/>
                <w:color w:val="auto"/>
                <w:sz w:val="21"/>
                <w:szCs w:val="21"/>
              </w:rPr>
            </w:pPr>
            <w:r>
              <w:rPr>
                <w:rFonts w:hint="default" w:ascii="Times New Roman" w:hAnsi="Times New Roman" w:cs="Times New Roman"/>
                <w:bCs/>
                <w:color w:val="auto"/>
                <w:sz w:val="21"/>
                <w:szCs w:val="21"/>
              </w:rPr>
              <w:t>由环卫部门统一清运</w:t>
            </w:r>
          </w:p>
        </w:tc>
        <w:tc>
          <w:tcPr>
            <w:tcW w:w="2215" w:type="dxa"/>
            <w:vMerge w:val="restart"/>
            <w:vAlign w:val="center"/>
          </w:tcPr>
          <w:p>
            <w:pPr>
              <w:topLinePunct/>
              <w:adjustRightInd w:val="0"/>
              <w:snapToGrid w:val="0"/>
              <w:jc w:val="left"/>
              <w:outlineLvl w:val="2"/>
              <w:rPr>
                <w:rFonts w:hint="default" w:ascii="Times New Roman" w:hAnsi="Times New Roman" w:cs="Times New Roman"/>
                <w:color w:val="auto"/>
                <w:sz w:val="21"/>
                <w:szCs w:val="21"/>
              </w:rPr>
            </w:pPr>
            <w:r>
              <w:rPr>
                <w:rFonts w:hint="default" w:ascii="Times New Roman" w:hAnsi="Times New Roman" w:cs="Times New Roman"/>
                <w:color w:val="auto"/>
                <w:sz w:val="21"/>
                <w:szCs w:val="21"/>
                <w:shd w:val="clear" w:color="auto" w:fill="FFFFFF"/>
              </w:rPr>
              <w:t>达到</w:t>
            </w:r>
            <w:r>
              <w:rPr>
                <w:rFonts w:hint="default" w:ascii="Times New Roman" w:hAnsi="Times New Roman" w:cs="Times New Roman"/>
                <w:color w:val="auto"/>
                <w:sz w:val="21"/>
                <w:szCs w:val="21"/>
              </w:rPr>
              <w:t>GB18599-2020《一般工业固体废物贮存和填埋污染控制标准》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sz w:val="21"/>
                <w:szCs w:val="21"/>
                <w:lang w:val="en-US" w:eastAsia="zh-CN"/>
              </w:rPr>
              <w:t>废滤芯及废布袋</w:t>
            </w:r>
          </w:p>
        </w:tc>
        <w:tc>
          <w:tcPr>
            <w:tcW w:w="3975" w:type="dxa"/>
            <w:gridSpan w:val="2"/>
            <w:vAlign w:val="center"/>
          </w:tcPr>
          <w:p>
            <w:pPr>
              <w:tabs>
                <w:tab w:val="left" w:pos="677"/>
              </w:tabs>
              <w:jc w:val="center"/>
              <w:rPr>
                <w:rFonts w:hint="default" w:ascii="Times New Roman" w:hAnsi="Times New Roman" w:eastAsia="宋体" w:cs="Times New Roman"/>
                <w:bCs/>
                <w:color w:val="auto"/>
                <w:sz w:val="21"/>
                <w:szCs w:val="21"/>
                <w:lang w:val="en-US" w:eastAsia="zh-CN"/>
              </w:rPr>
            </w:pPr>
            <w:r>
              <w:rPr>
                <w:rFonts w:hint="default" w:ascii="Times New Roman" w:hAnsi="Times New Roman" w:eastAsia="宋体" w:cs="Times New Roman"/>
                <w:color w:val="auto"/>
                <w:sz w:val="21"/>
                <w:szCs w:val="21"/>
                <w:lang w:val="en-US" w:eastAsia="zh-CN"/>
              </w:rPr>
              <w:t>供应商回收</w:t>
            </w:r>
          </w:p>
        </w:tc>
        <w:tc>
          <w:tcPr>
            <w:tcW w:w="2215" w:type="dxa"/>
            <w:vMerge w:val="continue"/>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rPr>
              <w:t>收集的塑粉</w:t>
            </w:r>
          </w:p>
        </w:tc>
        <w:tc>
          <w:tcPr>
            <w:tcW w:w="3975" w:type="dxa"/>
            <w:gridSpan w:val="2"/>
            <w:vAlign w:val="center"/>
          </w:tcPr>
          <w:p>
            <w:pPr>
              <w:jc w:val="center"/>
              <w:rPr>
                <w:rFonts w:hint="default" w:ascii="Times New Roman" w:hAnsi="Times New Roman" w:cs="Times New Roman"/>
                <w:color w:val="auto"/>
                <w:sz w:val="21"/>
                <w:szCs w:val="21"/>
                <w:lang w:val="en-US" w:eastAsia="zh-CN"/>
              </w:rPr>
            </w:pPr>
            <w:r>
              <w:rPr>
                <w:rFonts w:hint="eastAsia" w:cs="Times New Roman"/>
                <w:bCs/>
                <w:color w:val="auto"/>
                <w:sz w:val="21"/>
                <w:szCs w:val="21"/>
                <w:highlight w:val="none"/>
                <w:lang w:val="en-US" w:eastAsia="zh-CN"/>
              </w:rPr>
              <w:t>回用于生产</w:t>
            </w:r>
          </w:p>
        </w:tc>
        <w:tc>
          <w:tcPr>
            <w:tcW w:w="2215" w:type="dxa"/>
            <w:vMerge w:val="continue"/>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tabs>
                <w:tab w:val="left" w:pos="677"/>
              </w:tabs>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废塑粉</w:t>
            </w:r>
          </w:p>
        </w:tc>
        <w:tc>
          <w:tcPr>
            <w:tcW w:w="3975" w:type="dxa"/>
            <w:gridSpan w:val="2"/>
            <w:vAlign w:val="center"/>
          </w:tcPr>
          <w:p>
            <w:pPr>
              <w:tabs>
                <w:tab w:val="left" w:pos="677"/>
              </w:tabs>
              <w:jc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供应商回收</w:t>
            </w:r>
          </w:p>
        </w:tc>
        <w:tc>
          <w:tcPr>
            <w:tcW w:w="2215" w:type="dxa"/>
            <w:vMerge w:val="continue"/>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bCs/>
                <w:color w:val="auto"/>
                <w:sz w:val="21"/>
                <w:szCs w:val="21"/>
                <w:lang w:val="en-US" w:eastAsia="zh-CN"/>
              </w:rPr>
              <w:t>废金刚砂</w:t>
            </w:r>
          </w:p>
        </w:tc>
        <w:tc>
          <w:tcPr>
            <w:tcW w:w="3975" w:type="dxa"/>
            <w:gridSpan w:val="2"/>
            <w:vMerge w:val="restart"/>
            <w:vAlign w:val="center"/>
          </w:tcPr>
          <w:p>
            <w:pPr>
              <w:topLinePunct/>
              <w:adjustRightInd w:val="0"/>
              <w:snapToGrid w:val="0"/>
              <w:jc w:val="center"/>
              <w:outlineLvl w:val="2"/>
              <w:rPr>
                <w:rFonts w:hint="default" w:ascii="Times New Roman" w:hAnsi="Times New Roman" w:cs="Times New Roman"/>
                <w:color w:val="auto"/>
                <w:sz w:val="21"/>
                <w:szCs w:val="21"/>
                <w:lang w:val="en-US" w:eastAsia="zh-CN"/>
              </w:rPr>
            </w:pPr>
            <w:r>
              <w:rPr>
                <w:rFonts w:hint="eastAsia" w:ascii="Times New Roman" w:hAnsi="Times New Roman" w:eastAsia="宋体" w:cs="Times New Roman"/>
                <w:color w:val="auto"/>
                <w:sz w:val="21"/>
                <w:szCs w:val="21"/>
              </w:rPr>
              <w:t>出售给废旧物资回收公司</w:t>
            </w:r>
          </w:p>
        </w:tc>
        <w:tc>
          <w:tcPr>
            <w:tcW w:w="2215" w:type="dxa"/>
            <w:vMerge w:val="continue"/>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snapToGrid w:val="0"/>
              <w:jc w:val="center"/>
              <w:rPr>
                <w:rFonts w:hint="default"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一般废弃包装材料</w:t>
            </w:r>
          </w:p>
        </w:tc>
        <w:tc>
          <w:tcPr>
            <w:tcW w:w="3975" w:type="dxa"/>
            <w:gridSpan w:val="2"/>
            <w:vMerge w:val="continue"/>
            <w:vAlign w:val="center"/>
          </w:tcPr>
          <w:p>
            <w:pPr>
              <w:topLinePunct/>
              <w:adjustRightInd w:val="0"/>
              <w:snapToGrid w:val="0"/>
              <w:jc w:val="center"/>
              <w:outlineLvl w:val="2"/>
              <w:rPr>
                <w:rFonts w:hint="default" w:ascii="Times New Roman" w:hAnsi="Times New Roman" w:cs="Times New Roman"/>
                <w:color w:val="auto"/>
                <w:sz w:val="21"/>
                <w:szCs w:val="21"/>
                <w:lang w:val="en-US" w:eastAsia="zh-CN"/>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收集的金属粉尘</w:t>
            </w:r>
          </w:p>
        </w:tc>
        <w:tc>
          <w:tcPr>
            <w:tcW w:w="3975" w:type="dxa"/>
            <w:gridSpan w:val="2"/>
            <w:vMerge w:val="continue"/>
            <w:vAlign w:val="center"/>
          </w:tcPr>
          <w:p>
            <w:pPr>
              <w:topLinePunct/>
              <w:adjustRightInd w:val="0"/>
              <w:snapToGrid w:val="0"/>
              <w:jc w:val="center"/>
              <w:outlineLvl w:val="2"/>
              <w:rPr>
                <w:rFonts w:hint="eastAsia" w:ascii="Times New Roman" w:hAnsi="Times New Roman" w:eastAsia="宋体" w:cs="Times New Roman"/>
                <w:color w:val="auto"/>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snapToGrid w:val="0"/>
              <w:jc w:val="center"/>
              <w:rPr>
                <w:rFonts w:hint="eastAsia" w:ascii="Times New Roman" w:hAnsi="Times New Roman" w:eastAsia="宋体" w:cs="Times New Roman"/>
                <w:bCs/>
                <w:color w:val="auto"/>
                <w:kern w:val="2"/>
                <w:sz w:val="21"/>
                <w:szCs w:val="21"/>
                <w:lang w:val="en-US" w:eastAsia="zh-CN" w:bidi="ar-SA"/>
              </w:rPr>
            </w:pPr>
            <w:r>
              <w:rPr>
                <w:rFonts w:hint="eastAsia"/>
                <w:color w:val="auto"/>
                <w:sz w:val="21"/>
                <w:szCs w:val="21"/>
                <w:lang w:val="en-US" w:eastAsia="zh-CN"/>
              </w:rPr>
              <w:t>废催化块</w:t>
            </w:r>
          </w:p>
        </w:tc>
        <w:tc>
          <w:tcPr>
            <w:tcW w:w="3975" w:type="dxa"/>
            <w:gridSpan w:val="2"/>
            <w:vAlign w:val="center"/>
          </w:tcPr>
          <w:p>
            <w:pPr>
              <w:topLinePunct/>
              <w:adjustRightInd w:val="0"/>
              <w:snapToGrid w:val="0"/>
              <w:jc w:val="center"/>
              <w:outlineLvl w:val="2"/>
              <w:rPr>
                <w:rFonts w:hint="eastAsia"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供应商回收</w:t>
            </w:r>
          </w:p>
        </w:tc>
        <w:tc>
          <w:tcPr>
            <w:tcW w:w="2215" w:type="dxa"/>
            <w:vMerge w:val="continue"/>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auto"/>
                <w:sz w:val="21"/>
                <w:szCs w:val="21"/>
              </w:rPr>
            </w:pPr>
          </w:p>
        </w:tc>
        <w:tc>
          <w:tcPr>
            <w:tcW w:w="15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漆渣</w:t>
            </w:r>
          </w:p>
        </w:tc>
        <w:tc>
          <w:tcPr>
            <w:tcW w:w="3975" w:type="dxa"/>
            <w:gridSpan w:val="2"/>
            <w:vMerge w:val="restart"/>
            <w:vAlign w:val="center"/>
          </w:tcPr>
          <w:p>
            <w:pPr>
              <w:topLinePunct/>
              <w:adjustRightInd w:val="0"/>
              <w:snapToGrid w:val="0"/>
              <w:jc w:val="center"/>
              <w:outlineLvl w:val="2"/>
              <w:rPr>
                <w:rFonts w:hint="eastAsia"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委托资质单位进行处置</w:t>
            </w:r>
          </w:p>
        </w:tc>
        <w:tc>
          <w:tcPr>
            <w:tcW w:w="2215" w:type="dxa"/>
            <w:vMerge w:val="restart"/>
            <w:vAlign w:val="center"/>
          </w:tcPr>
          <w:p>
            <w:pPr>
              <w:topLinePunct/>
              <w:adjustRightInd w:val="0"/>
              <w:snapToGrid w:val="0"/>
              <w:jc w:val="left"/>
              <w:outlineLvl w:val="2"/>
              <w:rPr>
                <w:rFonts w:hint="default" w:ascii="Times New Roman" w:hAnsi="Times New Roman" w:cs="Times New Roman"/>
                <w:color w:val="auto"/>
                <w:sz w:val="21"/>
                <w:szCs w:val="21"/>
                <w:shd w:val="clear" w:color="auto" w:fill="FFFFFF"/>
              </w:rPr>
            </w:pPr>
            <w:r>
              <w:rPr>
                <w:rFonts w:hint="default" w:ascii="Times New Roman" w:hAnsi="Times New Roman" w:cs="Times New Roman"/>
                <w:color w:val="auto"/>
                <w:sz w:val="21"/>
                <w:szCs w:val="21"/>
                <w:shd w:val="clear" w:color="auto" w:fill="FFFFFF"/>
              </w:rPr>
              <w:t>达到GB18597-2023《危险废物贮存污染控制标准》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废活性炭</w:t>
            </w:r>
          </w:p>
        </w:tc>
        <w:tc>
          <w:tcPr>
            <w:tcW w:w="3975" w:type="dxa"/>
            <w:gridSpan w:val="2"/>
            <w:vMerge w:val="continue"/>
            <w:vAlign w:val="center"/>
          </w:tcPr>
          <w:p>
            <w:pPr>
              <w:topLinePunct/>
              <w:adjustRightInd w:val="0"/>
              <w:snapToGrid w:val="0"/>
              <w:jc w:val="center"/>
              <w:outlineLvl w:val="2"/>
              <w:rPr>
                <w:rFonts w:hint="eastAsia" w:ascii="Times New Roman" w:hAnsi="Times New Roman" w:eastAsia="宋体"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废过滤棉</w:t>
            </w:r>
          </w:p>
        </w:tc>
        <w:tc>
          <w:tcPr>
            <w:tcW w:w="3975" w:type="dxa"/>
            <w:gridSpan w:val="2"/>
            <w:vMerge w:val="continue"/>
            <w:vAlign w:val="center"/>
          </w:tcPr>
          <w:p>
            <w:pPr>
              <w:topLinePunct/>
              <w:adjustRightInd w:val="0"/>
              <w:snapToGrid w:val="0"/>
              <w:jc w:val="center"/>
              <w:outlineLvl w:val="2"/>
              <w:rPr>
                <w:rFonts w:hint="eastAsia" w:ascii="Times New Roman" w:hAnsi="Times New Roman" w:eastAsia="宋体"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snapToGrid w:val="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水喷淋废液</w:t>
            </w:r>
          </w:p>
        </w:tc>
        <w:tc>
          <w:tcPr>
            <w:tcW w:w="3975" w:type="dxa"/>
            <w:gridSpan w:val="2"/>
            <w:vMerge w:val="continue"/>
            <w:vAlign w:val="center"/>
          </w:tcPr>
          <w:p>
            <w:pPr>
              <w:topLinePunct/>
              <w:adjustRightInd w:val="0"/>
              <w:snapToGrid w:val="0"/>
              <w:jc w:val="center"/>
              <w:outlineLvl w:val="2"/>
              <w:rPr>
                <w:rFonts w:hint="eastAsia" w:ascii="Times New Roman" w:hAnsi="Times New Roman" w:eastAsia="宋体"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bCs/>
                <w:color w:val="auto"/>
                <w:sz w:val="21"/>
                <w:szCs w:val="21"/>
                <w:lang w:val="en-US" w:eastAsia="zh-CN"/>
              </w:rPr>
              <w:t>废油漆桶</w:t>
            </w:r>
          </w:p>
        </w:tc>
        <w:tc>
          <w:tcPr>
            <w:tcW w:w="3975" w:type="dxa"/>
            <w:gridSpan w:val="2"/>
            <w:vMerge w:val="continue"/>
            <w:vAlign w:val="center"/>
          </w:tcPr>
          <w:p>
            <w:pPr>
              <w:topLinePunct/>
              <w:adjustRightInd w:val="0"/>
              <w:snapToGrid w:val="0"/>
              <w:jc w:val="center"/>
              <w:outlineLvl w:val="2"/>
              <w:rPr>
                <w:rFonts w:hint="eastAsia" w:ascii="Times New Roman" w:hAnsi="Times New Roman" w:eastAsia="宋体"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cs="Times New Roman"/>
                <w:bCs/>
                <w:color w:val="auto"/>
                <w:sz w:val="21"/>
                <w:szCs w:val="21"/>
                <w:lang w:val="en-US" w:eastAsia="zh-CN"/>
              </w:rPr>
              <w:t>废毛刷</w:t>
            </w:r>
          </w:p>
        </w:tc>
        <w:tc>
          <w:tcPr>
            <w:tcW w:w="3975" w:type="dxa"/>
            <w:gridSpan w:val="2"/>
            <w:vMerge w:val="continue"/>
            <w:vAlign w:val="center"/>
          </w:tcPr>
          <w:p>
            <w:pPr>
              <w:topLinePunct/>
              <w:adjustRightInd w:val="0"/>
              <w:snapToGrid w:val="0"/>
              <w:jc w:val="center"/>
              <w:outlineLvl w:val="2"/>
              <w:rPr>
                <w:rFonts w:hint="eastAsia" w:ascii="Times New Roman" w:hAnsi="Times New Roman" w:eastAsia="宋体"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tabs>
                <w:tab w:val="left" w:pos="677"/>
              </w:tabs>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喷枪清洗废液</w:t>
            </w:r>
          </w:p>
        </w:tc>
        <w:tc>
          <w:tcPr>
            <w:tcW w:w="3975" w:type="dxa"/>
            <w:gridSpan w:val="2"/>
            <w:vMerge w:val="continue"/>
            <w:vAlign w:val="center"/>
          </w:tcPr>
          <w:p>
            <w:pPr>
              <w:topLinePunct/>
              <w:adjustRightInd w:val="0"/>
              <w:snapToGrid w:val="0"/>
              <w:jc w:val="center"/>
              <w:outlineLvl w:val="2"/>
              <w:rPr>
                <w:rFonts w:hint="eastAsia" w:ascii="Times New Roman" w:hAnsi="Times New Roman" w:eastAsia="宋体"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snapToGrid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废活性炭</w:t>
            </w:r>
          </w:p>
        </w:tc>
        <w:tc>
          <w:tcPr>
            <w:tcW w:w="3975" w:type="dxa"/>
            <w:gridSpan w:val="2"/>
            <w:vMerge w:val="continue"/>
            <w:vAlign w:val="center"/>
          </w:tcPr>
          <w:p>
            <w:pPr>
              <w:topLinePunct/>
              <w:adjustRightInd w:val="0"/>
              <w:snapToGrid w:val="0"/>
              <w:jc w:val="center"/>
              <w:outlineLvl w:val="2"/>
              <w:rPr>
                <w:rFonts w:hint="default" w:ascii="Times New Roman" w:hAnsi="Times New Roman"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snapToGrid w:val="0"/>
              <w:jc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废过滤棉</w:t>
            </w:r>
          </w:p>
        </w:tc>
        <w:tc>
          <w:tcPr>
            <w:tcW w:w="3975" w:type="dxa"/>
            <w:gridSpan w:val="2"/>
            <w:vMerge w:val="continue"/>
            <w:vAlign w:val="center"/>
          </w:tcPr>
          <w:p>
            <w:pPr>
              <w:topLinePunct/>
              <w:adjustRightInd w:val="0"/>
              <w:snapToGrid w:val="0"/>
              <w:jc w:val="center"/>
              <w:outlineLvl w:val="2"/>
              <w:rPr>
                <w:rFonts w:hint="default" w:ascii="Times New Roman" w:hAnsi="Times New Roman" w:cs="Times New Roman"/>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30" w:type="dxa"/>
            <w:vMerge w:val="continue"/>
            <w:vAlign w:val="center"/>
          </w:tcPr>
          <w:p>
            <w:pPr>
              <w:adjustRightInd w:val="0"/>
              <w:snapToGrid w:val="0"/>
              <w:jc w:val="center"/>
              <w:rPr>
                <w:rFonts w:hint="default" w:ascii="Times New Roman" w:hAnsi="Times New Roman" w:cs="Times New Roman"/>
                <w:b/>
                <w:bCs/>
                <w:color w:val="FF0000"/>
                <w:sz w:val="21"/>
                <w:szCs w:val="21"/>
              </w:rPr>
            </w:pPr>
          </w:p>
        </w:tc>
        <w:tc>
          <w:tcPr>
            <w:tcW w:w="1580" w:type="dxa"/>
            <w:vAlign w:val="center"/>
          </w:tcPr>
          <w:p>
            <w:pPr>
              <w:snapToGrid w:val="0"/>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水喷淋废液</w:t>
            </w:r>
          </w:p>
        </w:tc>
        <w:tc>
          <w:tcPr>
            <w:tcW w:w="3975" w:type="dxa"/>
            <w:gridSpan w:val="2"/>
            <w:vMerge w:val="continue"/>
            <w:vAlign w:val="center"/>
          </w:tcPr>
          <w:p>
            <w:pPr>
              <w:topLinePunct/>
              <w:adjustRightInd w:val="0"/>
              <w:snapToGrid w:val="0"/>
              <w:jc w:val="center"/>
              <w:outlineLvl w:val="2"/>
              <w:rPr>
                <w:rFonts w:hint="default" w:ascii="Times New Roman" w:hAnsi="Times New Roman" w:cs="Times New Roman"/>
                <w:bCs/>
                <w:color w:val="FF0000"/>
                <w:sz w:val="21"/>
                <w:szCs w:val="21"/>
              </w:rPr>
            </w:pPr>
          </w:p>
        </w:tc>
        <w:tc>
          <w:tcPr>
            <w:tcW w:w="2215" w:type="dxa"/>
            <w:vMerge w:val="continue"/>
            <w:vAlign w:val="center"/>
          </w:tcPr>
          <w:p>
            <w:pPr>
              <w:topLinePunct/>
              <w:adjustRightInd w:val="0"/>
              <w:snapToGrid w:val="0"/>
              <w:jc w:val="left"/>
              <w:outlineLvl w:val="2"/>
              <w:rPr>
                <w:rFonts w:hint="default" w:ascii="Times New Roman" w:hAnsi="Times New Roman" w:cs="Times New Roman"/>
                <w:color w:val="FF0000"/>
                <w:sz w:val="21"/>
                <w:szCs w:val="21"/>
                <w:shd w:val="clear" w:color="auto" w:fill="FFFFFF"/>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96" w:hRule="atLeast"/>
          <w:jc w:val="center"/>
        </w:trPr>
        <w:tc>
          <w:tcPr>
            <w:tcW w:w="1030"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土壤及地下水</w:t>
            </w:r>
          </w:p>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污染防治措施</w:t>
            </w:r>
          </w:p>
        </w:tc>
        <w:tc>
          <w:tcPr>
            <w:tcW w:w="7770" w:type="dxa"/>
            <w:gridSpan w:val="4"/>
            <w:vAlign w:val="center"/>
          </w:tcPr>
          <w:p>
            <w:pPr>
              <w:adjustRightInd w:val="0"/>
              <w:snapToGrid w:val="0"/>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危废妥善贮存，从源头控制泄露事件的发生，厂区内除绿化用地外，均进行地面硬化，危废仓库等重点防渗区域均做好相应的防腐防渗措施，并设置各单元内的截留沟和应急池等措施，即使发生泄露情况，风险物质仍不会影响区域地下水、土壤，因此本项目不存在地下水、土壤环境污染途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94" w:hRule="atLeast"/>
          <w:jc w:val="center"/>
        </w:trPr>
        <w:tc>
          <w:tcPr>
            <w:tcW w:w="1030" w:type="dxa"/>
            <w:vAlign w:val="center"/>
          </w:tcPr>
          <w:p>
            <w:pPr>
              <w:adjustRightInd w:val="0"/>
              <w:snapToGrid w:val="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生态保护措施</w:t>
            </w:r>
          </w:p>
        </w:tc>
        <w:tc>
          <w:tcPr>
            <w:tcW w:w="7770" w:type="dxa"/>
            <w:gridSpan w:val="4"/>
            <w:vAlign w:val="center"/>
          </w:tcPr>
          <w:p>
            <w:pPr>
              <w:adjustRightInd w:val="0"/>
              <w:snapToGri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30" w:hRule="atLeast"/>
          <w:jc w:val="center"/>
        </w:trPr>
        <w:tc>
          <w:tcPr>
            <w:tcW w:w="1030" w:type="dxa"/>
            <w:vAlign w:val="center"/>
          </w:tcPr>
          <w:p>
            <w:pPr>
              <w:adjustRightInd w:val="0"/>
              <w:snapToGrid w:val="0"/>
              <w:jc w:val="center"/>
              <w:rPr>
                <w:rFonts w:hint="default" w:ascii="Times New Roman" w:hAnsi="Times New Roman" w:cs="Times New Roman"/>
                <w:b/>
                <w:bCs/>
                <w:color w:val="auto"/>
                <w:spacing w:val="-8"/>
                <w:sz w:val="21"/>
                <w:szCs w:val="21"/>
              </w:rPr>
            </w:pPr>
            <w:r>
              <w:rPr>
                <w:rFonts w:hint="default" w:ascii="Times New Roman" w:hAnsi="Times New Roman" w:cs="Times New Roman"/>
                <w:b/>
                <w:bCs/>
                <w:color w:val="auto"/>
                <w:spacing w:val="-8"/>
                <w:sz w:val="21"/>
                <w:szCs w:val="21"/>
              </w:rPr>
              <w:t>环境风险</w:t>
            </w:r>
          </w:p>
          <w:p>
            <w:pPr>
              <w:adjustRightInd w:val="0"/>
              <w:snapToGrid w:val="0"/>
              <w:jc w:val="center"/>
              <w:rPr>
                <w:rFonts w:hint="default" w:ascii="Times New Roman" w:hAnsi="Times New Roman" w:cs="Times New Roman"/>
                <w:b/>
                <w:bCs/>
                <w:color w:val="auto"/>
                <w:spacing w:val="-8"/>
                <w:sz w:val="21"/>
                <w:szCs w:val="21"/>
              </w:rPr>
            </w:pPr>
            <w:r>
              <w:rPr>
                <w:rFonts w:hint="default" w:ascii="Times New Roman" w:hAnsi="Times New Roman" w:cs="Times New Roman"/>
                <w:b/>
                <w:bCs/>
                <w:color w:val="auto"/>
                <w:spacing w:val="-8"/>
                <w:sz w:val="21"/>
                <w:szCs w:val="21"/>
              </w:rPr>
              <w:t>防范措施</w:t>
            </w:r>
          </w:p>
        </w:tc>
        <w:tc>
          <w:tcPr>
            <w:tcW w:w="7770" w:type="dxa"/>
            <w:gridSpan w:val="4"/>
            <w:vAlign w:val="center"/>
          </w:tcPr>
          <w:p>
            <w:pPr>
              <w:adjustRightInd w:val="0"/>
              <w:snapToGrid w:val="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zh-CN"/>
              </w:rPr>
              <w:t>企业要从建设、生产、污染防治等多方面积极采取防护措施，加强风险管理，通过相应的技术手段降低风险发生概率，并在风险事故发生后，及时采取风险防范措施及应急预案并进行备案，可以使风险事故对环境的危害得到有效控制，将事故风险控制在可以接受的范围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030" w:type="dxa"/>
            <w:vAlign w:val="center"/>
          </w:tcPr>
          <w:p>
            <w:pPr>
              <w:adjustRightInd w:val="0"/>
              <w:snapToGrid w:val="0"/>
              <w:jc w:val="center"/>
              <w:rPr>
                <w:rFonts w:hint="default" w:ascii="Times New Roman" w:hAnsi="Times New Roman" w:cs="Times New Roman"/>
                <w:b/>
                <w:bCs/>
                <w:color w:val="auto"/>
                <w:spacing w:val="-8"/>
                <w:sz w:val="21"/>
                <w:szCs w:val="21"/>
              </w:rPr>
            </w:pPr>
            <w:r>
              <w:rPr>
                <w:rFonts w:hint="default" w:ascii="Times New Roman" w:hAnsi="Times New Roman" w:cs="Times New Roman"/>
                <w:b/>
                <w:bCs/>
                <w:color w:val="auto"/>
                <w:spacing w:val="-8"/>
                <w:sz w:val="21"/>
                <w:szCs w:val="21"/>
              </w:rPr>
              <w:t>其他环境</w:t>
            </w:r>
          </w:p>
          <w:p>
            <w:pPr>
              <w:adjustRightInd w:val="0"/>
              <w:snapToGrid w:val="0"/>
              <w:jc w:val="center"/>
              <w:rPr>
                <w:rFonts w:hint="default" w:ascii="Times New Roman" w:hAnsi="Times New Roman" w:cs="Times New Roman"/>
                <w:b/>
                <w:bCs/>
                <w:color w:val="FF0000"/>
                <w:spacing w:val="-8"/>
                <w:sz w:val="21"/>
                <w:szCs w:val="21"/>
              </w:rPr>
            </w:pPr>
            <w:r>
              <w:rPr>
                <w:rFonts w:hint="default" w:ascii="Times New Roman" w:hAnsi="Times New Roman" w:cs="Times New Roman"/>
                <w:b/>
                <w:bCs/>
                <w:color w:val="auto"/>
                <w:spacing w:val="-8"/>
                <w:sz w:val="21"/>
                <w:szCs w:val="21"/>
              </w:rPr>
              <w:t>管理要求</w:t>
            </w:r>
          </w:p>
        </w:tc>
        <w:tc>
          <w:tcPr>
            <w:tcW w:w="7770" w:type="dxa"/>
            <w:gridSpan w:val="4"/>
            <w:vAlign w:val="center"/>
          </w:tcPr>
          <w:p>
            <w:pPr>
              <w:keepNext w:val="0"/>
              <w:keepLines w:val="0"/>
              <w:pageBreakBefore w:val="0"/>
              <w:widowControl w:val="0"/>
              <w:numPr>
                <w:ilvl w:val="0"/>
                <w:numId w:val="4"/>
              </w:numPr>
              <w:tabs>
                <w:tab w:val="left" w:pos="4288"/>
              </w:tabs>
              <w:kinsoku/>
              <w:wordWrap/>
              <w:overflowPunct/>
              <w:topLinePunct w:val="0"/>
              <w:autoSpaceDE/>
              <w:autoSpaceDN/>
              <w:bidi w:val="0"/>
              <w:spacing w:line="440" w:lineRule="exact"/>
              <w:ind w:firstLine="420" w:firstLineChars="200"/>
              <w:textAlignment w:val="auto"/>
              <w:outlineLvl w:val="2"/>
              <w:rPr>
                <w:rFonts w:hint="default" w:ascii="Times New Roman" w:hAnsi="Times New Roman" w:eastAsia="宋体" w:cs="Times New Roman"/>
                <w:color w:val="auto"/>
                <w:sz w:val="21"/>
                <w:szCs w:val="21"/>
                <w:lang w:val="zh-CN"/>
              </w:rPr>
            </w:pPr>
            <w:r>
              <w:rPr>
                <w:rFonts w:hint="default" w:ascii="Times New Roman" w:hAnsi="Times New Roman" w:cs="Times New Roman"/>
                <w:color w:val="auto"/>
                <w:sz w:val="21"/>
                <w:szCs w:val="21"/>
                <w:lang w:val="zh-CN"/>
              </w:rPr>
              <w:t>根据《固定污染源排污许可分类管理名</w:t>
            </w:r>
            <w:r>
              <w:rPr>
                <w:rFonts w:hint="default" w:ascii="Times New Roman" w:hAnsi="Times New Roman" w:eastAsia="宋体" w:cs="Times New Roman"/>
                <w:color w:val="auto"/>
                <w:sz w:val="21"/>
                <w:szCs w:val="21"/>
                <w:lang w:val="zh-CN"/>
              </w:rPr>
              <w:t>录（试行）》（2019年版），</w:t>
            </w:r>
            <w:r>
              <w:rPr>
                <w:rFonts w:hint="default" w:ascii="Times New Roman" w:hAnsi="Times New Roman" w:eastAsia="宋体" w:cs="Times New Roman"/>
                <w:color w:val="auto"/>
                <w:sz w:val="21"/>
                <w:szCs w:val="21"/>
                <w:lang w:val="en-US" w:eastAsia="zh-CN"/>
              </w:rPr>
              <w:t>本项目实行</w:t>
            </w:r>
            <w:r>
              <w:rPr>
                <w:rFonts w:hint="eastAsia" w:cs="Times New Roman"/>
                <w:color w:val="auto"/>
                <w:sz w:val="21"/>
                <w:szCs w:val="21"/>
                <w:lang w:val="en-US" w:eastAsia="zh-CN"/>
              </w:rPr>
              <w:t>登记</w:t>
            </w:r>
            <w:r>
              <w:rPr>
                <w:rFonts w:hint="default" w:ascii="Times New Roman" w:hAnsi="Times New Roman" w:eastAsia="宋体" w:cs="Times New Roman"/>
                <w:color w:val="auto"/>
                <w:sz w:val="21"/>
                <w:szCs w:val="21"/>
                <w:lang w:val="en-US" w:eastAsia="zh-CN"/>
              </w:rPr>
              <w:t>管理</w:t>
            </w:r>
            <w:r>
              <w:rPr>
                <w:rFonts w:hint="default" w:ascii="Times New Roman" w:hAnsi="Times New Roman" w:eastAsia="宋体" w:cs="Times New Roman"/>
                <w:color w:val="auto"/>
                <w:sz w:val="21"/>
                <w:szCs w:val="21"/>
                <w:lang w:val="zh-CN"/>
              </w:rPr>
              <w:t>。</w:t>
            </w:r>
          </w:p>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表</w:t>
            </w:r>
            <w:r>
              <w:rPr>
                <w:rFonts w:hint="eastAsia" w:ascii="Times New Roman" w:hAnsi="Times New Roman" w:eastAsia="宋体" w:cs="Times New Roman"/>
                <w:b/>
                <w:color w:val="auto"/>
                <w:sz w:val="21"/>
                <w:szCs w:val="21"/>
              </w:rPr>
              <w:t>5</w:t>
            </w:r>
            <w:r>
              <w:rPr>
                <w:rFonts w:hint="default" w:ascii="Times New Roman" w:hAnsi="Times New Roman" w:eastAsia="宋体" w:cs="Times New Roman"/>
                <w:b/>
                <w:color w:val="auto"/>
                <w:sz w:val="21"/>
                <w:szCs w:val="21"/>
              </w:rPr>
              <w:t xml:space="preserve">-1  </w:t>
            </w:r>
            <w:r>
              <w:rPr>
                <w:rFonts w:hint="eastAsia" w:ascii="Times New Roman" w:hAnsi="Times New Roman" w:eastAsia="宋体" w:cs="Times New Roman"/>
                <w:b/>
                <w:color w:val="auto"/>
                <w:sz w:val="21"/>
                <w:szCs w:val="21"/>
              </w:rPr>
              <w:t>固定污染源排污许可分类管理名录</w:t>
            </w:r>
          </w:p>
          <w:tbl>
            <w:tblPr>
              <w:tblStyle w:val="29"/>
              <w:tblW w:w="7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669"/>
              <w:gridCol w:w="1537"/>
              <w:gridCol w:w="2481"/>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18" w:type="dxa"/>
                  <w:gridSpan w:val="2"/>
                  <w:tcBorders>
                    <w:tl2br w:val="single" w:color="auto" w:sz="4" w:space="0"/>
                  </w:tcBorders>
                  <w:shd w:val="clear" w:color="auto" w:fill="auto"/>
                  <w:vAlign w:val="center"/>
                </w:tcPr>
                <w:p>
                  <w:pPr>
                    <w:tabs>
                      <w:tab w:val="left" w:pos="3255"/>
                    </w:tabs>
                    <w:jc w:val="right"/>
                    <w:rPr>
                      <w:b/>
                      <w:color w:val="auto"/>
                      <w:sz w:val="21"/>
                      <w:szCs w:val="21"/>
                    </w:rPr>
                  </w:pPr>
                  <w:r>
                    <w:rPr>
                      <w:rFonts w:hint="eastAsia"/>
                      <w:b/>
                      <w:color w:val="auto"/>
                      <w:sz w:val="21"/>
                      <w:szCs w:val="21"/>
                    </w:rPr>
                    <w:t>环评类别</w:t>
                  </w:r>
                </w:p>
                <w:p>
                  <w:pPr>
                    <w:pStyle w:val="40"/>
                    <w:rPr>
                      <w:b/>
                      <w:color w:val="auto"/>
                      <w:sz w:val="21"/>
                      <w:szCs w:val="21"/>
                    </w:rPr>
                  </w:pPr>
                  <w:r>
                    <w:rPr>
                      <w:rFonts w:hint="eastAsia" w:ascii="Times New Roman" w:hAnsi="Times New Roman"/>
                      <w:b/>
                      <w:color w:val="auto"/>
                      <w:sz w:val="21"/>
                      <w:szCs w:val="21"/>
                    </w:rPr>
                    <w:t>项目类别</w:t>
                  </w:r>
                </w:p>
              </w:tc>
              <w:tc>
                <w:tcPr>
                  <w:tcW w:w="1537" w:type="dxa"/>
                  <w:shd w:val="clear" w:color="auto" w:fill="auto"/>
                  <w:vAlign w:val="center"/>
                </w:tcPr>
                <w:p>
                  <w:pPr>
                    <w:tabs>
                      <w:tab w:val="left" w:pos="3255"/>
                    </w:tabs>
                    <w:jc w:val="center"/>
                    <w:rPr>
                      <w:b/>
                      <w:color w:val="auto"/>
                      <w:sz w:val="21"/>
                      <w:szCs w:val="21"/>
                    </w:rPr>
                  </w:pPr>
                  <w:r>
                    <w:rPr>
                      <w:rFonts w:hint="eastAsia"/>
                      <w:b/>
                      <w:color w:val="auto"/>
                      <w:sz w:val="21"/>
                      <w:szCs w:val="21"/>
                    </w:rPr>
                    <w:t>重点</w:t>
                  </w:r>
                  <w:r>
                    <w:rPr>
                      <w:b/>
                      <w:color w:val="auto"/>
                      <w:sz w:val="21"/>
                      <w:szCs w:val="21"/>
                    </w:rPr>
                    <w:t>管理</w:t>
                  </w:r>
                </w:p>
              </w:tc>
              <w:tc>
                <w:tcPr>
                  <w:tcW w:w="2481" w:type="dxa"/>
                  <w:shd w:val="clear" w:color="auto" w:fill="FFFFFF" w:themeFill="background1"/>
                  <w:vAlign w:val="center"/>
                </w:tcPr>
                <w:p>
                  <w:pPr>
                    <w:tabs>
                      <w:tab w:val="left" w:pos="3255"/>
                    </w:tabs>
                    <w:jc w:val="center"/>
                    <w:rPr>
                      <w:b/>
                      <w:color w:val="auto"/>
                      <w:sz w:val="21"/>
                      <w:szCs w:val="21"/>
                    </w:rPr>
                  </w:pPr>
                  <w:r>
                    <w:rPr>
                      <w:rFonts w:hint="eastAsia"/>
                      <w:b/>
                      <w:color w:val="auto"/>
                      <w:sz w:val="21"/>
                      <w:szCs w:val="21"/>
                    </w:rPr>
                    <w:t>简化</w:t>
                  </w:r>
                  <w:r>
                    <w:rPr>
                      <w:b/>
                      <w:color w:val="auto"/>
                      <w:sz w:val="21"/>
                      <w:szCs w:val="21"/>
                    </w:rPr>
                    <w:t>管理</w:t>
                  </w:r>
                </w:p>
              </w:tc>
              <w:tc>
                <w:tcPr>
                  <w:tcW w:w="1135" w:type="dxa"/>
                  <w:shd w:val="clear" w:color="auto" w:fill="D7D7D7" w:themeFill="background1" w:themeFillShade="D8"/>
                  <w:vAlign w:val="center"/>
                </w:tcPr>
                <w:p>
                  <w:pPr>
                    <w:tabs>
                      <w:tab w:val="left" w:pos="3255"/>
                    </w:tabs>
                    <w:jc w:val="center"/>
                    <w:rPr>
                      <w:b/>
                      <w:color w:val="auto"/>
                      <w:sz w:val="21"/>
                      <w:szCs w:val="21"/>
                    </w:rPr>
                  </w:pPr>
                  <w:r>
                    <w:rPr>
                      <w:rFonts w:hint="eastAsia"/>
                      <w:b/>
                      <w:color w:val="auto"/>
                      <w:sz w:val="21"/>
                      <w:szCs w:val="21"/>
                    </w:rPr>
                    <w:t>登记</w:t>
                  </w:r>
                  <w:r>
                    <w:rPr>
                      <w:b/>
                      <w:color w:val="auto"/>
                      <w:sz w:val="21"/>
                      <w:szCs w:val="21"/>
                    </w:rPr>
                    <w:t>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371" w:type="dxa"/>
                  <w:gridSpan w:val="5"/>
                  <w:shd w:val="clear" w:color="auto" w:fill="D7D7D7" w:themeFill="background1" w:themeFillShade="D8"/>
                  <w:vAlign w:val="center"/>
                </w:tcPr>
                <w:p>
                  <w:pPr>
                    <w:tabs>
                      <w:tab w:val="left" w:pos="3255"/>
                    </w:tabs>
                    <w:jc w:val="center"/>
                    <w:rPr>
                      <w:rFonts w:hint="default" w:eastAsia="宋体"/>
                      <w:color w:val="auto"/>
                      <w:sz w:val="21"/>
                      <w:szCs w:val="21"/>
                      <w:lang w:val="en-US" w:eastAsia="zh-CN"/>
                    </w:rPr>
                  </w:pPr>
                  <w:r>
                    <w:rPr>
                      <w:rFonts w:hint="eastAsia"/>
                      <w:color w:val="auto"/>
                      <w:sz w:val="21"/>
                      <w:szCs w:val="21"/>
                    </w:rPr>
                    <w:t>二十</w:t>
                  </w:r>
                  <w:r>
                    <w:rPr>
                      <w:rFonts w:hint="eastAsia"/>
                      <w:color w:val="auto"/>
                      <w:sz w:val="21"/>
                      <w:szCs w:val="21"/>
                      <w:lang w:val="en-US" w:eastAsia="zh-CN"/>
                    </w:rPr>
                    <w:t>八</w:t>
                  </w:r>
                  <w:r>
                    <w:rPr>
                      <w:rFonts w:hint="eastAsia"/>
                      <w:color w:val="auto"/>
                      <w:sz w:val="21"/>
                      <w:szCs w:val="21"/>
                    </w:rPr>
                    <w:t>、</w:t>
                  </w:r>
                  <w:r>
                    <w:rPr>
                      <w:rFonts w:hint="eastAsia"/>
                      <w:color w:val="auto"/>
                      <w:sz w:val="21"/>
                      <w:szCs w:val="21"/>
                      <w:lang w:val="en-US" w:eastAsia="zh-CN"/>
                    </w:rPr>
                    <w:t>金属制品业 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9" w:hRule="atLeast"/>
                <w:jc w:val="center"/>
              </w:trPr>
              <w:tc>
                <w:tcPr>
                  <w:tcW w:w="549" w:type="dxa"/>
                  <w:shd w:val="clear" w:color="auto" w:fill="auto"/>
                  <w:vAlign w:val="center"/>
                </w:tcPr>
                <w:p>
                  <w:pPr>
                    <w:tabs>
                      <w:tab w:val="left" w:pos="3255"/>
                    </w:tabs>
                    <w:jc w:val="center"/>
                    <w:rPr>
                      <w:rFonts w:hint="default" w:eastAsia="宋体"/>
                      <w:color w:val="auto"/>
                      <w:sz w:val="21"/>
                      <w:szCs w:val="21"/>
                      <w:lang w:val="en-US" w:eastAsia="zh-CN"/>
                    </w:rPr>
                  </w:pPr>
                  <w:r>
                    <w:rPr>
                      <w:rFonts w:hint="eastAsia"/>
                      <w:color w:val="auto"/>
                      <w:sz w:val="21"/>
                      <w:szCs w:val="21"/>
                      <w:lang w:val="en-US" w:eastAsia="zh-CN"/>
                    </w:rPr>
                    <w:t>80</w:t>
                  </w:r>
                </w:p>
              </w:tc>
              <w:tc>
                <w:tcPr>
                  <w:tcW w:w="1669" w:type="dxa"/>
                  <w:shd w:val="clear" w:color="auto" w:fill="auto"/>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建筑、安全用金属制品制造335</w:t>
                  </w:r>
                </w:p>
              </w:tc>
              <w:tc>
                <w:tcPr>
                  <w:tcW w:w="1537" w:type="dxa"/>
                  <w:shd w:val="clear" w:color="auto" w:fill="auto"/>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涉及通用工序重点管理的</w:t>
                  </w:r>
                </w:p>
              </w:tc>
              <w:tc>
                <w:tcPr>
                  <w:tcW w:w="2481" w:type="dxa"/>
                  <w:shd w:val="clear" w:color="auto" w:fill="FFFFFF" w:themeFill="background1"/>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涉及通用工序简化管理的</w:t>
                  </w:r>
                </w:p>
              </w:tc>
              <w:tc>
                <w:tcPr>
                  <w:tcW w:w="1135" w:type="dxa"/>
                  <w:shd w:val="clear" w:color="auto" w:fill="D7D7D7" w:themeFill="background1" w:themeFillShade="D8"/>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371" w:type="dxa"/>
                  <w:gridSpan w:val="5"/>
                  <w:shd w:val="clear" w:color="auto" w:fill="D7D7D7" w:themeFill="background1" w:themeFillShade="D8"/>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五十一、通用工序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9" w:type="dxa"/>
                  <w:shd w:val="clear" w:color="auto" w:fill="auto"/>
                  <w:vAlign w:val="center"/>
                </w:tcPr>
                <w:p>
                  <w:pPr>
                    <w:tabs>
                      <w:tab w:val="left" w:pos="3255"/>
                    </w:tabs>
                    <w:jc w:val="center"/>
                    <w:rPr>
                      <w:rFonts w:hint="default"/>
                      <w:color w:val="auto"/>
                      <w:sz w:val="21"/>
                      <w:szCs w:val="21"/>
                      <w:lang w:val="en-US" w:eastAsia="zh-CN"/>
                    </w:rPr>
                  </w:pPr>
                  <w:r>
                    <w:rPr>
                      <w:rFonts w:hint="eastAsia"/>
                      <w:color w:val="auto"/>
                      <w:sz w:val="21"/>
                      <w:szCs w:val="21"/>
                      <w:lang w:val="en-US" w:eastAsia="zh-CN"/>
                    </w:rPr>
                    <w:t>111</w:t>
                  </w:r>
                </w:p>
              </w:tc>
              <w:tc>
                <w:tcPr>
                  <w:tcW w:w="1669" w:type="dxa"/>
                  <w:shd w:val="clear" w:color="auto" w:fill="auto"/>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表面处理</w:t>
                  </w:r>
                </w:p>
              </w:tc>
              <w:tc>
                <w:tcPr>
                  <w:tcW w:w="1537" w:type="dxa"/>
                  <w:shd w:val="clear" w:color="auto" w:fill="auto"/>
                  <w:vAlign w:val="center"/>
                </w:tcPr>
                <w:p>
                  <w:pPr>
                    <w:tabs>
                      <w:tab w:val="left" w:pos="3255"/>
                    </w:tabs>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纳入重点排污单位名录的</w:t>
                  </w:r>
                </w:p>
              </w:tc>
              <w:tc>
                <w:tcPr>
                  <w:tcW w:w="2481" w:type="dxa"/>
                  <w:shd w:val="clear" w:color="auto" w:fill="FFFFFF" w:themeFill="background1"/>
                  <w:vAlign w:val="center"/>
                </w:tcPr>
                <w:p>
                  <w:pPr>
                    <w:tabs>
                      <w:tab w:val="left" w:pos="3255"/>
                    </w:tabs>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除纳入重点排污单位名录的，有电镀工序、酸洗、抛光（电解抛光和化学抛光）、热浸镀（溶剂法）、淬火或者钝化等工序的、年使用10吨及以上有机溶剂的</w:t>
                  </w:r>
                </w:p>
              </w:tc>
              <w:tc>
                <w:tcPr>
                  <w:tcW w:w="1135" w:type="dxa"/>
                  <w:shd w:val="clear" w:color="auto" w:fill="D7D7D7" w:themeFill="background1" w:themeFillShade="D8"/>
                  <w:vAlign w:val="center"/>
                </w:tcPr>
                <w:p>
                  <w:pPr>
                    <w:tabs>
                      <w:tab w:val="left" w:pos="3255"/>
                    </w:tabs>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其他</w:t>
                  </w:r>
                </w:p>
              </w:tc>
            </w:tr>
          </w:tbl>
          <w:p>
            <w:pPr>
              <w:keepNext w:val="0"/>
              <w:keepLines w:val="0"/>
              <w:pageBreakBefore w:val="0"/>
              <w:widowControl w:val="0"/>
              <w:tabs>
                <w:tab w:val="left" w:pos="4288"/>
              </w:tabs>
              <w:kinsoku/>
              <w:wordWrap/>
              <w:overflowPunct/>
              <w:topLinePunct w:val="0"/>
              <w:autoSpaceDE/>
              <w:autoSpaceDN/>
              <w:bidi w:val="0"/>
              <w:spacing w:line="440" w:lineRule="exact"/>
              <w:ind w:firstLine="420" w:firstLineChars="200"/>
              <w:textAlignment w:val="auto"/>
              <w:outlineLvl w:val="2"/>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lang w:val="zh-CN"/>
              </w:rPr>
              <w:t>2、建设单位如规模、地点、性质、生产工艺、环境保护措施其中某项发生变化时，应向生态环境部门及时申报重新进行环境影响评价。</w:t>
            </w:r>
          </w:p>
          <w:p>
            <w:pPr>
              <w:keepNext w:val="0"/>
              <w:keepLines w:val="0"/>
              <w:pageBreakBefore w:val="0"/>
              <w:widowControl w:val="0"/>
              <w:tabs>
                <w:tab w:val="left" w:pos="4288"/>
              </w:tabs>
              <w:kinsoku/>
              <w:wordWrap/>
              <w:overflowPunct/>
              <w:topLinePunct w:val="0"/>
              <w:autoSpaceDE/>
              <w:autoSpaceDN/>
              <w:bidi w:val="0"/>
              <w:spacing w:line="440" w:lineRule="exact"/>
              <w:ind w:firstLine="420" w:firstLineChars="200"/>
              <w:textAlignment w:val="auto"/>
              <w:outlineLvl w:val="2"/>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3、</w:t>
            </w:r>
            <w:r>
              <w:rPr>
                <w:rFonts w:hint="default" w:ascii="Times New Roman" w:hAnsi="Times New Roman" w:cs="Times New Roman"/>
                <w:color w:val="auto"/>
                <w:sz w:val="21"/>
                <w:szCs w:val="21"/>
                <w:lang w:val="zh-CN"/>
              </w:rPr>
              <w:t>严格执行“三同时”的管理条例。在项目筹备、实施、建设阶段，严格执行建设项目环境影响评价的制度，并将继续按照国家法律法规要求，严格执行“三同时”，确保污染处理设施能够和生产工艺“同时设计”，和项目主体工程“同时施工”，做到与项目生产“同时验收运行”。</w:t>
            </w:r>
          </w:p>
          <w:p>
            <w:pPr>
              <w:keepNext w:val="0"/>
              <w:keepLines w:val="0"/>
              <w:pageBreakBefore w:val="0"/>
              <w:widowControl w:val="0"/>
              <w:tabs>
                <w:tab w:val="left" w:pos="4288"/>
              </w:tabs>
              <w:kinsoku/>
              <w:wordWrap/>
              <w:overflowPunct/>
              <w:topLinePunct w:val="0"/>
              <w:autoSpaceDE/>
              <w:autoSpaceDN/>
              <w:bidi w:val="0"/>
              <w:spacing w:line="440" w:lineRule="exact"/>
              <w:ind w:firstLine="420" w:firstLineChars="200"/>
              <w:textAlignment w:val="auto"/>
              <w:outlineLvl w:val="2"/>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4、规范化各污染排放口，</w:t>
            </w:r>
            <w:r>
              <w:rPr>
                <w:rFonts w:hint="default" w:ascii="Times New Roman" w:hAnsi="Times New Roman" w:cs="Times New Roman"/>
                <w:color w:val="auto"/>
                <w:sz w:val="21"/>
                <w:szCs w:val="21"/>
                <w:lang w:val="zh-CN"/>
              </w:rPr>
              <w:t>严格实行监测和坚决做到达标排放。定期监测，确保废水、废气稳定达标排放。</w:t>
            </w:r>
          </w:p>
          <w:p>
            <w:pPr>
              <w:keepNext w:val="0"/>
              <w:keepLines w:val="0"/>
              <w:pageBreakBefore w:val="0"/>
              <w:widowControl w:val="0"/>
              <w:tabs>
                <w:tab w:val="left" w:pos="4288"/>
              </w:tabs>
              <w:kinsoku/>
              <w:wordWrap/>
              <w:overflowPunct/>
              <w:topLinePunct w:val="0"/>
              <w:autoSpaceDE/>
              <w:autoSpaceDN/>
              <w:bidi w:val="0"/>
              <w:spacing w:line="440" w:lineRule="exact"/>
              <w:ind w:firstLine="420" w:firstLineChars="200"/>
              <w:textAlignment w:val="auto"/>
              <w:outlineLvl w:val="2"/>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5、</w:t>
            </w:r>
            <w:r>
              <w:rPr>
                <w:rFonts w:hint="default" w:ascii="Times New Roman" w:hAnsi="Times New Roman" w:cs="Times New Roman"/>
                <w:color w:val="auto"/>
                <w:sz w:val="21"/>
                <w:szCs w:val="21"/>
                <w:lang w:val="zh-CN"/>
              </w:rPr>
              <w:t>健全污染处理设施管理制度。保证处理设施能够长期、稳定、有效地进行处理运行。净化设施的操作管理与生产经营活动一起纳入日常管理工作的范畴，落实责任人、操作人员、维修人员、运行经费、设备的备品备件和其他原辅材料。制定各级岗位责任制，编制操作规程，建立管理台帐。</w:t>
            </w:r>
          </w:p>
          <w:p>
            <w:pPr>
              <w:keepNext w:val="0"/>
              <w:keepLines w:val="0"/>
              <w:pageBreakBefore w:val="0"/>
              <w:widowControl w:val="0"/>
              <w:tabs>
                <w:tab w:val="left" w:pos="4288"/>
              </w:tabs>
              <w:kinsoku/>
              <w:wordWrap/>
              <w:overflowPunct/>
              <w:topLinePunct w:val="0"/>
              <w:autoSpaceDE/>
              <w:autoSpaceDN/>
              <w:bidi w:val="0"/>
              <w:spacing w:line="440" w:lineRule="exact"/>
              <w:ind w:firstLine="420" w:firstLineChars="200"/>
              <w:textAlignment w:val="auto"/>
              <w:outlineLvl w:val="2"/>
              <w:rPr>
                <w:rFonts w:hint="default" w:ascii="Times New Roman" w:hAnsi="Times New Roman" w:cs="Times New Roman"/>
                <w:color w:val="auto"/>
                <w:sz w:val="21"/>
                <w:szCs w:val="21"/>
                <w:lang w:val="zh-CN"/>
              </w:rPr>
            </w:pPr>
            <w:r>
              <w:rPr>
                <w:rFonts w:hint="default" w:ascii="Times New Roman" w:hAnsi="Times New Roman" w:cs="Times New Roman"/>
                <w:color w:val="auto"/>
                <w:sz w:val="21"/>
                <w:szCs w:val="21"/>
              </w:rPr>
              <w:t>6、</w:t>
            </w:r>
            <w:r>
              <w:rPr>
                <w:rFonts w:hint="default" w:ascii="Times New Roman" w:hAnsi="Times New Roman" w:cs="Times New Roman"/>
                <w:color w:val="auto"/>
                <w:sz w:val="21"/>
                <w:szCs w:val="21"/>
                <w:lang w:val="zh-CN"/>
              </w:rPr>
              <w:t>建立企业环境监督员制度，实行职业资格管理，定期参加专业技能培训。</w:t>
            </w:r>
          </w:p>
          <w:p>
            <w:pPr>
              <w:pStyle w:val="38"/>
              <w:jc w:val="left"/>
              <w:rPr>
                <w:rFonts w:hint="default" w:ascii="Times New Roman" w:hAnsi="Times New Roman" w:cs="Times New Roman"/>
                <w:color w:val="FF0000"/>
                <w:sz w:val="21"/>
                <w:szCs w:val="21"/>
                <w:lang w:val="zh-CN"/>
              </w:rPr>
            </w:pPr>
          </w:p>
          <w:p>
            <w:pPr>
              <w:jc w:val="left"/>
              <w:rPr>
                <w:rFonts w:hint="default" w:ascii="Times New Roman" w:hAnsi="Times New Roman" w:cs="Times New Roman"/>
                <w:color w:val="FF0000"/>
                <w:sz w:val="21"/>
                <w:szCs w:val="21"/>
                <w:lang w:val="zh-CN"/>
              </w:rPr>
            </w:pPr>
          </w:p>
          <w:p>
            <w:pPr>
              <w:jc w:val="left"/>
              <w:rPr>
                <w:rFonts w:hint="default" w:ascii="Times New Roman" w:hAnsi="Times New Roman" w:cs="Times New Roman"/>
                <w:color w:val="FF0000"/>
                <w:sz w:val="21"/>
                <w:szCs w:val="21"/>
                <w:lang w:val="zh-CN"/>
              </w:rPr>
            </w:pPr>
          </w:p>
          <w:p>
            <w:pPr>
              <w:rPr>
                <w:rFonts w:hint="default"/>
                <w:lang w:val="zh-CN"/>
              </w:rPr>
            </w:pPr>
          </w:p>
          <w:p>
            <w:pPr>
              <w:pStyle w:val="108"/>
              <w:spacing w:line="360" w:lineRule="auto"/>
              <w:ind w:left="0" w:leftChars="0" w:firstLine="0" w:firstLineChars="0"/>
              <w:rPr>
                <w:rFonts w:hint="default" w:ascii="Times New Roman" w:hAnsi="Times New Roman" w:cs="Times New Roman"/>
                <w:color w:val="FF0000"/>
                <w:sz w:val="21"/>
                <w:szCs w:val="21"/>
                <w:lang w:val="zh-CN"/>
              </w:rPr>
            </w:pPr>
          </w:p>
        </w:tc>
      </w:tr>
    </w:tbl>
    <w:p>
      <w:pPr>
        <w:rPr>
          <w:rFonts w:hint="default" w:ascii="Times New Roman" w:hAnsi="Times New Roman" w:cs="Times New Roman"/>
          <w:color w:val="FF0000"/>
        </w:rPr>
        <w:sectPr>
          <w:pgSz w:w="11906" w:h="16838"/>
          <w:pgMar w:top="1440" w:right="1797" w:bottom="1440" w:left="1797" w:header="851" w:footer="992" w:gutter="0"/>
          <w:pgBorders>
            <w:top w:val="none" w:sz="0" w:space="0"/>
            <w:left w:val="none" w:sz="0" w:space="0"/>
            <w:bottom w:val="none" w:sz="0" w:space="0"/>
            <w:right w:val="none" w:sz="0" w:space="0"/>
          </w:pgBorders>
          <w:cols w:space="0" w:num="1"/>
          <w:docGrid w:type="lines" w:linePitch="332" w:charSpace="0"/>
        </w:sectPr>
      </w:pPr>
    </w:p>
    <w:p>
      <w:pPr>
        <w:pStyle w:val="4"/>
        <w:rPr>
          <w:rFonts w:hint="default" w:ascii="Times New Roman" w:hAnsi="Times New Roman" w:eastAsia="宋体" w:cs="Times New Roman"/>
          <w:b/>
          <w:bCs w:val="0"/>
          <w:color w:val="auto"/>
        </w:rPr>
      </w:pPr>
      <w:bookmarkStart w:id="24" w:name="_Toc65835262"/>
      <w:bookmarkStart w:id="25" w:name="_Toc99693257"/>
      <w:bookmarkStart w:id="26" w:name="_Toc65834466"/>
      <w:r>
        <w:rPr>
          <w:rFonts w:hint="default" w:ascii="Times New Roman" w:hAnsi="Times New Roman" w:eastAsia="宋体" w:cs="Times New Roman"/>
          <w:b/>
          <w:bCs w:val="0"/>
          <w:color w:val="auto"/>
        </w:rPr>
        <w:t>六、结论</w:t>
      </w:r>
      <w:bookmarkEnd w:id="24"/>
      <w:bookmarkEnd w:id="25"/>
      <w:bookmarkEnd w:id="26"/>
    </w:p>
    <w:tbl>
      <w:tblPr>
        <w:tblStyle w:val="29"/>
        <w:tblW w:w="82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11" w:hRule="atLeast"/>
          <w:jc w:val="center"/>
        </w:trPr>
        <w:tc>
          <w:tcPr>
            <w:tcW w:w="8296" w:type="dxa"/>
          </w:tcPr>
          <w:p>
            <w:pPr>
              <w:tabs>
                <w:tab w:val="left" w:pos="4288"/>
              </w:tabs>
              <w:spacing w:line="360" w:lineRule="auto"/>
              <w:ind w:firstLine="482" w:firstLineChars="200"/>
              <w:outlineLvl w:val="2"/>
              <w:rPr>
                <w:rFonts w:hint="default" w:ascii="Times New Roman" w:hAnsi="Times New Roman" w:cs="Times New Roman"/>
                <w:b/>
                <w:bCs/>
                <w:color w:val="auto"/>
              </w:rPr>
            </w:pPr>
            <w:r>
              <w:rPr>
                <w:rFonts w:hint="default" w:ascii="Times New Roman" w:hAnsi="Times New Roman" w:cs="Times New Roman"/>
                <w:b/>
                <w:bCs/>
                <w:color w:val="auto"/>
              </w:rPr>
              <w:t>综上所述，</w:t>
            </w:r>
            <w:r>
              <w:rPr>
                <w:rFonts w:hint="eastAsia" w:cs="Times New Roman"/>
                <w:b/>
                <w:bCs/>
                <w:color w:val="auto"/>
                <w:lang w:eastAsia="zh-CN"/>
              </w:rPr>
              <w:t>浙江鑫桦钢管有限公司年产5万吨螺旋埋弧焊管技改项目</w:t>
            </w:r>
            <w:r>
              <w:rPr>
                <w:rFonts w:hint="default" w:ascii="Times New Roman" w:hAnsi="Times New Roman" w:eastAsia="宋体" w:cs="Times New Roman"/>
                <w:b/>
                <w:bCs/>
                <w:color w:val="auto"/>
              </w:rPr>
              <w:t>投产后，项目排放的各类污</w:t>
            </w:r>
            <w:r>
              <w:rPr>
                <w:rFonts w:hint="default" w:ascii="Times New Roman" w:hAnsi="Times New Roman" w:cs="Times New Roman"/>
                <w:b/>
                <w:bCs/>
                <w:color w:val="auto"/>
              </w:rPr>
              <w:t>染物能达到国家、省规定的污染物排放标准，符合总量控制要求，项目周边环境质量能够维持现状，不会对周边环境敏感点产生明显影响。</w:t>
            </w:r>
          </w:p>
          <w:p>
            <w:pPr>
              <w:tabs>
                <w:tab w:val="left" w:pos="4288"/>
              </w:tabs>
              <w:spacing w:line="360" w:lineRule="auto"/>
              <w:ind w:firstLine="482" w:firstLineChars="200"/>
              <w:outlineLvl w:val="2"/>
              <w:rPr>
                <w:rFonts w:hint="default" w:ascii="Times New Roman" w:hAnsi="Times New Roman" w:cs="Times New Roman"/>
                <w:b/>
                <w:bCs/>
                <w:color w:val="auto"/>
              </w:rPr>
            </w:pPr>
            <w:r>
              <w:rPr>
                <w:rFonts w:hint="default" w:ascii="Times New Roman" w:hAnsi="Times New Roman" w:cs="Times New Roman"/>
                <w:b/>
                <w:bCs/>
                <w:color w:val="auto"/>
              </w:rPr>
              <w:t>综合分析，项目建设符合《关于印发&lt;德清县“三线一单”生态环境分区管控方案&gt;的通知》的管控要求，排放污染物能符合国家、省规定的污染物排放标准和重点污染物排放总量控制要求，符合德清县</w:t>
            </w:r>
            <w:r>
              <w:rPr>
                <w:rFonts w:hint="eastAsia" w:cs="Times New Roman"/>
                <w:b/>
                <w:bCs/>
                <w:color w:val="auto"/>
                <w:lang w:val="en-US" w:eastAsia="zh-CN"/>
              </w:rPr>
              <w:t>钟管</w:t>
            </w:r>
            <w:r>
              <w:rPr>
                <w:rFonts w:hint="default" w:ascii="Times New Roman" w:hAnsi="Times New Roman" w:cs="Times New Roman"/>
                <w:b/>
                <w:bCs/>
                <w:color w:val="auto"/>
              </w:rPr>
              <w:t>镇相关规划要求，符合国家和地方产业政策要求，企业采取必要的风险防范对策和应急措施后，项目环境风险能够控制在可接受范围内。</w:t>
            </w:r>
          </w:p>
          <w:p>
            <w:pPr>
              <w:tabs>
                <w:tab w:val="left" w:pos="4288"/>
              </w:tabs>
              <w:spacing w:line="360" w:lineRule="auto"/>
              <w:ind w:firstLine="482" w:firstLineChars="200"/>
              <w:outlineLvl w:val="2"/>
              <w:rPr>
                <w:rFonts w:hint="default" w:ascii="Times New Roman" w:hAnsi="Times New Roman" w:cs="Times New Roman"/>
                <w:color w:val="FF0000"/>
              </w:rPr>
            </w:pPr>
            <w:r>
              <w:rPr>
                <w:rFonts w:hint="default" w:ascii="Times New Roman" w:hAnsi="Times New Roman" w:cs="Times New Roman"/>
                <w:b/>
                <w:bCs/>
                <w:color w:val="auto"/>
              </w:rPr>
              <w:t>从环保审批原则及环境保护角度分析，项目在此地建设实施是可行的。</w:t>
            </w:r>
          </w:p>
        </w:tc>
      </w:tr>
    </w:tbl>
    <w:p>
      <w:pPr>
        <w:rPr>
          <w:rFonts w:hint="default" w:ascii="Times New Roman" w:hAnsi="Times New Roman" w:cs="Times New Roman"/>
          <w:color w:val="FF0000"/>
        </w:rPr>
      </w:pPr>
      <w:r>
        <w:rPr>
          <w:rFonts w:hint="default" w:ascii="Times New Roman" w:hAnsi="Times New Roman" w:cs="Times New Roman"/>
          <w:color w:val="FF0000"/>
        </w:rPr>
        <w:br w:type="page"/>
      </w:r>
    </w:p>
    <w:p>
      <w:pPr>
        <w:rPr>
          <w:rFonts w:hint="default" w:ascii="Times New Roman" w:hAnsi="Times New Roman" w:cs="Times New Roman"/>
          <w:color w:val="FF0000"/>
        </w:rPr>
        <w:sectPr>
          <w:pgSz w:w="11906" w:h="16838"/>
          <w:pgMar w:top="1440" w:right="1803" w:bottom="1440" w:left="1803" w:header="851" w:footer="992" w:gutter="0"/>
          <w:pgBorders>
            <w:top w:val="none" w:sz="0" w:space="0"/>
            <w:left w:val="none" w:sz="0" w:space="0"/>
            <w:bottom w:val="none" w:sz="0" w:space="0"/>
            <w:right w:val="none" w:sz="0" w:space="0"/>
          </w:pgBorders>
          <w:cols w:space="0" w:num="1"/>
          <w:docGrid w:type="lines" w:linePitch="332" w:charSpace="0"/>
        </w:sectPr>
      </w:pPr>
    </w:p>
    <w:p>
      <w:pPr>
        <w:spacing w:line="360" w:lineRule="auto"/>
        <w:rPr>
          <w:rFonts w:hint="default" w:ascii="Times New Roman" w:hAnsi="Times New Roman" w:cs="Times New Roman"/>
          <w:b/>
          <w:bCs/>
          <w:color w:val="auto"/>
          <w:sz w:val="32"/>
          <w:szCs w:val="28"/>
        </w:rPr>
      </w:pPr>
      <w:r>
        <w:rPr>
          <w:rFonts w:hint="default" w:ascii="Times New Roman" w:hAnsi="Times New Roman" w:cs="Times New Roman"/>
          <w:b/>
          <w:bCs/>
          <w:color w:val="auto"/>
          <w:sz w:val="32"/>
          <w:szCs w:val="28"/>
        </w:rPr>
        <w:t>附表</w:t>
      </w:r>
    </w:p>
    <w:p>
      <w:pPr>
        <w:pStyle w:val="74"/>
        <w:rPr>
          <w:rFonts w:hint="default" w:ascii="Times New Roman" w:hAnsi="Times New Roman" w:cs="Times New Roman"/>
          <w:b w:val="0"/>
          <w:bCs/>
          <w:color w:val="auto"/>
          <w:sz w:val="38"/>
          <w:szCs w:val="38"/>
        </w:rPr>
      </w:pPr>
      <w:r>
        <w:rPr>
          <w:rFonts w:hint="default" w:ascii="Times New Roman" w:hAnsi="Times New Roman" w:cs="Times New Roman"/>
          <w:b w:val="0"/>
          <w:bCs/>
          <w:color w:val="auto"/>
          <w:sz w:val="38"/>
          <w:szCs w:val="38"/>
        </w:rPr>
        <w:t>建设项目污染物排放量汇总表</w:t>
      </w:r>
    </w:p>
    <w:tbl>
      <w:tblPr>
        <w:tblStyle w:val="29"/>
        <w:tblW w:w="14576"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06"/>
        <w:gridCol w:w="2013"/>
        <w:gridCol w:w="1410"/>
        <w:gridCol w:w="1335"/>
        <w:gridCol w:w="1782"/>
        <w:gridCol w:w="1633"/>
        <w:gridCol w:w="1843"/>
        <w:gridCol w:w="2052"/>
        <w:gridCol w:w="100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tcBorders>
              <w:tl2br w:val="single" w:color="auto" w:sz="4" w:space="0"/>
            </w:tcBorders>
            <w:tcMar>
              <w:left w:w="28" w:type="dxa"/>
              <w:right w:w="28" w:type="dxa"/>
            </w:tcMar>
            <w:vAlign w:val="center"/>
          </w:tcPr>
          <w:p>
            <w:pPr>
              <w:adjustRightInd w:val="0"/>
              <w:snapToGrid w:val="0"/>
              <w:jc w:val="right"/>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项目</w:t>
            </w:r>
          </w:p>
          <w:p>
            <w:pPr>
              <w:adjustRightInd w:val="0"/>
              <w:snapToGrid w:val="0"/>
              <w:jc w:val="left"/>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分类</w:t>
            </w:r>
          </w:p>
        </w:tc>
        <w:tc>
          <w:tcPr>
            <w:tcW w:w="2013"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污染物名称</w:t>
            </w:r>
          </w:p>
        </w:tc>
        <w:tc>
          <w:tcPr>
            <w:tcW w:w="1410"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现有工程</w:t>
            </w:r>
          </w:p>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排放量（固体废物产生量）</w:t>
            </w:r>
            <w:r>
              <w:rPr>
                <w:rFonts w:hint="default" w:ascii="Times New Roman" w:hAnsi="Times New Roman" w:cs="Times New Roman"/>
                <w:snapToGrid w:val="0"/>
                <w:color w:val="auto"/>
                <w:spacing w:val="-6"/>
                <w:kern w:val="21"/>
                <w:sz w:val="21"/>
                <w:szCs w:val="21"/>
              </w:rPr>
              <w:fldChar w:fldCharType="begin"/>
            </w:r>
            <w:r>
              <w:rPr>
                <w:rFonts w:hint="default" w:ascii="Times New Roman" w:hAnsi="Times New Roman" w:cs="Times New Roman"/>
                <w:snapToGrid w:val="0"/>
                <w:color w:val="auto"/>
                <w:spacing w:val="-6"/>
                <w:kern w:val="21"/>
                <w:sz w:val="21"/>
                <w:szCs w:val="21"/>
              </w:rPr>
              <w:instrText xml:space="preserve"> = 1 \* GB3 \* MERGEFORMAT </w:instrText>
            </w:r>
            <w:r>
              <w:rPr>
                <w:rFonts w:hint="default" w:ascii="Times New Roman" w:hAnsi="Times New Roman" w:cs="Times New Roman"/>
                <w:snapToGrid w:val="0"/>
                <w:color w:val="auto"/>
                <w:spacing w:val="-6"/>
                <w:kern w:val="21"/>
                <w:sz w:val="21"/>
                <w:szCs w:val="21"/>
              </w:rPr>
              <w:fldChar w:fldCharType="separate"/>
            </w:r>
            <w:r>
              <w:rPr>
                <w:rFonts w:hint="default" w:ascii="Times New Roman" w:hAnsi="Times New Roman" w:cs="Times New Roman"/>
                <w:color w:val="auto"/>
                <w:sz w:val="21"/>
                <w:szCs w:val="21"/>
              </w:rPr>
              <w:t>①</w:t>
            </w:r>
            <w:r>
              <w:rPr>
                <w:rFonts w:hint="default" w:ascii="Times New Roman" w:hAnsi="Times New Roman" w:cs="Times New Roman"/>
                <w:snapToGrid w:val="0"/>
                <w:color w:val="auto"/>
                <w:spacing w:val="-6"/>
                <w:kern w:val="21"/>
                <w:sz w:val="21"/>
                <w:szCs w:val="21"/>
              </w:rPr>
              <w:fldChar w:fldCharType="end"/>
            </w:r>
          </w:p>
        </w:tc>
        <w:tc>
          <w:tcPr>
            <w:tcW w:w="1335"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现有工程</w:t>
            </w:r>
          </w:p>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许可排放量</w:t>
            </w:r>
          </w:p>
          <w:p>
            <w:pPr>
              <w:adjustRightInd w:val="0"/>
              <w:snapToGrid w:val="0"/>
              <w:spacing w:line="259" w:lineRule="auto"/>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fldChar w:fldCharType="begin"/>
            </w:r>
            <w:r>
              <w:rPr>
                <w:rFonts w:hint="default" w:ascii="Times New Roman" w:hAnsi="Times New Roman" w:cs="Times New Roman"/>
                <w:snapToGrid w:val="0"/>
                <w:color w:val="auto"/>
                <w:spacing w:val="-6"/>
                <w:kern w:val="21"/>
                <w:sz w:val="21"/>
                <w:szCs w:val="21"/>
              </w:rPr>
              <w:instrText xml:space="preserve"> = 2 \* GB3 \* MERGEFORMAT </w:instrText>
            </w:r>
            <w:r>
              <w:rPr>
                <w:rFonts w:hint="default" w:ascii="Times New Roman" w:hAnsi="Times New Roman" w:cs="Times New Roman"/>
                <w:snapToGrid w:val="0"/>
                <w:color w:val="auto"/>
                <w:spacing w:val="-6"/>
                <w:kern w:val="21"/>
                <w:sz w:val="21"/>
                <w:szCs w:val="21"/>
              </w:rPr>
              <w:fldChar w:fldCharType="separate"/>
            </w:r>
            <w:r>
              <w:rPr>
                <w:rFonts w:hint="default" w:ascii="Times New Roman" w:hAnsi="Times New Roman" w:cs="Times New Roman"/>
                <w:snapToGrid w:val="0"/>
                <w:color w:val="auto"/>
                <w:spacing w:val="-6"/>
                <w:kern w:val="21"/>
                <w:sz w:val="21"/>
                <w:szCs w:val="21"/>
              </w:rPr>
              <w:t>②</w:t>
            </w:r>
            <w:r>
              <w:rPr>
                <w:rFonts w:hint="default" w:ascii="Times New Roman" w:hAnsi="Times New Roman" w:cs="Times New Roman"/>
                <w:snapToGrid w:val="0"/>
                <w:color w:val="auto"/>
                <w:spacing w:val="-6"/>
                <w:kern w:val="21"/>
                <w:sz w:val="21"/>
                <w:szCs w:val="21"/>
              </w:rPr>
              <w:fldChar w:fldCharType="end"/>
            </w:r>
          </w:p>
        </w:tc>
        <w:tc>
          <w:tcPr>
            <w:tcW w:w="1782"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在建工程</w:t>
            </w:r>
          </w:p>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排放量（固体废物产生量）</w:t>
            </w:r>
            <w:r>
              <w:rPr>
                <w:rFonts w:hint="default" w:ascii="Times New Roman" w:hAnsi="Times New Roman" w:cs="Times New Roman"/>
                <w:snapToGrid w:val="0"/>
                <w:color w:val="auto"/>
                <w:spacing w:val="-6"/>
                <w:kern w:val="21"/>
                <w:sz w:val="21"/>
                <w:szCs w:val="21"/>
              </w:rPr>
              <w:fldChar w:fldCharType="begin"/>
            </w:r>
            <w:r>
              <w:rPr>
                <w:rFonts w:hint="default" w:ascii="Times New Roman" w:hAnsi="Times New Roman" w:cs="Times New Roman"/>
                <w:snapToGrid w:val="0"/>
                <w:color w:val="auto"/>
                <w:spacing w:val="-6"/>
                <w:kern w:val="21"/>
                <w:sz w:val="21"/>
                <w:szCs w:val="21"/>
              </w:rPr>
              <w:instrText xml:space="preserve"> = 3 \* GB3 \* MERGEFORMAT </w:instrText>
            </w:r>
            <w:r>
              <w:rPr>
                <w:rFonts w:hint="default" w:ascii="Times New Roman" w:hAnsi="Times New Roman" w:cs="Times New Roman"/>
                <w:snapToGrid w:val="0"/>
                <w:color w:val="auto"/>
                <w:spacing w:val="-6"/>
                <w:kern w:val="21"/>
                <w:sz w:val="21"/>
                <w:szCs w:val="21"/>
              </w:rPr>
              <w:fldChar w:fldCharType="separate"/>
            </w:r>
            <w:r>
              <w:rPr>
                <w:rFonts w:hint="default" w:ascii="Times New Roman" w:hAnsi="Times New Roman" w:cs="Times New Roman"/>
                <w:color w:val="auto"/>
                <w:sz w:val="21"/>
                <w:szCs w:val="21"/>
              </w:rPr>
              <w:t>③</w:t>
            </w:r>
            <w:r>
              <w:rPr>
                <w:rFonts w:hint="default" w:ascii="Times New Roman" w:hAnsi="Times New Roman" w:cs="Times New Roman"/>
                <w:snapToGrid w:val="0"/>
                <w:color w:val="auto"/>
                <w:spacing w:val="-6"/>
                <w:kern w:val="21"/>
                <w:sz w:val="21"/>
                <w:szCs w:val="21"/>
              </w:rPr>
              <w:fldChar w:fldCharType="end"/>
            </w:r>
          </w:p>
        </w:tc>
        <w:tc>
          <w:tcPr>
            <w:tcW w:w="1633"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本项目</w:t>
            </w:r>
          </w:p>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排放量（固体废物产生量）</w:t>
            </w:r>
            <w:r>
              <w:rPr>
                <w:rFonts w:hint="default" w:ascii="Times New Roman" w:hAnsi="Times New Roman" w:cs="Times New Roman"/>
                <w:snapToGrid w:val="0"/>
                <w:color w:val="auto"/>
                <w:spacing w:val="-6"/>
                <w:kern w:val="21"/>
                <w:sz w:val="21"/>
                <w:szCs w:val="21"/>
              </w:rPr>
              <w:fldChar w:fldCharType="begin"/>
            </w:r>
            <w:r>
              <w:rPr>
                <w:rFonts w:hint="default" w:ascii="Times New Roman" w:hAnsi="Times New Roman" w:cs="Times New Roman"/>
                <w:snapToGrid w:val="0"/>
                <w:color w:val="auto"/>
                <w:spacing w:val="-6"/>
                <w:kern w:val="21"/>
                <w:sz w:val="21"/>
                <w:szCs w:val="21"/>
              </w:rPr>
              <w:instrText xml:space="preserve"> = 4 \* GB3 \* MERGEFORMAT </w:instrText>
            </w:r>
            <w:r>
              <w:rPr>
                <w:rFonts w:hint="default" w:ascii="Times New Roman" w:hAnsi="Times New Roman" w:cs="Times New Roman"/>
                <w:snapToGrid w:val="0"/>
                <w:color w:val="auto"/>
                <w:spacing w:val="-6"/>
                <w:kern w:val="21"/>
                <w:sz w:val="21"/>
                <w:szCs w:val="21"/>
              </w:rPr>
              <w:fldChar w:fldCharType="separate"/>
            </w:r>
            <w:r>
              <w:rPr>
                <w:rFonts w:hint="default" w:ascii="Times New Roman" w:hAnsi="Times New Roman" w:cs="Times New Roman"/>
                <w:color w:val="auto"/>
                <w:sz w:val="21"/>
                <w:szCs w:val="21"/>
              </w:rPr>
              <w:t>④</w:t>
            </w:r>
            <w:r>
              <w:rPr>
                <w:rFonts w:hint="default" w:ascii="Times New Roman" w:hAnsi="Times New Roman" w:cs="Times New Roman"/>
                <w:snapToGrid w:val="0"/>
                <w:color w:val="auto"/>
                <w:spacing w:val="-6"/>
                <w:kern w:val="21"/>
                <w:sz w:val="21"/>
                <w:szCs w:val="21"/>
              </w:rPr>
              <w:fldChar w:fldCharType="end"/>
            </w:r>
          </w:p>
        </w:tc>
        <w:tc>
          <w:tcPr>
            <w:tcW w:w="1843"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16"/>
                <w:kern w:val="21"/>
                <w:sz w:val="21"/>
                <w:szCs w:val="21"/>
              </w:rPr>
            </w:pPr>
            <w:r>
              <w:rPr>
                <w:rFonts w:hint="default" w:ascii="Times New Roman" w:hAnsi="Times New Roman" w:cs="Times New Roman"/>
                <w:snapToGrid w:val="0"/>
                <w:color w:val="auto"/>
                <w:spacing w:val="-16"/>
                <w:kern w:val="21"/>
                <w:sz w:val="21"/>
                <w:szCs w:val="21"/>
              </w:rPr>
              <w:t>以新带老削减量</w:t>
            </w:r>
          </w:p>
          <w:p>
            <w:pPr>
              <w:adjustRightInd w:val="0"/>
              <w:snapToGrid w:val="0"/>
              <w:jc w:val="center"/>
              <w:rPr>
                <w:rFonts w:hint="default" w:ascii="Times New Roman" w:hAnsi="Times New Roman" w:cs="Times New Roman"/>
                <w:snapToGrid w:val="0"/>
                <w:color w:val="auto"/>
                <w:spacing w:val="-16"/>
                <w:kern w:val="21"/>
                <w:sz w:val="21"/>
                <w:szCs w:val="21"/>
              </w:rPr>
            </w:pPr>
            <w:r>
              <w:rPr>
                <w:rFonts w:hint="default" w:ascii="Times New Roman" w:hAnsi="Times New Roman" w:cs="Times New Roman"/>
                <w:snapToGrid w:val="0"/>
                <w:color w:val="auto"/>
                <w:spacing w:val="-16"/>
                <w:kern w:val="21"/>
                <w:sz w:val="21"/>
                <w:szCs w:val="21"/>
              </w:rPr>
              <w:t>（新建项目不填）</w:t>
            </w:r>
            <w:r>
              <w:rPr>
                <w:rFonts w:hint="default" w:ascii="Times New Roman" w:hAnsi="Times New Roman" w:cs="Times New Roman"/>
                <w:snapToGrid w:val="0"/>
                <w:color w:val="auto"/>
                <w:spacing w:val="-16"/>
                <w:kern w:val="21"/>
                <w:sz w:val="21"/>
                <w:szCs w:val="21"/>
              </w:rPr>
              <w:fldChar w:fldCharType="begin"/>
            </w:r>
            <w:r>
              <w:rPr>
                <w:rFonts w:hint="default" w:ascii="Times New Roman" w:hAnsi="Times New Roman" w:cs="Times New Roman"/>
                <w:snapToGrid w:val="0"/>
                <w:color w:val="auto"/>
                <w:spacing w:val="-16"/>
                <w:kern w:val="21"/>
                <w:sz w:val="21"/>
                <w:szCs w:val="21"/>
              </w:rPr>
              <w:instrText xml:space="preserve"> = 5 \* GB3 \* MERGEFORMAT </w:instrText>
            </w:r>
            <w:r>
              <w:rPr>
                <w:rFonts w:hint="default" w:ascii="Times New Roman" w:hAnsi="Times New Roman" w:cs="Times New Roman"/>
                <w:snapToGrid w:val="0"/>
                <w:color w:val="auto"/>
                <w:spacing w:val="-16"/>
                <w:kern w:val="21"/>
                <w:sz w:val="21"/>
                <w:szCs w:val="21"/>
              </w:rPr>
              <w:fldChar w:fldCharType="separate"/>
            </w:r>
            <w:r>
              <w:rPr>
                <w:rFonts w:hint="default" w:ascii="Times New Roman" w:hAnsi="Times New Roman" w:cs="Times New Roman"/>
                <w:color w:val="auto"/>
                <w:sz w:val="21"/>
                <w:szCs w:val="21"/>
              </w:rPr>
              <w:t>⑤</w:t>
            </w:r>
            <w:r>
              <w:rPr>
                <w:rFonts w:hint="default" w:ascii="Times New Roman" w:hAnsi="Times New Roman" w:cs="Times New Roman"/>
                <w:snapToGrid w:val="0"/>
                <w:color w:val="auto"/>
                <w:spacing w:val="-16"/>
                <w:kern w:val="21"/>
                <w:sz w:val="21"/>
                <w:szCs w:val="21"/>
              </w:rPr>
              <w:fldChar w:fldCharType="end"/>
            </w:r>
          </w:p>
        </w:tc>
        <w:tc>
          <w:tcPr>
            <w:tcW w:w="2052"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16"/>
                <w:kern w:val="21"/>
                <w:sz w:val="21"/>
                <w:szCs w:val="21"/>
              </w:rPr>
            </w:pPr>
            <w:r>
              <w:rPr>
                <w:rFonts w:hint="default" w:ascii="Times New Roman" w:hAnsi="Times New Roman" w:cs="Times New Roman"/>
                <w:snapToGrid w:val="0"/>
                <w:color w:val="auto"/>
                <w:spacing w:val="-16"/>
                <w:kern w:val="21"/>
                <w:sz w:val="21"/>
                <w:szCs w:val="21"/>
              </w:rPr>
              <w:t>本项目建成后</w:t>
            </w:r>
          </w:p>
          <w:p>
            <w:pPr>
              <w:adjustRightInd w:val="0"/>
              <w:snapToGrid w:val="0"/>
              <w:jc w:val="center"/>
              <w:rPr>
                <w:rFonts w:hint="default" w:ascii="Times New Roman" w:hAnsi="Times New Roman" w:cs="Times New Roman"/>
                <w:snapToGrid w:val="0"/>
                <w:color w:val="auto"/>
                <w:spacing w:val="-16"/>
                <w:kern w:val="21"/>
                <w:sz w:val="21"/>
                <w:szCs w:val="21"/>
              </w:rPr>
            </w:pPr>
            <w:r>
              <w:rPr>
                <w:rFonts w:hint="default" w:ascii="Times New Roman" w:hAnsi="Times New Roman" w:cs="Times New Roman"/>
                <w:snapToGrid w:val="0"/>
                <w:color w:val="auto"/>
                <w:spacing w:val="-16"/>
                <w:kern w:val="21"/>
                <w:sz w:val="21"/>
                <w:szCs w:val="21"/>
              </w:rPr>
              <w:t>全厂排放量（固体废物产生量）</w:t>
            </w:r>
            <w:r>
              <w:rPr>
                <w:rFonts w:hint="default" w:ascii="Times New Roman" w:hAnsi="Times New Roman" w:cs="Times New Roman"/>
                <w:snapToGrid w:val="0"/>
                <w:color w:val="auto"/>
                <w:spacing w:val="-16"/>
                <w:kern w:val="21"/>
                <w:sz w:val="21"/>
                <w:szCs w:val="21"/>
              </w:rPr>
              <w:fldChar w:fldCharType="begin"/>
            </w:r>
            <w:r>
              <w:rPr>
                <w:rFonts w:hint="default" w:ascii="Times New Roman" w:hAnsi="Times New Roman" w:cs="Times New Roman"/>
                <w:snapToGrid w:val="0"/>
                <w:color w:val="auto"/>
                <w:spacing w:val="-16"/>
                <w:kern w:val="21"/>
                <w:sz w:val="21"/>
                <w:szCs w:val="21"/>
              </w:rPr>
              <w:instrText xml:space="preserve"> = 6 \* GB3 \* MERGEFORMAT </w:instrText>
            </w:r>
            <w:r>
              <w:rPr>
                <w:rFonts w:hint="default" w:ascii="Times New Roman" w:hAnsi="Times New Roman" w:cs="Times New Roman"/>
                <w:snapToGrid w:val="0"/>
                <w:color w:val="auto"/>
                <w:spacing w:val="-16"/>
                <w:kern w:val="21"/>
                <w:sz w:val="21"/>
                <w:szCs w:val="21"/>
              </w:rPr>
              <w:fldChar w:fldCharType="separate"/>
            </w:r>
            <w:r>
              <w:rPr>
                <w:rFonts w:hint="default" w:ascii="Times New Roman" w:hAnsi="Times New Roman" w:cs="Times New Roman"/>
                <w:color w:val="auto"/>
                <w:sz w:val="21"/>
                <w:szCs w:val="21"/>
              </w:rPr>
              <w:t>⑥</w:t>
            </w:r>
            <w:r>
              <w:rPr>
                <w:rFonts w:hint="default" w:ascii="Times New Roman" w:hAnsi="Times New Roman" w:cs="Times New Roman"/>
                <w:snapToGrid w:val="0"/>
                <w:color w:val="auto"/>
                <w:spacing w:val="-16"/>
                <w:kern w:val="21"/>
                <w:sz w:val="21"/>
                <w:szCs w:val="21"/>
              </w:rPr>
              <w:fldChar w:fldCharType="end"/>
            </w:r>
          </w:p>
        </w:tc>
        <w:tc>
          <w:tcPr>
            <w:tcW w:w="1002" w:type="dxa"/>
            <w:tcMar>
              <w:left w:w="28" w:type="dxa"/>
              <w:right w:w="28" w:type="dxa"/>
            </w:tcMar>
            <w:vAlign w:val="center"/>
          </w:tcPr>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t>变化量</w:t>
            </w:r>
          </w:p>
          <w:p>
            <w:pPr>
              <w:adjustRightInd w:val="0"/>
              <w:snapToGrid w:val="0"/>
              <w:jc w:val="center"/>
              <w:rPr>
                <w:rFonts w:hint="default" w:ascii="Times New Roman" w:hAnsi="Times New Roman" w:cs="Times New Roman"/>
                <w:snapToGrid w:val="0"/>
                <w:color w:val="auto"/>
                <w:spacing w:val="-6"/>
                <w:kern w:val="21"/>
                <w:sz w:val="21"/>
                <w:szCs w:val="21"/>
              </w:rPr>
            </w:pPr>
            <w:r>
              <w:rPr>
                <w:rFonts w:hint="default" w:ascii="Times New Roman" w:hAnsi="Times New Roman" w:cs="Times New Roman"/>
                <w:snapToGrid w:val="0"/>
                <w:color w:val="auto"/>
                <w:spacing w:val="-6"/>
                <w:kern w:val="21"/>
                <w:sz w:val="21"/>
                <w:szCs w:val="21"/>
              </w:rPr>
              <w:fldChar w:fldCharType="begin"/>
            </w:r>
            <w:r>
              <w:rPr>
                <w:rFonts w:hint="default" w:ascii="Times New Roman" w:hAnsi="Times New Roman" w:cs="Times New Roman"/>
                <w:snapToGrid w:val="0"/>
                <w:color w:val="auto"/>
                <w:spacing w:val="-6"/>
                <w:kern w:val="21"/>
                <w:sz w:val="21"/>
                <w:szCs w:val="21"/>
              </w:rPr>
              <w:instrText xml:space="preserve"> = 7 \* GB3 \* MERGEFORMAT </w:instrText>
            </w:r>
            <w:r>
              <w:rPr>
                <w:rFonts w:hint="default" w:ascii="Times New Roman" w:hAnsi="Times New Roman" w:cs="Times New Roman"/>
                <w:snapToGrid w:val="0"/>
                <w:color w:val="auto"/>
                <w:spacing w:val="-6"/>
                <w:kern w:val="21"/>
                <w:sz w:val="21"/>
                <w:szCs w:val="21"/>
              </w:rPr>
              <w:fldChar w:fldCharType="separate"/>
            </w:r>
            <w:r>
              <w:rPr>
                <w:rFonts w:hint="default" w:ascii="Times New Roman" w:hAnsi="Times New Roman" w:cs="Times New Roman"/>
                <w:color w:val="auto"/>
                <w:sz w:val="21"/>
                <w:szCs w:val="21"/>
              </w:rPr>
              <w:t>⑦</w:t>
            </w:r>
            <w:r>
              <w:rPr>
                <w:rFonts w:hint="default" w:ascii="Times New Roman" w:hAnsi="Times New Roman" w:cs="Times New Roman"/>
                <w:snapToGrid w:val="0"/>
                <w:color w:val="auto"/>
                <w:spacing w:val="-6"/>
                <w:kern w:val="21"/>
                <w:sz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restart"/>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废气</w:t>
            </w:r>
          </w:p>
        </w:tc>
        <w:tc>
          <w:tcPr>
            <w:tcW w:w="2013"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VOCs</w:t>
            </w:r>
            <w:r>
              <w:rPr>
                <w:rFonts w:hint="default" w:ascii="Times New Roman" w:hAnsi="Times New Roman" w:cs="Times New Roman"/>
                <w:snapToGrid w:val="0"/>
                <w:color w:val="auto"/>
                <w:kern w:val="21"/>
                <w:sz w:val="21"/>
                <w:szCs w:val="21"/>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0.714</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0.714</w:t>
            </w:r>
          </w:p>
        </w:tc>
        <w:tc>
          <w:tcPr>
            <w:tcW w:w="178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1633" w:type="dxa"/>
            <w:vAlign w:val="center"/>
          </w:tcPr>
          <w:p>
            <w:pPr>
              <w:pStyle w:val="8"/>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rPr>
              <w:t>0.71</w:t>
            </w:r>
          </w:p>
        </w:tc>
        <w:tc>
          <w:tcPr>
            <w:tcW w:w="1843" w:type="dxa"/>
            <w:vAlign w:val="center"/>
          </w:tcPr>
          <w:p>
            <w:pPr>
              <w:jc w:val="center"/>
              <w:rPr>
                <w:rFonts w:hint="default" w:ascii="Times New Roman" w:hAnsi="Times New Roman" w:eastAsia="宋体" w:cs="Times New Roman"/>
                <w:snapToGrid w:val="0"/>
                <w:color w:val="auto"/>
                <w:kern w:val="21"/>
                <w:sz w:val="21"/>
                <w:szCs w:val="21"/>
                <w:lang w:val="en-US" w:eastAsia="zh-CN" w:bidi="ar-SA"/>
              </w:rPr>
            </w:pPr>
            <w:r>
              <w:rPr>
                <w:rFonts w:hint="eastAsia"/>
                <w:bCs/>
                <w:color w:val="auto"/>
                <w:kern w:val="2"/>
                <w:sz w:val="21"/>
                <w:szCs w:val="21"/>
                <w:lang w:val="en-US" w:eastAsia="zh-CN"/>
              </w:rPr>
              <w:t>0.714</w:t>
            </w:r>
          </w:p>
        </w:tc>
        <w:tc>
          <w:tcPr>
            <w:tcW w:w="2052" w:type="dxa"/>
            <w:vAlign w:val="center"/>
          </w:tcPr>
          <w:p>
            <w:pPr>
              <w:pStyle w:val="8"/>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kern w:val="2"/>
                <w:sz w:val="21"/>
                <w:szCs w:val="21"/>
                <w:lang w:val="en-US" w:eastAsia="zh-CN"/>
              </w:rPr>
              <w:t>0.71</w:t>
            </w:r>
          </w:p>
        </w:tc>
        <w:tc>
          <w:tcPr>
            <w:tcW w:w="1002" w:type="dxa"/>
            <w:vAlign w:val="center"/>
          </w:tcPr>
          <w:p>
            <w:pPr>
              <w:pStyle w:val="8"/>
              <w:ind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color w:val="auto"/>
                <w:kern w:val="2"/>
                <w:sz w:val="21"/>
                <w:szCs w:val="21"/>
                <w:lang w:val="en-US" w:eastAsia="zh-CN"/>
              </w:rPr>
              <w:t>-</w:t>
            </w:r>
            <w:r>
              <w:rPr>
                <w:rFonts w:hint="eastAsia"/>
                <w:bCs/>
                <w:color w:val="auto"/>
                <w:kern w:val="2"/>
                <w:sz w:val="21"/>
                <w:szCs w:val="21"/>
                <w:lang w:val="en-US" w:eastAsia="zh-CN"/>
              </w:rPr>
              <w:t>0.004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FF0000"/>
                <w:kern w:val="21"/>
                <w:sz w:val="21"/>
                <w:szCs w:val="21"/>
              </w:rPr>
            </w:pPr>
          </w:p>
        </w:tc>
        <w:tc>
          <w:tcPr>
            <w:tcW w:w="2013"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颗粒物（t/a）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0.847</w:t>
            </w:r>
          </w:p>
        </w:tc>
        <w:tc>
          <w:tcPr>
            <w:tcW w:w="1335"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eastAsia" w:cs="Times New Roman"/>
                <w:snapToGrid w:val="0"/>
                <w:color w:val="auto"/>
                <w:kern w:val="21"/>
                <w:sz w:val="21"/>
                <w:szCs w:val="21"/>
                <w:lang w:val="en-US" w:eastAsia="zh-CN"/>
              </w:rPr>
              <w:t>0.847</w:t>
            </w:r>
          </w:p>
        </w:tc>
        <w:tc>
          <w:tcPr>
            <w:tcW w:w="1782"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pStyle w:val="8"/>
              <w:ind w:firstLine="0" w:firstLineChars="0"/>
              <w:jc w:val="center"/>
              <w:rPr>
                <w:rFonts w:hint="default" w:ascii="Times New Roman" w:hAnsi="Times New Roman" w:cs="Times New Roman"/>
                <w:color w:val="auto"/>
                <w:kern w:val="2"/>
                <w:sz w:val="21"/>
                <w:szCs w:val="21"/>
                <w:lang w:val="en-US" w:eastAsia="zh-CN"/>
              </w:rPr>
            </w:pPr>
            <w:r>
              <w:rPr>
                <w:rFonts w:hint="eastAsia"/>
                <w:color w:val="auto"/>
                <w:sz w:val="21"/>
                <w:szCs w:val="21"/>
                <w:lang w:val="en-US" w:eastAsia="zh-CN"/>
              </w:rPr>
              <w:t>10.747</w:t>
            </w:r>
          </w:p>
        </w:tc>
        <w:tc>
          <w:tcPr>
            <w:tcW w:w="1843" w:type="dxa"/>
            <w:vAlign w:val="center"/>
          </w:tcPr>
          <w:p>
            <w:pPr>
              <w:jc w:val="center"/>
              <w:rPr>
                <w:rFonts w:hint="default" w:ascii="Times New Roman" w:hAnsi="Times New Roman" w:cs="Times New Roman"/>
                <w:snapToGrid w:val="0"/>
                <w:color w:val="auto"/>
                <w:kern w:val="21"/>
                <w:sz w:val="21"/>
                <w:szCs w:val="21"/>
              </w:rPr>
            </w:pPr>
            <w:r>
              <w:rPr>
                <w:rFonts w:hint="eastAsia"/>
                <w:color w:val="auto"/>
                <w:sz w:val="21"/>
                <w:szCs w:val="21"/>
                <w:lang w:val="en-US" w:eastAsia="zh-CN"/>
              </w:rPr>
              <w:t>0.676</w:t>
            </w:r>
          </w:p>
        </w:tc>
        <w:tc>
          <w:tcPr>
            <w:tcW w:w="2052" w:type="dxa"/>
            <w:vAlign w:val="center"/>
          </w:tcPr>
          <w:p>
            <w:pPr>
              <w:pStyle w:val="8"/>
              <w:ind w:firstLine="0" w:firstLineChars="0"/>
              <w:jc w:val="center"/>
              <w:rPr>
                <w:rFonts w:hint="default" w:ascii="Times New Roman" w:hAnsi="Times New Roman" w:cs="Times New Roman"/>
                <w:color w:val="auto"/>
                <w:kern w:val="2"/>
                <w:sz w:val="21"/>
                <w:szCs w:val="21"/>
                <w:lang w:val="en-US" w:eastAsia="zh-CN"/>
              </w:rPr>
            </w:pPr>
            <w:r>
              <w:rPr>
                <w:rFonts w:hint="eastAsia"/>
                <w:color w:val="auto"/>
                <w:kern w:val="2"/>
                <w:sz w:val="21"/>
                <w:szCs w:val="21"/>
                <w:lang w:val="en-US" w:eastAsia="zh-CN"/>
              </w:rPr>
              <w:t>10.918</w:t>
            </w:r>
          </w:p>
        </w:tc>
        <w:tc>
          <w:tcPr>
            <w:tcW w:w="1002" w:type="dxa"/>
            <w:vAlign w:val="center"/>
          </w:tcPr>
          <w:p>
            <w:pPr>
              <w:pStyle w:val="8"/>
              <w:ind w:firstLine="0" w:firstLineChars="0"/>
              <w:jc w:val="center"/>
              <w:rPr>
                <w:rFonts w:hint="default" w:ascii="Times New Roman" w:hAnsi="Times New Roman" w:cs="Times New Roman"/>
                <w:color w:val="auto"/>
                <w:kern w:val="2"/>
                <w:sz w:val="21"/>
                <w:szCs w:val="21"/>
                <w:lang w:val="en-US" w:eastAsia="zh-CN"/>
              </w:rPr>
            </w:pPr>
            <w:r>
              <w:rPr>
                <w:rFonts w:hint="eastAsia"/>
                <w:color w:val="auto"/>
                <w:kern w:val="2"/>
                <w:sz w:val="21"/>
                <w:szCs w:val="21"/>
                <w:lang w:val="en-US" w:eastAsia="zh-CN"/>
              </w:rPr>
              <w:t>+</w:t>
            </w:r>
            <w:r>
              <w:rPr>
                <w:rFonts w:hint="eastAsia"/>
                <w:color w:val="auto"/>
                <w:sz w:val="21"/>
                <w:szCs w:val="21"/>
                <w:lang w:val="en-US" w:eastAsia="zh-CN"/>
              </w:rPr>
              <w:t>10.071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restart"/>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废水</w:t>
            </w:r>
          </w:p>
        </w:tc>
        <w:tc>
          <w:tcPr>
            <w:tcW w:w="2013"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废水量（万t/a）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0.102</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0.102</w:t>
            </w:r>
          </w:p>
        </w:tc>
        <w:tc>
          <w:tcPr>
            <w:tcW w:w="1782"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w:t>
            </w:r>
          </w:p>
        </w:tc>
        <w:tc>
          <w:tcPr>
            <w:tcW w:w="1633" w:type="dxa"/>
            <w:vAlign w:val="center"/>
          </w:tcPr>
          <w:p>
            <w:pPr>
              <w:jc w:val="center"/>
              <w:rPr>
                <w:rFonts w:hint="default" w:ascii="Times New Roman" w:hAnsi="Times New Roman" w:cs="Times New Roman"/>
                <w:snapToGrid w:val="0"/>
                <w:color w:val="auto"/>
                <w:kern w:val="21"/>
                <w:sz w:val="21"/>
                <w:szCs w:val="21"/>
              </w:rPr>
            </w:pPr>
            <w:r>
              <w:rPr>
                <w:rFonts w:hint="default" w:ascii="Times New Roman" w:hAnsi="Times New Roman" w:cs="Times New Roman"/>
                <w:color w:val="auto"/>
                <w:sz w:val="21"/>
                <w:szCs w:val="21"/>
                <w:lang w:val="en-US" w:eastAsia="zh-CN"/>
              </w:rPr>
              <w:t>0.012</w:t>
            </w:r>
          </w:p>
        </w:tc>
        <w:tc>
          <w:tcPr>
            <w:tcW w:w="184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snapToGrid w:val="0"/>
                <w:color w:val="auto"/>
                <w:kern w:val="21"/>
                <w:sz w:val="21"/>
                <w:szCs w:val="21"/>
                <w:lang w:val="en-US" w:eastAsia="zh-CN" w:bidi="ar-SA"/>
              </w:rPr>
            </w:pPr>
            <w:r>
              <w:rPr>
                <w:rFonts w:hint="eastAsia"/>
                <w:bCs/>
                <w:color w:val="auto"/>
                <w:kern w:val="2"/>
                <w:sz w:val="21"/>
                <w:szCs w:val="21"/>
                <w:lang w:val="en-US" w:eastAsia="zh-CN"/>
              </w:rPr>
              <w:t>0</w:t>
            </w:r>
          </w:p>
        </w:tc>
        <w:tc>
          <w:tcPr>
            <w:tcW w:w="2052"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snapToGrid w:val="0"/>
                <w:color w:val="auto"/>
                <w:kern w:val="21"/>
                <w:sz w:val="21"/>
                <w:szCs w:val="21"/>
                <w:lang w:val="en-US" w:eastAsia="zh-CN"/>
              </w:rPr>
            </w:pPr>
            <w:r>
              <w:rPr>
                <w:rFonts w:hint="eastAsia"/>
                <w:bCs/>
                <w:color w:val="auto"/>
                <w:kern w:val="2"/>
                <w:sz w:val="21"/>
                <w:szCs w:val="21"/>
                <w:lang w:val="en-US" w:eastAsia="zh-CN"/>
              </w:rPr>
              <w:t>0.114</w:t>
            </w:r>
          </w:p>
        </w:tc>
        <w:tc>
          <w:tcPr>
            <w:tcW w:w="1002" w:type="dxa"/>
            <w:vAlign w:val="center"/>
          </w:tcPr>
          <w:p>
            <w:pPr>
              <w:jc w:val="center"/>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cs="Times New Roman"/>
                <w:color w:val="auto"/>
                <w:sz w:val="21"/>
                <w:szCs w:val="21"/>
                <w:lang w:val="en-US" w:eastAsia="zh-CN"/>
              </w:rPr>
              <w:t>+0.012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COD（t/a）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0.051</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0.051</w:t>
            </w:r>
          </w:p>
        </w:tc>
        <w:tc>
          <w:tcPr>
            <w:tcW w:w="1782"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w:t>
            </w:r>
          </w:p>
        </w:tc>
        <w:tc>
          <w:tcPr>
            <w:tcW w:w="1633" w:type="dxa"/>
            <w:vAlign w:val="center"/>
          </w:tcPr>
          <w:p>
            <w:pPr>
              <w:jc w:val="center"/>
              <w:rPr>
                <w:rFonts w:hint="default" w:ascii="Times New Roman" w:hAnsi="Times New Roman" w:cs="Times New Roman"/>
                <w:snapToGrid w:val="0"/>
                <w:color w:val="auto"/>
                <w:kern w:val="21"/>
                <w:sz w:val="21"/>
                <w:szCs w:val="21"/>
                <w:lang w:val="en-US"/>
              </w:rPr>
            </w:pPr>
            <w:r>
              <w:rPr>
                <w:rFonts w:hint="default" w:ascii="Times New Roman" w:hAnsi="Times New Roman" w:cs="Times New Roman"/>
                <w:color w:val="auto"/>
                <w:sz w:val="21"/>
                <w:szCs w:val="21"/>
              </w:rPr>
              <w:t>0.0</w:t>
            </w:r>
            <w:r>
              <w:rPr>
                <w:rFonts w:hint="default" w:ascii="Times New Roman" w:hAnsi="Times New Roman" w:cs="Times New Roman"/>
                <w:color w:val="auto"/>
                <w:sz w:val="21"/>
                <w:szCs w:val="21"/>
                <w:lang w:val="en-US" w:eastAsia="zh-CN"/>
              </w:rPr>
              <w:t>05</w:t>
            </w:r>
          </w:p>
        </w:tc>
        <w:tc>
          <w:tcPr>
            <w:tcW w:w="184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snapToGrid w:val="0"/>
                <w:color w:val="auto"/>
                <w:kern w:val="21"/>
                <w:sz w:val="21"/>
                <w:szCs w:val="21"/>
                <w:lang w:val="en-US" w:eastAsia="zh-CN" w:bidi="ar-SA"/>
              </w:rPr>
            </w:pPr>
            <w:r>
              <w:rPr>
                <w:rFonts w:hint="eastAsia"/>
                <w:bCs/>
                <w:color w:val="auto"/>
                <w:kern w:val="2"/>
                <w:sz w:val="21"/>
                <w:szCs w:val="21"/>
                <w:lang w:val="en-US" w:eastAsia="zh-CN"/>
              </w:rPr>
              <w:t>0.01</w:t>
            </w:r>
          </w:p>
        </w:tc>
        <w:tc>
          <w:tcPr>
            <w:tcW w:w="2052" w:type="dxa"/>
            <w:vAlign w:val="center"/>
          </w:tcPr>
          <w:p>
            <w:pPr>
              <w:pStyle w:val="103"/>
              <w:spacing w:line="240" w:lineRule="auto"/>
              <w:ind w:left="-120" w:leftChars="0" w:right="-120" w:rightChars="0" w:firstLine="0" w:firstLineChars="0"/>
              <w:jc w:val="center"/>
              <w:rPr>
                <w:rFonts w:hint="default" w:ascii="Times New Roman" w:hAnsi="Times New Roman" w:cs="Times New Roman"/>
                <w:snapToGrid w:val="0"/>
                <w:color w:val="auto"/>
                <w:kern w:val="21"/>
                <w:sz w:val="21"/>
                <w:szCs w:val="21"/>
              </w:rPr>
            </w:pPr>
            <w:r>
              <w:rPr>
                <w:rFonts w:hint="eastAsia"/>
                <w:bCs/>
                <w:color w:val="auto"/>
                <w:kern w:val="2"/>
                <w:sz w:val="21"/>
                <w:szCs w:val="21"/>
                <w:lang w:val="en-US" w:eastAsia="zh-CN"/>
              </w:rPr>
              <w:t>0.046</w:t>
            </w:r>
          </w:p>
        </w:tc>
        <w:tc>
          <w:tcPr>
            <w:tcW w:w="1002" w:type="dxa"/>
            <w:vAlign w:val="center"/>
          </w:tcPr>
          <w:p>
            <w:pPr>
              <w:pStyle w:val="103"/>
              <w:spacing w:line="240" w:lineRule="auto"/>
              <w:ind w:left="-120" w:leftChars="0" w:right="-120" w:rightChars="0" w:firstLine="0" w:firstLineChars="0"/>
              <w:jc w:val="center"/>
              <w:rPr>
                <w:rFonts w:hint="default" w:ascii="Times New Roman" w:hAnsi="Times New Roman" w:cs="Times New Roman"/>
                <w:snapToGrid w:val="0"/>
                <w:color w:val="auto"/>
                <w:kern w:val="21"/>
                <w:sz w:val="21"/>
                <w:szCs w:val="21"/>
              </w:rPr>
            </w:pPr>
            <w:r>
              <w:rPr>
                <w:rFonts w:hint="eastAsia"/>
                <w:bCs/>
                <w:color w:val="auto"/>
                <w:kern w:val="2"/>
                <w:sz w:val="21"/>
                <w:szCs w:val="21"/>
                <w:lang w:val="en-US" w:eastAsia="zh-CN"/>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氨氮（t/a）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0.006</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0.006</w:t>
            </w:r>
          </w:p>
        </w:tc>
        <w:tc>
          <w:tcPr>
            <w:tcW w:w="1782" w:type="dxa"/>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w:t>
            </w:r>
          </w:p>
        </w:tc>
        <w:tc>
          <w:tcPr>
            <w:tcW w:w="1633" w:type="dxa"/>
            <w:vAlign w:val="center"/>
          </w:tcPr>
          <w:p>
            <w:pPr>
              <w:jc w:val="center"/>
              <w:rPr>
                <w:rFonts w:hint="default" w:ascii="Times New Roman" w:hAnsi="Times New Roman" w:cs="Times New Roman"/>
                <w:snapToGrid w:val="0"/>
                <w:color w:val="auto"/>
                <w:kern w:val="21"/>
                <w:sz w:val="21"/>
                <w:szCs w:val="21"/>
              </w:rPr>
            </w:pPr>
            <w:r>
              <w:rPr>
                <w:rFonts w:hint="default" w:ascii="Times New Roman" w:hAnsi="Times New Roman" w:cs="Times New Roman"/>
                <w:color w:val="auto"/>
                <w:sz w:val="21"/>
                <w:szCs w:val="21"/>
              </w:rPr>
              <w:t>0.00</w:t>
            </w:r>
            <w:r>
              <w:rPr>
                <w:rFonts w:hint="default" w:ascii="Times New Roman" w:hAnsi="Times New Roman" w:cs="Times New Roman"/>
                <w:color w:val="auto"/>
                <w:sz w:val="21"/>
                <w:szCs w:val="21"/>
                <w:lang w:val="en-US" w:eastAsia="zh-CN"/>
              </w:rPr>
              <w:t>0</w:t>
            </w:r>
          </w:p>
        </w:tc>
        <w:tc>
          <w:tcPr>
            <w:tcW w:w="1843" w:type="dxa"/>
            <w:vAlign w:val="center"/>
          </w:tcPr>
          <w:p>
            <w:pPr>
              <w:pStyle w:val="103"/>
              <w:spacing w:line="240" w:lineRule="auto"/>
              <w:ind w:left="-120" w:leftChars="0" w:right="-120" w:rightChars="0" w:firstLine="0" w:firstLineChars="0"/>
              <w:jc w:val="center"/>
              <w:rPr>
                <w:rFonts w:hint="default" w:ascii="Times New Roman" w:hAnsi="Times New Roman" w:eastAsia="宋体" w:cs="Times New Roman"/>
                <w:snapToGrid w:val="0"/>
                <w:color w:val="auto"/>
                <w:kern w:val="21"/>
                <w:sz w:val="21"/>
                <w:szCs w:val="21"/>
                <w:lang w:val="en-US" w:eastAsia="zh-CN" w:bidi="ar-SA"/>
              </w:rPr>
            </w:pPr>
            <w:r>
              <w:rPr>
                <w:rFonts w:hint="eastAsia"/>
                <w:bCs/>
                <w:color w:val="auto"/>
                <w:kern w:val="2"/>
                <w:sz w:val="21"/>
                <w:szCs w:val="21"/>
                <w:lang w:val="en-US" w:eastAsia="zh-CN"/>
              </w:rPr>
              <w:t>0.004</w:t>
            </w:r>
          </w:p>
        </w:tc>
        <w:tc>
          <w:tcPr>
            <w:tcW w:w="2052" w:type="dxa"/>
            <w:vAlign w:val="center"/>
          </w:tcPr>
          <w:p>
            <w:pPr>
              <w:pStyle w:val="103"/>
              <w:spacing w:line="240" w:lineRule="auto"/>
              <w:ind w:left="-120" w:leftChars="0" w:right="-120" w:rightChars="0" w:firstLine="0" w:firstLineChars="0"/>
              <w:jc w:val="center"/>
              <w:rPr>
                <w:rFonts w:hint="default" w:ascii="Times New Roman" w:hAnsi="Times New Roman" w:cs="Times New Roman"/>
                <w:snapToGrid w:val="0"/>
                <w:color w:val="auto"/>
                <w:kern w:val="21"/>
                <w:sz w:val="21"/>
                <w:szCs w:val="21"/>
              </w:rPr>
            </w:pPr>
            <w:r>
              <w:rPr>
                <w:rFonts w:hint="eastAsia"/>
                <w:bCs/>
                <w:color w:val="auto"/>
                <w:kern w:val="2"/>
                <w:sz w:val="21"/>
                <w:szCs w:val="21"/>
                <w:lang w:val="en-US" w:eastAsia="zh-CN"/>
              </w:rPr>
              <w:t>0.002</w:t>
            </w:r>
          </w:p>
        </w:tc>
        <w:tc>
          <w:tcPr>
            <w:tcW w:w="1002" w:type="dxa"/>
            <w:vAlign w:val="center"/>
          </w:tcPr>
          <w:p>
            <w:pPr>
              <w:pStyle w:val="103"/>
              <w:spacing w:line="240" w:lineRule="auto"/>
              <w:ind w:left="-120" w:leftChars="0" w:right="-120" w:rightChars="0" w:firstLine="0" w:firstLineChars="0"/>
              <w:jc w:val="center"/>
              <w:rPr>
                <w:rFonts w:hint="default" w:ascii="Times New Roman" w:hAnsi="Times New Roman" w:cs="Times New Roman"/>
                <w:snapToGrid w:val="0"/>
                <w:color w:val="auto"/>
                <w:kern w:val="21"/>
                <w:sz w:val="21"/>
                <w:szCs w:val="21"/>
              </w:rPr>
            </w:pPr>
            <w:r>
              <w:rPr>
                <w:rFonts w:hint="eastAsia"/>
                <w:bCs/>
                <w:color w:val="auto"/>
                <w:kern w:val="2"/>
                <w:sz w:val="21"/>
                <w:szCs w:val="21"/>
                <w:lang w:val="en-US" w:eastAsia="zh-CN"/>
              </w:rPr>
              <w:t>-0.004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restart"/>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一般工业</w:t>
            </w:r>
          </w:p>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固体废物</w:t>
            </w:r>
          </w:p>
        </w:tc>
        <w:tc>
          <w:tcPr>
            <w:tcW w:w="2013" w:type="dxa"/>
            <w:vAlign w:val="center"/>
          </w:tcPr>
          <w:p>
            <w:pPr>
              <w:jc w:val="center"/>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snapToGrid w:val="0"/>
                <w:color w:val="auto"/>
                <w:kern w:val="21"/>
                <w:sz w:val="21"/>
                <w:szCs w:val="21"/>
                <w:lang w:val="en-US" w:eastAsia="zh-CN"/>
              </w:rPr>
              <w:t>生活垃圾（t/a）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25.5</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178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1633"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lang w:val="en-US" w:eastAsia="zh-CN"/>
              </w:rPr>
              <w:t>3</w:t>
            </w:r>
          </w:p>
        </w:tc>
        <w:tc>
          <w:tcPr>
            <w:tcW w:w="1843"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2052"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bidi="ar-SA"/>
              </w:rPr>
            </w:pPr>
            <w:r>
              <w:rPr>
                <w:rFonts w:hint="eastAsia" w:cs="Times New Roman"/>
                <w:color w:val="auto"/>
                <w:kern w:val="0"/>
                <w:sz w:val="21"/>
                <w:szCs w:val="21"/>
                <w:lang w:val="en-US" w:eastAsia="zh-CN"/>
              </w:rPr>
              <w:t>28.5</w:t>
            </w:r>
          </w:p>
        </w:tc>
        <w:tc>
          <w:tcPr>
            <w:tcW w:w="1002"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lang w:val="en-US" w:eastAsia="zh-CN"/>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snapToGrid w:val="0"/>
                <w:color w:val="auto"/>
                <w:kern w:val="21"/>
                <w:sz w:val="21"/>
                <w:szCs w:val="21"/>
                <w:lang w:val="en-US" w:eastAsia="zh-CN"/>
              </w:rPr>
              <w:t>收集的</w:t>
            </w:r>
            <w:r>
              <w:rPr>
                <w:rFonts w:hint="eastAsia" w:ascii="Times New Roman" w:hAnsi="Times New Roman" w:eastAsia="宋体" w:cs="Times New Roman"/>
                <w:snapToGrid w:val="0"/>
                <w:color w:val="auto"/>
                <w:kern w:val="21"/>
                <w:sz w:val="21"/>
                <w:szCs w:val="21"/>
                <w:lang w:val="en-US" w:eastAsia="zh-CN"/>
              </w:rPr>
              <w:t>金属</w:t>
            </w:r>
            <w:r>
              <w:rPr>
                <w:rFonts w:hint="default" w:ascii="Times New Roman" w:hAnsi="Times New Roman" w:eastAsia="宋体" w:cs="Times New Roman"/>
                <w:snapToGrid w:val="0"/>
                <w:color w:val="auto"/>
                <w:kern w:val="21"/>
                <w:sz w:val="21"/>
                <w:szCs w:val="21"/>
                <w:lang w:val="en-US" w:eastAsia="zh-CN"/>
              </w:rPr>
              <w:t>粉尘（t/a）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18.18</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178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1633"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91.75</w:t>
            </w:r>
          </w:p>
        </w:tc>
        <w:tc>
          <w:tcPr>
            <w:tcW w:w="1843"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18.18</w:t>
            </w:r>
          </w:p>
        </w:tc>
        <w:tc>
          <w:tcPr>
            <w:tcW w:w="2052"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91.75</w:t>
            </w:r>
          </w:p>
        </w:tc>
        <w:tc>
          <w:tcPr>
            <w:tcW w:w="1002"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+73.57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eastAsia="宋体" w:cs="Times New Roman"/>
                <w:bCs/>
                <w:color w:val="auto"/>
                <w:sz w:val="21"/>
                <w:szCs w:val="21"/>
                <w:lang w:val="en-US" w:eastAsia="zh-CN"/>
              </w:rPr>
              <w:t>金属边角料</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125</w:t>
            </w:r>
          </w:p>
        </w:tc>
        <w:tc>
          <w:tcPr>
            <w:tcW w:w="1335"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w:t>
            </w:r>
          </w:p>
        </w:tc>
        <w:tc>
          <w:tcPr>
            <w:tcW w:w="1843"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125</w:t>
            </w:r>
          </w:p>
        </w:tc>
        <w:tc>
          <w:tcPr>
            <w:tcW w:w="1002"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eastAsia="宋体" w:cs="Times New Roman"/>
                <w:bCs/>
                <w:color w:val="auto"/>
                <w:sz w:val="21"/>
                <w:szCs w:val="21"/>
                <w:lang w:val="en-US" w:eastAsia="zh-CN"/>
              </w:rPr>
              <w:t>无铅焊渣</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5.6</w:t>
            </w:r>
          </w:p>
        </w:tc>
        <w:tc>
          <w:tcPr>
            <w:tcW w:w="1335"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w:t>
            </w:r>
          </w:p>
        </w:tc>
        <w:tc>
          <w:tcPr>
            <w:tcW w:w="1843"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5.6</w:t>
            </w:r>
          </w:p>
        </w:tc>
        <w:tc>
          <w:tcPr>
            <w:tcW w:w="1002"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eastAsia" w:eastAsia="宋体" w:cs="Times New Roman"/>
                <w:bCs/>
                <w:color w:val="auto"/>
                <w:sz w:val="21"/>
                <w:szCs w:val="21"/>
                <w:lang w:val="en-US" w:eastAsia="zh-CN"/>
              </w:rPr>
            </w:pPr>
            <w:r>
              <w:rPr>
                <w:rFonts w:hint="eastAsia" w:eastAsia="宋体" w:cs="Times New Roman"/>
                <w:bCs/>
                <w:color w:val="auto"/>
                <w:sz w:val="21"/>
                <w:szCs w:val="21"/>
                <w:lang w:val="en-US" w:eastAsia="zh-CN"/>
              </w:rPr>
              <w:t>空气瓶</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0.5</w:t>
            </w:r>
          </w:p>
        </w:tc>
        <w:tc>
          <w:tcPr>
            <w:tcW w:w="1335"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w:t>
            </w:r>
          </w:p>
        </w:tc>
        <w:tc>
          <w:tcPr>
            <w:tcW w:w="1843"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0.5</w:t>
            </w:r>
          </w:p>
        </w:tc>
        <w:tc>
          <w:tcPr>
            <w:tcW w:w="1002"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 w:val="21"/>
                <w:szCs w:val="21"/>
                <w:lang w:val="en-US" w:eastAsia="zh-CN"/>
              </w:rPr>
              <w:t>收集的塑粉</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50.494</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48.9</w:t>
            </w:r>
          </w:p>
        </w:tc>
        <w:tc>
          <w:tcPr>
            <w:tcW w:w="1843"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50.494</w:t>
            </w:r>
          </w:p>
        </w:tc>
        <w:tc>
          <w:tcPr>
            <w:tcW w:w="2052" w:type="dxa"/>
            <w:vAlign w:val="center"/>
          </w:tcPr>
          <w:p>
            <w:pPr>
              <w:widowControl/>
              <w:adjustRightInd w:val="0"/>
              <w:snapToGrid w:val="0"/>
              <w:jc w:val="center"/>
              <w:outlineLvl w:val="2"/>
              <w:rPr>
                <w:rFonts w:hint="default" w:ascii="Times New Roman" w:hAnsi="Times New Roman" w:eastAsia="宋体" w:cs="Times New Roman"/>
                <w:color w:val="auto"/>
                <w:kern w:val="0"/>
                <w:sz w:val="21"/>
                <w:szCs w:val="21"/>
                <w:lang w:val="en-US" w:eastAsia="zh-CN"/>
              </w:rPr>
            </w:pPr>
            <w:r>
              <w:rPr>
                <w:rFonts w:hint="eastAsia" w:cs="Times New Roman"/>
                <w:snapToGrid w:val="0"/>
                <w:color w:val="auto"/>
                <w:kern w:val="21"/>
                <w:sz w:val="21"/>
                <w:szCs w:val="21"/>
                <w:lang w:val="en-US" w:eastAsia="zh-CN"/>
              </w:rPr>
              <w:t>48.9</w:t>
            </w:r>
          </w:p>
        </w:tc>
        <w:tc>
          <w:tcPr>
            <w:tcW w:w="1002" w:type="dxa"/>
            <w:vAlign w:val="center"/>
          </w:tcPr>
          <w:p>
            <w:pPr>
              <w:widowControl/>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-1.594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eastAsia" w:ascii="Times New Roman" w:hAnsi="Times New Roman" w:eastAsia="宋体" w:cs="Times New Roman"/>
                <w:bCs/>
                <w:color w:val="auto"/>
                <w:sz w:val="21"/>
                <w:szCs w:val="21"/>
                <w:lang w:val="en-US" w:eastAsia="zh-CN"/>
              </w:rPr>
            </w:pPr>
            <w:r>
              <w:rPr>
                <w:rFonts w:hint="eastAsia" w:ascii="Times New Roman" w:hAnsi="Times New Roman" w:cs="Times New Roman"/>
                <w:color w:val="auto"/>
                <w:sz w:val="21"/>
                <w:szCs w:val="21"/>
                <w:lang w:val="en-US" w:eastAsia="zh-CN"/>
              </w:rPr>
              <w:t>废滤芯及废布袋</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1.7</w:t>
            </w:r>
          </w:p>
        </w:tc>
        <w:tc>
          <w:tcPr>
            <w:tcW w:w="1843" w:type="dxa"/>
            <w:vAlign w:val="center"/>
          </w:tcPr>
          <w:p>
            <w:pPr>
              <w:adjustRightInd w:val="0"/>
              <w:snapToGrid w:val="0"/>
              <w:jc w:val="center"/>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1.7</w:t>
            </w:r>
          </w:p>
        </w:tc>
        <w:tc>
          <w:tcPr>
            <w:tcW w:w="1002" w:type="dxa"/>
            <w:vAlign w:val="center"/>
          </w:tcPr>
          <w:p>
            <w:pPr>
              <w:widowControl/>
              <w:adjustRightInd w:val="0"/>
              <w:snapToGrid w:val="0"/>
              <w:jc w:val="center"/>
              <w:outlineLvl w:val="2"/>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废塑粉</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10.1</w:t>
            </w:r>
          </w:p>
        </w:tc>
        <w:tc>
          <w:tcPr>
            <w:tcW w:w="1843"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10.1</w:t>
            </w:r>
          </w:p>
        </w:tc>
        <w:tc>
          <w:tcPr>
            <w:tcW w:w="100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废金刚砂</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30</w:t>
            </w:r>
          </w:p>
        </w:tc>
        <w:tc>
          <w:tcPr>
            <w:tcW w:w="1843"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30</w:t>
            </w:r>
          </w:p>
        </w:tc>
        <w:tc>
          <w:tcPr>
            <w:tcW w:w="100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+30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eastAsia" w:ascii="Times New Roman" w:hAnsi="Times New Roman" w:cs="Times New Roman"/>
                <w:color w:val="auto"/>
                <w:sz w:val="21"/>
                <w:szCs w:val="21"/>
                <w:lang w:val="en-US" w:eastAsia="zh-CN"/>
              </w:rPr>
            </w:pPr>
            <w:r>
              <w:rPr>
                <w:rFonts w:hint="eastAsia"/>
                <w:color w:val="auto"/>
                <w:sz w:val="21"/>
                <w:szCs w:val="21"/>
                <w:lang w:val="en-US" w:eastAsia="zh-CN"/>
              </w:rPr>
              <w:t>一般废弃包装材料</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10</w:t>
            </w:r>
          </w:p>
        </w:tc>
        <w:tc>
          <w:tcPr>
            <w:tcW w:w="1843"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10</w:t>
            </w:r>
          </w:p>
        </w:tc>
        <w:tc>
          <w:tcPr>
            <w:tcW w:w="100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eastAsia"/>
                <w:color w:val="auto"/>
                <w:sz w:val="21"/>
                <w:szCs w:val="21"/>
                <w:lang w:val="en-US" w:eastAsia="zh-CN"/>
              </w:rPr>
            </w:pPr>
            <w:r>
              <w:rPr>
                <w:rFonts w:hint="eastAsia"/>
                <w:color w:val="auto"/>
                <w:sz w:val="21"/>
                <w:szCs w:val="21"/>
                <w:lang w:val="en-US" w:eastAsia="zh-CN"/>
              </w:rPr>
              <w:t>废催化块</w:t>
            </w:r>
            <w:r>
              <w:rPr>
                <w:rFonts w:hint="default" w:ascii="Times New Roman" w:hAnsi="Times New Roman" w:eastAsia="宋体" w:cs="Times New Roman"/>
                <w:snapToGrid w:val="0"/>
                <w:color w:val="auto"/>
                <w:kern w:val="21"/>
                <w:sz w:val="21"/>
                <w:szCs w:val="21"/>
                <w:lang w:val="en-US" w:eastAsia="zh-CN"/>
              </w:rPr>
              <w:t>（t/</w:t>
            </w:r>
            <w:r>
              <w:rPr>
                <w:rFonts w:hint="eastAsia" w:ascii="Times New Roman" w:hAnsi="Times New Roman" w:eastAsia="宋体" w:cs="Times New Roman"/>
                <w:snapToGrid w:val="0"/>
                <w:color w:val="auto"/>
                <w:kern w:val="21"/>
                <w:sz w:val="21"/>
                <w:szCs w:val="21"/>
                <w:lang w:val="en-US" w:eastAsia="zh-CN"/>
              </w:rPr>
              <w:t>2</w:t>
            </w:r>
            <w:r>
              <w:rPr>
                <w:rFonts w:hint="default" w:ascii="Times New Roman" w:hAnsi="Times New Roman" w:eastAsia="宋体" w:cs="Times New Roman"/>
                <w:snapToGrid w:val="0"/>
                <w:color w:val="auto"/>
                <w:kern w:val="21"/>
                <w:sz w:val="21"/>
                <w:szCs w:val="21"/>
                <w:lang w:val="en-US" w:eastAsia="zh-CN"/>
              </w:rPr>
              <w: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0.15</w:t>
            </w:r>
          </w:p>
        </w:tc>
        <w:tc>
          <w:tcPr>
            <w:tcW w:w="1843"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0.15</w:t>
            </w:r>
          </w:p>
        </w:tc>
        <w:tc>
          <w:tcPr>
            <w:tcW w:w="1002" w:type="dxa"/>
            <w:vAlign w:val="center"/>
          </w:tcPr>
          <w:p>
            <w:pPr>
              <w:widowControl/>
              <w:adjustRightInd w:val="0"/>
              <w:snapToGrid w:val="0"/>
              <w:jc w:val="center"/>
              <w:outlineLvl w:val="2"/>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+0.15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restart"/>
            <w:vAlign w:val="center"/>
          </w:tcPr>
          <w:p>
            <w:pPr>
              <w:adjustRightInd w:val="0"/>
              <w:snapToGrid w:val="0"/>
              <w:jc w:val="center"/>
              <w:rPr>
                <w:rFonts w:hint="default" w:ascii="Times New Roman" w:hAnsi="Times New Roman" w:cs="Times New Roman"/>
                <w:snapToGrid w:val="0"/>
                <w:color w:val="auto"/>
                <w:kern w:val="21"/>
                <w:sz w:val="21"/>
                <w:szCs w:val="21"/>
              </w:rPr>
            </w:pPr>
            <w:r>
              <w:rPr>
                <w:rFonts w:hint="default" w:ascii="Times New Roman" w:hAnsi="Times New Roman" w:cs="Times New Roman"/>
                <w:snapToGrid w:val="0"/>
                <w:color w:val="auto"/>
                <w:kern w:val="21"/>
                <w:sz w:val="21"/>
                <w:szCs w:val="21"/>
              </w:rPr>
              <w:t>危险废物</w:t>
            </w:r>
          </w:p>
        </w:tc>
        <w:tc>
          <w:tcPr>
            <w:tcW w:w="2013" w:type="dxa"/>
            <w:vAlign w:val="center"/>
          </w:tcPr>
          <w:p>
            <w:pPr>
              <w:jc w:val="center"/>
              <w:rPr>
                <w:rFonts w:hint="default" w:ascii="Times New Roman" w:hAnsi="Times New Roman" w:eastAsia="宋体" w:cs="Times New Roman"/>
                <w:snapToGrid w:val="0"/>
                <w:color w:val="auto"/>
                <w:kern w:val="21"/>
                <w:sz w:val="21"/>
                <w:szCs w:val="21"/>
                <w:lang w:val="en-US" w:eastAsia="zh-CN"/>
              </w:rPr>
            </w:pPr>
            <w:r>
              <w:rPr>
                <w:rFonts w:hint="default" w:ascii="Times New Roman" w:hAnsi="Times New Roman" w:eastAsia="宋体" w:cs="Times New Roman"/>
                <w:snapToGrid w:val="0"/>
                <w:color w:val="auto"/>
                <w:kern w:val="21"/>
                <w:sz w:val="21"/>
                <w:szCs w:val="21"/>
                <w:lang w:val="en-US" w:eastAsia="zh-CN"/>
              </w:rPr>
              <w:t>废</w:t>
            </w:r>
            <w:r>
              <w:rPr>
                <w:rFonts w:hint="eastAsia" w:ascii="Times New Roman" w:hAnsi="Times New Roman" w:eastAsia="宋体" w:cs="Times New Roman"/>
                <w:snapToGrid w:val="0"/>
                <w:color w:val="auto"/>
                <w:kern w:val="21"/>
                <w:sz w:val="21"/>
                <w:szCs w:val="21"/>
                <w:lang w:val="en-US" w:eastAsia="zh-CN"/>
              </w:rPr>
              <w:t>包装桶</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1.2</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178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rPr>
              <w:t>/</w:t>
            </w:r>
          </w:p>
        </w:tc>
        <w:tc>
          <w:tcPr>
            <w:tcW w:w="1633" w:type="dxa"/>
            <w:vAlign w:val="center"/>
          </w:tcPr>
          <w:p>
            <w:pPr>
              <w:topLinePunct/>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rPr>
            </w:pPr>
            <w:r>
              <w:rPr>
                <w:rFonts w:hint="eastAsia" w:cs="Times New Roman"/>
                <w:color w:val="auto"/>
                <w:kern w:val="0"/>
                <w:sz w:val="21"/>
                <w:szCs w:val="21"/>
                <w:lang w:val="en-US" w:eastAsia="zh-CN"/>
              </w:rPr>
              <w:t>2.5</w:t>
            </w:r>
          </w:p>
        </w:tc>
        <w:tc>
          <w:tcPr>
            <w:tcW w:w="1843"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1.2</w:t>
            </w:r>
          </w:p>
        </w:tc>
        <w:tc>
          <w:tcPr>
            <w:tcW w:w="2052" w:type="dxa"/>
            <w:vAlign w:val="center"/>
          </w:tcPr>
          <w:p>
            <w:pPr>
              <w:topLinePunct/>
              <w:adjustRightInd w:val="0"/>
              <w:snapToGrid w:val="0"/>
              <w:jc w:val="center"/>
              <w:outlineLvl w:val="2"/>
              <w:rPr>
                <w:rFonts w:hint="default" w:ascii="Times New Roman" w:hAnsi="Times New Roman" w:eastAsia="宋体" w:cs="Times New Roman"/>
                <w:snapToGrid w:val="0"/>
                <w:color w:val="auto"/>
                <w:kern w:val="21"/>
                <w:sz w:val="21"/>
                <w:szCs w:val="21"/>
                <w:lang w:val="en-US" w:eastAsia="zh-CN"/>
              </w:rPr>
            </w:pPr>
            <w:r>
              <w:rPr>
                <w:rFonts w:hint="eastAsia" w:cs="Times New Roman"/>
                <w:color w:val="auto"/>
                <w:kern w:val="0"/>
                <w:sz w:val="21"/>
                <w:szCs w:val="21"/>
                <w:lang w:val="en-US" w:eastAsia="zh-CN"/>
              </w:rPr>
              <w:t>2.5</w:t>
            </w:r>
          </w:p>
        </w:tc>
        <w:tc>
          <w:tcPr>
            <w:tcW w:w="1002" w:type="dxa"/>
            <w:vAlign w:val="center"/>
          </w:tcPr>
          <w:p>
            <w:pPr>
              <w:topLinePunct/>
              <w:adjustRightInd w:val="0"/>
              <w:snapToGrid w:val="0"/>
              <w:jc w:val="center"/>
              <w:outlineLvl w:val="2"/>
              <w:rPr>
                <w:rFonts w:hint="default" w:ascii="Times New Roman" w:hAnsi="Times New Roman" w:cs="Times New Roman"/>
                <w:snapToGrid w:val="0"/>
                <w:color w:val="auto"/>
                <w:kern w:val="21"/>
                <w:sz w:val="21"/>
                <w:szCs w:val="21"/>
                <w:lang w:val="en-US"/>
              </w:rPr>
            </w:pPr>
            <w:r>
              <w:rPr>
                <w:rFonts w:hint="eastAsia" w:cs="Times New Roman"/>
                <w:color w:val="auto"/>
                <w:kern w:val="0"/>
                <w:sz w:val="21"/>
                <w:szCs w:val="21"/>
                <w:lang w:val="en-US" w:eastAsia="zh-CN"/>
              </w:rPr>
              <w:t>+1.3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eastAsia="宋体" w:cs="Times New Roman"/>
                <w:snapToGrid w:val="0"/>
                <w:color w:val="auto"/>
                <w:kern w:val="21"/>
                <w:sz w:val="21"/>
                <w:szCs w:val="21"/>
                <w:lang w:val="en-US" w:eastAsia="zh-CN"/>
              </w:rPr>
            </w:pPr>
            <w:r>
              <w:rPr>
                <w:rFonts w:hint="eastAsia" w:ascii="Times New Roman" w:hAnsi="Times New Roman" w:eastAsia="宋体" w:cs="Times New Roman"/>
                <w:snapToGrid w:val="0"/>
                <w:color w:val="auto"/>
                <w:kern w:val="21"/>
                <w:sz w:val="21"/>
                <w:szCs w:val="21"/>
                <w:lang w:val="en-US" w:eastAsia="zh-CN"/>
              </w:rPr>
              <w:t>漆渣</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0.06</w:t>
            </w:r>
          </w:p>
        </w:tc>
        <w:tc>
          <w:tcPr>
            <w:tcW w:w="1335"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topLinePunct/>
              <w:adjustRightInd w:val="0"/>
              <w:snapToGrid w:val="0"/>
              <w:jc w:val="center"/>
              <w:outlineLvl w:val="2"/>
              <w:rPr>
                <w:rFonts w:hint="default" w:ascii="Times New Roman" w:hAnsi="Times New Roman" w:cs="Times New Roman"/>
                <w:color w:val="auto"/>
                <w:kern w:val="0"/>
                <w:sz w:val="21"/>
                <w:szCs w:val="21"/>
                <w:lang w:val="en-US" w:eastAsia="zh-CN"/>
              </w:rPr>
            </w:pPr>
            <w:r>
              <w:rPr>
                <w:rFonts w:hint="eastAsia" w:cs="Times New Roman"/>
                <w:color w:val="auto"/>
                <w:kern w:val="0"/>
                <w:sz w:val="21"/>
                <w:szCs w:val="21"/>
                <w:lang w:val="en-US" w:eastAsia="zh-CN"/>
              </w:rPr>
              <w:t>5</w:t>
            </w:r>
          </w:p>
        </w:tc>
        <w:tc>
          <w:tcPr>
            <w:tcW w:w="1843"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0.06</w:t>
            </w:r>
          </w:p>
        </w:tc>
        <w:tc>
          <w:tcPr>
            <w:tcW w:w="2052" w:type="dxa"/>
            <w:vAlign w:val="center"/>
          </w:tcPr>
          <w:p>
            <w:pPr>
              <w:topLinePunct/>
              <w:adjustRightInd w:val="0"/>
              <w:snapToGrid w:val="0"/>
              <w:jc w:val="center"/>
              <w:outlineLvl w:val="2"/>
              <w:rPr>
                <w:rFonts w:hint="default" w:ascii="Times New Roman" w:hAnsi="Times New Roman" w:cs="Times New Roman"/>
                <w:color w:val="auto"/>
                <w:kern w:val="0"/>
                <w:sz w:val="21"/>
                <w:szCs w:val="21"/>
                <w:lang w:val="en-US" w:eastAsia="zh-CN"/>
              </w:rPr>
            </w:pPr>
            <w:r>
              <w:rPr>
                <w:rFonts w:hint="eastAsia" w:cs="Times New Roman"/>
                <w:color w:val="auto"/>
                <w:kern w:val="0"/>
                <w:sz w:val="21"/>
                <w:szCs w:val="21"/>
                <w:lang w:val="en-US" w:eastAsia="zh-CN"/>
              </w:rPr>
              <w:t>5</w:t>
            </w:r>
          </w:p>
        </w:tc>
        <w:tc>
          <w:tcPr>
            <w:tcW w:w="1002" w:type="dxa"/>
            <w:vAlign w:val="center"/>
          </w:tcPr>
          <w:p>
            <w:pPr>
              <w:topLinePunct/>
              <w:adjustRightInd w:val="0"/>
              <w:snapToGrid w:val="0"/>
              <w:jc w:val="center"/>
              <w:outlineLvl w:val="2"/>
              <w:rPr>
                <w:rFonts w:hint="default" w:ascii="Times New Roman" w:hAnsi="Times New Roman" w:cs="Times New Roman"/>
                <w:color w:val="auto"/>
                <w:kern w:val="0"/>
                <w:sz w:val="21"/>
                <w:szCs w:val="21"/>
                <w:lang w:val="en-US" w:eastAsia="zh-CN"/>
              </w:rPr>
            </w:pPr>
            <w:r>
              <w:rPr>
                <w:rFonts w:hint="eastAsia" w:cs="Times New Roman"/>
                <w:color w:val="auto"/>
                <w:kern w:val="0"/>
                <w:sz w:val="21"/>
                <w:szCs w:val="21"/>
                <w:lang w:val="en-US" w:eastAsia="zh-CN"/>
              </w:rPr>
              <w:t>+4.94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eastAsia="宋体" w:cs="Times New Roman"/>
                <w:snapToGrid w:val="0"/>
                <w:color w:val="auto"/>
                <w:kern w:val="21"/>
                <w:sz w:val="21"/>
                <w:szCs w:val="21"/>
                <w:lang w:val="en-US" w:eastAsia="zh-CN"/>
              </w:rPr>
            </w:pPr>
            <w:r>
              <w:rPr>
                <w:rFonts w:hint="eastAsia" w:ascii="Times New Roman" w:hAnsi="Times New Roman" w:eastAsia="宋体" w:cs="Times New Roman"/>
                <w:snapToGrid w:val="0"/>
                <w:color w:val="auto"/>
                <w:kern w:val="21"/>
                <w:sz w:val="21"/>
                <w:szCs w:val="21"/>
                <w:lang w:val="en-US" w:eastAsia="zh-CN"/>
              </w:rPr>
              <w:t>废毛刷</w:t>
            </w:r>
            <w:r>
              <w:rPr>
                <w:rFonts w:hint="default" w:ascii="Times New Roman" w:hAnsi="Times New Roman" w:eastAsia="宋体" w:cs="Times New Roman"/>
                <w:snapToGrid w:val="0"/>
                <w:color w:val="auto"/>
                <w:kern w:val="21"/>
                <w:sz w:val="21"/>
                <w:szCs w:val="21"/>
                <w:lang w:val="en-US" w:eastAsia="zh-CN"/>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0.5</w:t>
            </w:r>
          </w:p>
        </w:tc>
        <w:tc>
          <w:tcPr>
            <w:tcW w:w="1335"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topLinePunct/>
              <w:adjustRightInd w:val="0"/>
              <w:snapToGrid w:val="0"/>
              <w:jc w:val="center"/>
              <w:outlineLvl w:val="2"/>
              <w:rPr>
                <w:rFonts w:hint="default" w:ascii="Times New Roman" w:hAnsi="Times New Roman" w:cs="Times New Roman"/>
                <w:color w:val="auto"/>
                <w:kern w:val="0"/>
                <w:sz w:val="21"/>
                <w:szCs w:val="21"/>
                <w:lang w:val="en-US" w:eastAsia="zh-CN"/>
              </w:rPr>
            </w:pPr>
            <w:r>
              <w:rPr>
                <w:rFonts w:hint="eastAsia" w:cs="Times New Roman"/>
                <w:color w:val="auto"/>
                <w:kern w:val="0"/>
                <w:sz w:val="21"/>
                <w:szCs w:val="21"/>
                <w:lang w:val="en-US" w:eastAsia="zh-CN"/>
              </w:rPr>
              <w:t>0.2</w:t>
            </w:r>
          </w:p>
        </w:tc>
        <w:tc>
          <w:tcPr>
            <w:tcW w:w="1843"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0.5</w:t>
            </w:r>
          </w:p>
        </w:tc>
        <w:tc>
          <w:tcPr>
            <w:tcW w:w="2052" w:type="dxa"/>
            <w:vAlign w:val="center"/>
          </w:tcPr>
          <w:p>
            <w:pPr>
              <w:topLinePunct/>
              <w:adjustRightInd w:val="0"/>
              <w:snapToGrid w:val="0"/>
              <w:jc w:val="center"/>
              <w:outlineLvl w:val="2"/>
              <w:rPr>
                <w:rFonts w:hint="default" w:ascii="Times New Roman" w:hAnsi="Times New Roman" w:cs="Times New Roman"/>
                <w:color w:val="auto"/>
                <w:kern w:val="0"/>
                <w:sz w:val="21"/>
                <w:szCs w:val="21"/>
                <w:lang w:val="en-US" w:eastAsia="zh-CN"/>
              </w:rPr>
            </w:pPr>
            <w:r>
              <w:rPr>
                <w:rFonts w:hint="eastAsia" w:cs="Times New Roman"/>
                <w:color w:val="auto"/>
                <w:kern w:val="0"/>
                <w:sz w:val="21"/>
                <w:szCs w:val="21"/>
                <w:lang w:val="en-US" w:eastAsia="zh-CN"/>
              </w:rPr>
              <w:t>0.2</w:t>
            </w:r>
          </w:p>
        </w:tc>
        <w:tc>
          <w:tcPr>
            <w:tcW w:w="1002" w:type="dxa"/>
            <w:vAlign w:val="center"/>
          </w:tcPr>
          <w:p>
            <w:pPr>
              <w:topLinePunct/>
              <w:adjustRightInd w:val="0"/>
              <w:snapToGrid w:val="0"/>
              <w:jc w:val="center"/>
              <w:outlineLvl w:val="2"/>
              <w:rPr>
                <w:rFonts w:hint="default" w:ascii="Times New Roman" w:hAnsi="Times New Roman" w:cs="Times New Roman"/>
                <w:color w:val="auto"/>
                <w:kern w:val="0"/>
                <w:sz w:val="21"/>
                <w:szCs w:val="21"/>
                <w:lang w:val="en-US" w:eastAsia="zh-CN"/>
              </w:rPr>
            </w:pPr>
            <w:r>
              <w:rPr>
                <w:rFonts w:hint="eastAsia" w:cs="Times New Roman"/>
                <w:color w:val="auto"/>
                <w:kern w:val="0"/>
                <w:sz w:val="21"/>
                <w:szCs w:val="21"/>
                <w:lang w:val="en-US" w:eastAsia="zh-CN"/>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ascii="Times New Roman" w:hAnsi="Times New Roman" w:cs="Times New Roman"/>
                <w:color w:val="auto"/>
                <w:sz w:val="21"/>
                <w:szCs w:val="21"/>
              </w:rPr>
            </w:pPr>
            <w:r>
              <w:rPr>
                <w:rFonts w:hint="eastAsia" w:cs="Times New Roman"/>
                <w:color w:val="auto"/>
                <w:sz w:val="21"/>
                <w:szCs w:val="21"/>
                <w:lang w:val="en-US" w:eastAsia="zh-CN"/>
              </w:rPr>
              <w:t>废活性炭</w:t>
            </w:r>
            <w:r>
              <w:rPr>
                <w:rFonts w:hint="default" w:ascii="Times New Roman" w:hAnsi="Times New Roman" w:cs="Times New Roman"/>
                <w:snapToGrid w:val="0"/>
                <w:color w:val="auto"/>
                <w:kern w:val="21"/>
                <w:sz w:val="21"/>
                <w:szCs w:val="21"/>
              </w:rPr>
              <w:t>（t/a）</w:t>
            </w:r>
          </w:p>
        </w:tc>
        <w:tc>
          <w:tcPr>
            <w:tcW w:w="1410"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eastAsia" w:cs="Times New Roman"/>
                <w:snapToGrid w:val="0"/>
                <w:color w:val="auto"/>
                <w:kern w:val="21"/>
                <w:sz w:val="21"/>
                <w:szCs w:val="21"/>
                <w:lang w:val="en-US" w:eastAsia="zh-CN"/>
              </w:rPr>
              <w:t>8</w:t>
            </w:r>
          </w:p>
        </w:tc>
        <w:tc>
          <w:tcPr>
            <w:tcW w:w="1335"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ascii="Times New Roman" w:hAnsi="Times New Roman" w:eastAsia="宋体" w:cs="Times New Roman"/>
                <w:snapToGrid w:val="0"/>
                <w:color w:val="auto"/>
                <w:kern w:val="21"/>
                <w:sz w:val="21"/>
                <w:szCs w:val="21"/>
                <w:lang w:val="en-US" w:eastAsia="zh-CN" w:bidi="ar-SA"/>
              </w:rPr>
            </w:pPr>
            <w:r>
              <w:rPr>
                <w:rFonts w:hint="default" w:ascii="Times New Roman" w:hAnsi="Times New Roman" w:cs="Times New Roman"/>
                <w:snapToGrid w:val="0"/>
                <w:color w:val="auto"/>
                <w:kern w:val="21"/>
                <w:sz w:val="21"/>
                <w:szCs w:val="21"/>
                <w:lang w:val="en-US" w:eastAsia="zh-CN"/>
              </w:rPr>
              <w:t>/</w:t>
            </w:r>
          </w:p>
        </w:tc>
        <w:tc>
          <w:tcPr>
            <w:tcW w:w="1633" w:type="dxa"/>
            <w:vAlign w:val="center"/>
          </w:tcPr>
          <w:p>
            <w:pPr>
              <w:topLinePunct/>
              <w:adjustRightInd w:val="0"/>
              <w:snapToGrid w:val="0"/>
              <w:jc w:val="center"/>
              <w:outlineLvl w:val="2"/>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11.89</w:t>
            </w:r>
          </w:p>
        </w:tc>
        <w:tc>
          <w:tcPr>
            <w:tcW w:w="1843" w:type="dxa"/>
            <w:vAlign w:val="center"/>
          </w:tcPr>
          <w:p>
            <w:pPr>
              <w:adjustRightInd w:val="0"/>
              <w:snapToGrid w:val="0"/>
              <w:jc w:val="center"/>
              <w:rPr>
                <w:rFonts w:hint="eastAsia" w:ascii="Times New Roman" w:hAnsi="Times New Roman" w:eastAsia="宋体" w:cs="Times New Roman"/>
                <w:snapToGrid w:val="0"/>
                <w:color w:val="auto"/>
                <w:kern w:val="21"/>
                <w:sz w:val="21"/>
                <w:szCs w:val="21"/>
                <w:lang w:eastAsia="zh-CN"/>
              </w:rPr>
            </w:pPr>
            <w:r>
              <w:rPr>
                <w:rFonts w:hint="eastAsia" w:cs="Times New Roman"/>
                <w:snapToGrid w:val="0"/>
                <w:color w:val="auto"/>
                <w:kern w:val="21"/>
                <w:sz w:val="21"/>
                <w:szCs w:val="21"/>
                <w:lang w:val="en-US" w:eastAsia="zh-CN"/>
              </w:rPr>
              <w:t>8</w:t>
            </w:r>
          </w:p>
        </w:tc>
        <w:tc>
          <w:tcPr>
            <w:tcW w:w="2052" w:type="dxa"/>
            <w:vAlign w:val="center"/>
          </w:tcPr>
          <w:p>
            <w:pPr>
              <w:topLinePunct/>
              <w:adjustRightInd w:val="0"/>
              <w:snapToGrid w:val="0"/>
              <w:jc w:val="center"/>
              <w:outlineLvl w:val="2"/>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11.89</w:t>
            </w:r>
          </w:p>
        </w:tc>
        <w:tc>
          <w:tcPr>
            <w:tcW w:w="1002" w:type="dxa"/>
            <w:vAlign w:val="center"/>
          </w:tcPr>
          <w:p>
            <w:pPr>
              <w:topLinePunct/>
              <w:adjustRightInd w:val="0"/>
              <w:snapToGrid w:val="0"/>
              <w:jc w:val="center"/>
              <w:outlineLvl w:val="2"/>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+3.89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default" w:cs="Times New Roman"/>
                <w:color w:val="auto"/>
                <w:sz w:val="21"/>
                <w:szCs w:val="21"/>
                <w:lang w:val="en-US" w:eastAsia="zh-CN"/>
              </w:rPr>
            </w:pPr>
            <w:r>
              <w:rPr>
                <w:rFonts w:hint="eastAsia" w:cs="Times New Roman"/>
                <w:color w:val="auto"/>
                <w:sz w:val="21"/>
                <w:szCs w:val="21"/>
                <w:lang w:val="en-US" w:eastAsia="zh-CN"/>
              </w:rPr>
              <w:t>废过滤棉</w:t>
            </w:r>
            <w:r>
              <w:rPr>
                <w:rFonts w:hint="default" w:ascii="Times New Roman" w:hAnsi="Times New Roman" w:cs="Times New Roman"/>
                <w:snapToGrid w:val="0"/>
                <w:color w:val="auto"/>
                <w:kern w:val="21"/>
                <w:sz w:val="21"/>
                <w:szCs w:val="21"/>
              </w:rPr>
              <w:t>（t/a）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ascii="Times New Roman" w:hAnsi="Times New Roman"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0.08</w:t>
            </w:r>
          </w:p>
        </w:tc>
        <w:tc>
          <w:tcPr>
            <w:tcW w:w="1843"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0.08</w:t>
            </w:r>
          </w:p>
        </w:tc>
        <w:tc>
          <w:tcPr>
            <w:tcW w:w="1002"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eastAsia" w:cs="Times New Roman"/>
                <w:color w:val="auto"/>
                <w:sz w:val="21"/>
                <w:szCs w:val="21"/>
                <w:lang w:val="en-US" w:eastAsia="zh-CN"/>
              </w:rPr>
            </w:pPr>
            <w:r>
              <w:rPr>
                <w:rFonts w:hint="eastAsia"/>
                <w:color w:val="auto"/>
                <w:sz w:val="21"/>
                <w:szCs w:val="21"/>
                <w:lang w:val="en-US" w:eastAsia="zh-CN"/>
              </w:rPr>
              <w:t>水喷淋废液</w:t>
            </w:r>
            <w:r>
              <w:rPr>
                <w:rFonts w:hint="default" w:ascii="Times New Roman" w:hAnsi="Times New Roman" w:cs="Times New Roman"/>
                <w:snapToGrid w:val="0"/>
                <w:color w:val="auto"/>
                <w:kern w:val="21"/>
                <w:sz w:val="21"/>
                <w:szCs w:val="21"/>
              </w:rPr>
              <w:t>（t/a）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2</w:t>
            </w:r>
          </w:p>
        </w:tc>
        <w:tc>
          <w:tcPr>
            <w:tcW w:w="1843"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2</w:t>
            </w:r>
          </w:p>
        </w:tc>
        <w:tc>
          <w:tcPr>
            <w:tcW w:w="1002"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506" w:type="dxa"/>
            <w:vMerge w:val="continue"/>
            <w:vAlign w:val="center"/>
          </w:tcPr>
          <w:p>
            <w:pPr>
              <w:adjustRightInd w:val="0"/>
              <w:snapToGrid w:val="0"/>
              <w:jc w:val="center"/>
              <w:rPr>
                <w:rFonts w:hint="default" w:ascii="Times New Roman" w:hAnsi="Times New Roman" w:cs="Times New Roman"/>
                <w:snapToGrid w:val="0"/>
                <w:color w:val="auto"/>
                <w:kern w:val="21"/>
                <w:sz w:val="21"/>
                <w:szCs w:val="21"/>
              </w:rPr>
            </w:pPr>
          </w:p>
        </w:tc>
        <w:tc>
          <w:tcPr>
            <w:tcW w:w="2013" w:type="dxa"/>
            <w:vAlign w:val="center"/>
          </w:tcPr>
          <w:p>
            <w:pPr>
              <w:jc w:val="center"/>
              <w:rPr>
                <w:rFonts w:hint="eastAsia" w:cs="Times New Roman"/>
                <w:color w:val="auto"/>
                <w:sz w:val="21"/>
                <w:szCs w:val="21"/>
                <w:lang w:val="en-US" w:eastAsia="zh-CN"/>
              </w:rPr>
            </w:pPr>
            <w:r>
              <w:rPr>
                <w:rFonts w:hint="eastAsia"/>
                <w:color w:val="auto"/>
                <w:sz w:val="21"/>
                <w:szCs w:val="21"/>
                <w:lang w:val="en-US" w:eastAsia="zh-CN"/>
              </w:rPr>
              <w:t>喷枪清洗废液</w:t>
            </w:r>
            <w:r>
              <w:rPr>
                <w:rFonts w:hint="default" w:ascii="Times New Roman" w:hAnsi="Times New Roman" w:cs="Times New Roman"/>
                <w:snapToGrid w:val="0"/>
                <w:color w:val="auto"/>
                <w:kern w:val="21"/>
                <w:sz w:val="21"/>
                <w:szCs w:val="21"/>
              </w:rPr>
              <w:t>（t/a）</w:t>
            </w:r>
          </w:p>
        </w:tc>
        <w:tc>
          <w:tcPr>
            <w:tcW w:w="1410"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335"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782"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1633"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0.2</w:t>
            </w:r>
          </w:p>
        </w:tc>
        <w:tc>
          <w:tcPr>
            <w:tcW w:w="1843" w:type="dxa"/>
            <w:vAlign w:val="center"/>
          </w:tcPr>
          <w:p>
            <w:pPr>
              <w:adjustRightInd w:val="0"/>
              <w:snapToGrid w:val="0"/>
              <w:jc w:val="center"/>
              <w:rPr>
                <w:rFonts w:hint="default" w:cs="Times New Roman"/>
                <w:snapToGrid w:val="0"/>
                <w:color w:val="auto"/>
                <w:kern w:val="21"/>
                <w:sz w:val="21"/>
                <w:szCs w:val="21"/>
                <w:lang w:val="en-US" w:eastAsia="zh-CN"/>
              </w:rPr>
            </w:pPr>
            <w:r>
              <w:rPr>
                <w:rFonts w:hint="eastAsia" w:cs="Times New Roman"/>
                <w:snapToGrid w:val="0"/>
                <w:color w:val="auto"/>
                <w:kern w:val="21"/>
                <w:sz w:val="21"/>
                <w:szCs w:val="21"/>
                <w:lang w:val="en-US" w:eastAsia="zh-CN"/>
              </w:rPr>
              <w:t>/</w:t>
            </w:r>
          </w:p>
        </w:tc>
        <w:tc>
          <w:tcPr>
            <w:tcW w:w="2052"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0.2</w:t>
            </w:r>
          </w:p>
        </w:tc>
        <w:tc>
          <w:tcPr>
            <w:tcW w:w="1002" w:type="dxa"/>
            <w:vAlign w:val="center"/>
          </w:tcPr>
          <w:p>
            <w:pPr>
              <w:topLinePunct/>
              <w:adjustRightInd w:val="0"/>
              <w:snapToGrid w:val="0"/>
              <w:jc w:val="center"/>
              <w:outlineLvl w:val="2"/>
              <w:rPr>
                <w:rFonts w:hint="default" w:cs="Times New Roman"/>
                <w:color w:val="auto"/>
                <w:kern w:val="0"/>
                <w:sz w:val="21"/>
                <w:szCs w:val="21"/>
                <w:lang w:val="en-US" w:eastAsia="zh-CN"/>
              </w:rPr>
            </w:pPr>
            <w:r>
              <w:rPr>
                <w:rFonts w:hint="eastAsia" w:cs="Times New Roman"/>
                <w:color w:val="auto"/>
                <w:kern w:val="0"/>
                <w:sz w:val="21"/>
                <w:szCs w:val="21"/>
                <w:lang w:val="en-US" w:eastAsia="zh-CN"/>
              </w:rPr>
              <w:t>+0.2</w:t>
            </w:r>
          </w:p>
        </w:tc>
      </w:tr>
    </w:tbl>
    <w:p>
      <w:pPr>
        <w:tabs>
          <w:tab w:val="left" w:pos="1114"/>
        </w:tabs>
        <w:ind w:right="480" w:rightChars="200"/>
        <w:jc w:val="left"/>
        <w:rPr>
          <w:rFonts w:hint="default" w:ascii="Times New Roman" w:hAnsi="Times New Roman" w:cs="Times New Roman"/>
          <w:b/>
          <w:color w:val="auto"/>
          <w:sz w:val="28"/>
          <w:szCs w:val="30"/>
        </w:rPr>
      </w:pPr>
      <w:r>
        <w:rPr>
          <w:rFonts w:hint="default" w:ascii="Times New Roman" w:hAnsi="Times New Roman" w:cs="Times New Roman"/>
          <w:color w:val="auto"/>
          <w:sz w:val="21"/>
          <w:szCs w:val="20"/>
        </w:rPr>
        <w:t>注：⑥=①+③+④-⑤；⑦=⑥-①</w:t>
      </w:r>
    </w:p>
    <w:sectPr>
      <w:headerReference r:id="rId5" w:type="default"/>
      <w:footerReference r:id="rId6" w:type="default"/>
      <w:pgSz w:w="16838" w:h="11906" w:orient="landscape"/>
      <w:pgMar w:top="1797" w:right="1440" w:bottom="1797" w:left="1440" w:header="851" w:footer="992" w:gutter="0"/>
      <w:pgBorders>
        <w:top w:val="none" w:sz="0" w:space="0"/>
        <w:left w:val="none" w:sz="0" w:space="0"/>
        <w:bottom w:val="none" w:sz="0" w:space="0"/>
        <w:right w:val="none" w:sz="0" w:space="0"/>
      </w:pgBorders>
      <w:cols w:space="0" w:num="1"/>
      <w:docGrid w:type="linesAndChars" w:linePitch="33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幼圆">
    <w:panose1 w:val="0201050906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方正小标宋简体">
    <w:altName w:val="黑体"/>
    <w:panose1 w:val="00000000000000000000"/>
    <w:charset w:val="86"/>
    <w:family w:val="script"/>
    <w:pitch w:val="default"/>
    <w:sig w:usb0="00000000" w:usb1="00000000" w:usb2="00000000" w:usb3="00000000" w:csb0="00040000" w:csb1="00000000"/>
  </w:font>
  <w:font w:name="FangSong_GB2312">
    <w:altName w:val="仿宋"/>
    <w:panose1 w:val="02010609060101010101"/>
    <w:charset w:val="00"/>
    <w:family w:val="roman"/>
    <w:pitch w:val="default"/>
    <w:sig w:usb0="00000000" w:usb1="00000000" w:usb2="00000000" w:usb3="00000000" w:csb0="00000000" w:csb1="00000000"/>
  </w:font>
  <w:font w:name="仿宋_GB2312">
    <w:altName w:val="仿宋"/>
    <w:panose1 w:val="00000000000000000000"/>
    <w:charset w:val="86"/>
    <w:family w:val="modern"/>
    <w:pitch w:val="default"/>
    <w:sig w:usb0="00000000" w:usb1="00000000" w:usb2="00000010" w:usb3="00000000" w:csb0="00040000" w:csb1="00000000"/>
  </w:font>
  <w:font w:name="Lucida Sans">
    <w:panose1 w:val="020B0602030504020204"/>
    <w:charset w:val="00"/>
    <w:family w:val="swiss"/>
    <w:pitch w:val="default"/>
    <w:sig w:usb0="00000003" w:usb1="00000000" w:usb2="00000000" w:usb3="00000000" w:csb0="20000001" w:csb1="00000000"/>
  </w:font>
  <w:font w:name="Wingdings 2">
    <w:panose1 w:val="05020102010507070707"/>
    <w:charset w:val="02"/>
    <w:family w:val="roman"/>
    <w:pitch w:val="default"/>
    <w:sig w:usb0="00000000" w:usb1="00000000" w:usb2="00000000" w:usb3="00000000" w:csb0="80000000" w:csb1="00000000"/>
  </w:font>
  <w:font w:name="楷体_GB2312">
    <w:altName w:val="楷体"/>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pPr>
  </w:p>
  <w:p>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top w:val="single" w:color="auto" w:sz="4" w:space="1"/>
      </w:pBdr>
      <w:jc w:val="both"/>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8"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0"/>
                          </w:pPr>
                          <w:r>
                            <w:fldChar w:fldCharType="begin"/>
                          </w:r>
                          <w:r>
                            <w:instrText xml:space="preserve"> PAGE  \* MERGEFORMAT </w:instrText>
                          </w:r>
                          <w:r>
                            <w:fldChar w:fldCharType="separate"/>
                          </w:r>
                          <w:r>
                            <w:t>97</w:t>
                          </w:r>
                          <w:r>
                            <w:fldChar w:fldCharType="end"/>
                          </w:r>
                        </w:p>
                      </w:txbxContent>
                    </wps:txbx>
                    <wps:bodyPr wrap="none" lIns="0" tIns="0" rIns="0" bIns="0" upright="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6bWQU8sBAACbAwAADgAAAGRycy9lMm9Eb2MueG1srVNLbtswEN0XyB0I&#10;7mPKKlAYguUggZEiQNAWSHsAmqIsAvyBQ1vyBdobdNVN9z2Xz9EhJTltusmiG2o4M3zz3sxofTMY&#10;TY4ygHK2pstFQYm0wjXK7mv65fP99YoSiNw2XDsra3qSQG82V2/Wva9k6TqnGxkIglioel/TLkZf&#10;MQaik4bDwnlpMdi6YHjEa9izJvAe0Y1mZVG8Y70LjQ9OSAD0bscgnRDDawBd2yoht04cjLRxRA1S&#10;84iSoFMe6CazbVsp4se2BRmJrikqjfnEImjv0sk2a17tA/edEhMF/hoKLzQZriwWvUBteeTkENQ/&#10;UEaJ4MC1cSGcYaOQ3BFUsSxe9Oap415mLdhq8Jemw/+DFR+OnwJRTU3LEgdvucGRn79/O//4df75&#10;lbxNDeo9VJj35DEzDnduwLWZ/YDOpHtog0lfVEQwju09Xdorh0hEerQqV6sCQwJj8wXx2fNzHyC+&#10;l86QZNQ04PxyW/nxEeKYOqekatbdK63zDLX9y4GYycMS95FjsuKwGyZBO9ecUE+Po6+pxU2nRD9Y&#10;7GzaktkIs7GbjYMPat8htWXmBf72EJFE5pYqjLBTYZxZVjftV1qKP+856/mf2vw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Om1kFPLAQAAmwMAAA4AAAAAAAAAAQAgAAAAHgEAAGRycy9lMm9E&#10;b2MueG1sUEsFBgAAAAAGAAYAWQEAAFsFAAAAAA==&#10;">
              <v:fill on="f" focussize="0,0"/>
              <v:stroke on="f"/>
              <v:imagedata o:title=""/>
              <o:lock v:ext="edit" aspectratio="f"/>
              <v:textbox inset="0mm,0mm,0mm,0mm" style="mso-fit-shape-to-text:t;">
                <w:txbxContent>
                  <w:p>
                    <w:pPr>
                      <w:pStyle w:val="20"/>
                    </w:pPr>
                    <w:r>
                      <w:fldChar w:fldCharType="begin"/>
                    </w:r>
                    <w:r>
                      <w:instrText xml:space="preserve"> PAGE  \* MERGEFORMAT </w:instrText>
                    </w:r>
                    <w:r>
                      <w:fldChar w:fldCharType="separate"/>
                    </w:r>
                    <w:r>
                      <w:t>97</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9"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0"/>
                          </w:pPr>
                          <w:r>
                            <w:fldChar w:fldCharType="begin"/>
                          </w:r>
                          <w:r>
                            <w:instrText xml:space="preserve"> PAGE  \* MERGEFORMAT </w:instrText>
                          </w:r>
                          <w:r>
                            <w:fldChar w:fldCharType="separate"/>
                          </w:r>
                          <w:r>
                            <w:t>98</w:t>
                          </w:r>
                          <w:r>
                            <w:fldChar w:fldCharType="end"/>
                          </w:r>
                        </w:p>
                      </w:txbxContent>
                    </wps:txbx>
                    <wps:bodyPr wrap="none" lIns="0" tIns="0" rIns="0" bIns="0" upright="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03MP8sBAACbAwAADgAAAGRycy9lMm9Eb2MueG1srVPNjtMwEL4j7TtY&#10;vm+dRitUoqYrULUrJARIyz6A6ziNJf/J4zbpC8AbcOLCnefqczB2ki4slz1wccYz42++b2ayvh2M&#10;JkcZQDlb0+WioERa4Rpl9zV9/HJ3vaIEIrcN187Kmp4k0NvN1at17ytZus7pRgaCIBaq3te0i9FX&#10;jIHopOGwcF5aDLYuGB7xGvasCbxHdKNZWRSvWe9C44MTEgC92zFIJ8TwEkDXtkrIrRMHI20cUYPU&#10;PKIk6JQHusls21aK+KltQUaia4pKYz6xCNq7dLLNmlf7wH2nxESBv4TCM02GK4tFL1BbHjk5BPUP&#10;lFEiOHBtXAhn2CgkdwRVLItnvXnouJdZC7Ya/KXp8P9gxcfj50BUU9OyfEOJ5QZHfv7+7fzj1/nn&#10;V3KTGtR7qDDvwWNmHN65Addm9gM6k+6hDSZ9URHBOLb3dGmvHCIR6dGqXK0KDAmMzRfEZ0/PfYB4&#10;L50hyahpwPnltvLjB4hj6pySqll3p7TOM9T2LwdiJg9L3EeOyYrDbpgE7VxzQj09jr6mFjedEv3e&#10;YmfTlsxGmI3dbBx8UPsOqS0zL/BvDxFJZG6pwgg7FcaZZXXTfqWl+POes57+qc1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B9NzD/LAQAAmwMAAA4AAAAAAAAAAQAgAAAAHgEAAGRycy9lMm9E&#10;b2MueG1sUEsFBgAAAAAGAAYAWQEAAFsFAAAAAA==&#10;">
              <v:fill on="f" focussize="0,0"/>
              <v:stroke on="f"/>
              <v:imagedata o:title=""/>
              <o:lock v:ext="edit" aspectratio="f"/>
              <v:textbox inset="0mm,0mm,0mm,0mm" style="mso-fit-shape-to-text:t;">
                <w:txbxContent>
                  <w:p>
                    <w:pPr>
                      <w:pStyle w:val="20"/>
                    </w:pPr>
                    <w:r>
                      <w:fldChar w:fldCharType="begin"/>
                    </w:r>
                    <w:r>
                      <w:instrText xml:space="preserve"> PAGE  \* MERGEFORMAT </w:instrText>
                    </w:r>
                    <w:r>
                      <w:fldChar w:fldCharType="separate"/>
                    </w:r>
                    <w:r>
                      <w:t>98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6B85B6"/>
    <w:multiLevelType w:val="singleLevel"/>
    <w:tmpl w:val="B96B85B6"/>
    <w:lvl w:ilvl="0" w:tentative="0">
      <w:start w:val="3"/>
      <w:numFmt w:val="decimal"/>
      <w:suff w:val="nothing"/>
      <w:lvlText w:val="%1、"/>
      <w:lvlJc w:val="left"/>
    </w:lvl>
  </w:abstractNum>
  <w:abstractNum w:abstractNumId="1">
    <w:nsid w:val="FAFC1D65"/>
    <w:multiLevelType w:val="singleLevel"/>
    <w:tmpl w:val="FAFC1D65"/>
    <w:lvl w:ilvl="0" w:tentative="0">
      <w:start w:val="1"/>
      <w:numFmt w:val="decimal"/>
      <w:suff w:val="nothing"/>
      <w:lvlText w:val="%1"/>
      <w:lvlJc w:val="left"/>
      <w:pPr>
        <w:tabs>
          <w:tab w:val="left" w:pos="0"/>
        </w:tabs>
        <w:ind w:left="425" w:hanging="425"/>
      </w:pPr>
      <w:rPr>
        <w:rFonts w:hint="default"/>
      </w:rPr>
    </w:lvl>
  </w:abstractNum>
  <w:abstractNum w:abstractNumId="2">
    <w:nsid w:val="1699B926"/>
    <w:multiLevelType w:val="singleLevel"/>
    <w:tmpl w:val="1699B926"/>
    <w:lvl w:ilvl="0" w:tentative="0">
      <w:start w:val="1"/>
      <w:numFmt w:val="decimal"/>
      <w:suff w:val="nothing"/>
      <w:lvlText w:val="%1、"/>
      <w:lvlJc w:val="left"/>
    </w:lvl>
  </w:abstractNum>
  <w:abstractNum w:abstractNumId="3">
    <w:nsid w:val="799E9741"/>
    <w:multiLevelType w:val="singleLevel"/>
    <w:tmpl w:val="799E9741"/>
    <w:lvl w:ilvl="0" w:tentative="0">
      <w:start w:val="1"/>
      <w:numFmt w:val="bullet"/>
      <w:lvlText w:val=""/>
      <w:lvlJc w:val="left"/>
      <w:pPr>
        <w:ind w:left="420" w:hanging="420"/>
      </w:pPr>
      <w:rPr>
        <w:rFonts w:hint="default" w:ascii="Wingdings" w:hAnsi="Wingdings"/>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6"/>
  <w:bordersDoNotSurroundHeader w:val="0"/>
  <w:bordersDoNotSurroundFooter w:val="0"/>
  <w:hideSpellingErrors/>
  <w:documentProtection w:enforcement="0"/>
  <w:defaultTabStop w:val="420"/>
  <w:drawingGridHorizontalSpacing w:val="120"/>
  <w:drawingGridVerticalSpacing w:val="16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M5YTlmZjg0NTJlMWE2ZWUxOWVjNGYxYzk3NTczNGUifQ=="/>
    <w:docVar w:name="KSO_WPS_MARK_KEY" w:val="4123d008-0a1f-4c03-b574-09de6153396f"/>
  </w:docVars>
  <w:rsids>
    <w:rsidRoot w:val="00172A27"/>
    <w:rsid w:val="00002121"/>
    <w:rsid w:val="00002B78"/>
    <w:rsid w:val="00004E09"/>
    <w:rsid w:val="00005B77"/>
    <w:rsid w:val="00010406"/>
    <w:rsid w:val="000146B4"/>
    <w:rsid w:val="00017B20"/>
    <w:rsid w:val="00021A57"/>
    <w:rsid w:val="00022F8E"/>
    <w:rsid w:val="00032E8D"/>
    <w:rsid w:val="00033091"/>
    <w:rsid w:val="000420F8"/>
    <w:rsid w:val="0004599D"/>
    <w:rsid w:val="00047A5E"/>
    <w:rsid w:val="0005074E"/>
    <w:rsid w:val="00052F9C"/>
    <w:rsid w:val="00053559"/>
    <w:rsid w:val="000602C5"/>
    <w:rsid w:val="00065A46"/>
    <w:rsid w:val="00065B06"/>
    <w:rsid w:val="00065BEA"/>
    <w:rsid w:val="00065D41"/>
    <w:rsid w:val="000666F7"/>
    <w:rsid w:val="0007140E"/>
    <w:rsid w:val="00073EEC"/>
    <w:rsid w:val="000742FF"/>
    <w:rsid w:val="0007559B"/>
    <w:rsid w:val="00080A47"/>
    <w:rsid w:val="000827B6"/>
    <w:rsid w:val="00085DD7"/>
    <w:rsid w:val="00092D8A"/>
    <w:rsid w:val="00092FA1"/>
    <w:rsid w:val="0009530A"/>
    <w:rsid w:val="000955B1"/>
    <w:rsid w:val="00097234"/>
    <w:rsid w:val="00097838"/>
    <w:rsid w:val="000A214D"/>
    <w:rsid w:val="000B4824"/>
    <w:rsid w:val="000B4D6C"/>
    <w:rsid w:val="000B536C"/>
    <w:rsid w:val="000B562C"/>
    <w:rsid w:val="000B72BE"/>
    <w:rsid w:val="000C1B9C"/>
    <w:rsid w:val="000C2248"/>
    <w:rsid w:val="000C46AF"/>
    <w:rsid w:val="000D1085"/>
    <w:rsid w:val="000D379E"/>
    <w:rsid w:val="000D58F0"/>
    <w:rsid w:val="000E1B91"/>
    <w:rsid w:val="000E1E36"/>
    <w:rsid w:val="000E2C63"/>
    <w:rsid w:val="000E794C"/>
    <w:rsid w:val="000F1D90"/>
    <w:rsid w:val="0010304A"/>
    <w:rsid w:val="00105729"/>
    <w:rsid w:val="00105D15"/>
    <w:rsid w:val="00106D87"/>
    <w:rsid w:val="0011092D"/>
    <w:rsid w:val="00112727"/>
    <w:rsid w:val="00112C85"/>
    <w:rsid w:val="00113C33"/>
    <w:rsid w:val="001148EF"/>
    <w:rsid w:val="00117FB9"/>
    <w:rsid w:val="00121966"/>
    <w:rsid w:val="00123241"/>
    <w:rsid w:val="00127455"/>
    <w:rsid w:val="0013094F"/>
    <w:rsid w:val="00131158"/>
    <w:rsid w:val="0013138C"/>
    <w:rsid w:val="00132182"/>
    <w:rsid w:val="00135DA2"/>
    <w:rsid w:val="001365A9"/>
    <w:rsid w:val="00140619"/>
    <w:rsid w:val="001409B6"/>
    <w:rsid w:val="001409FF"/>
    <w:rsid w:val="00150AF9"/>
    <w:rsid w:val="00152249"/>
    <w:rsid w:val="00154014"/>
    <w:rsid w:val="00155316"/>
    <w:rsid w:val="00160219"/>
    <w:rsid w:val="00162C7C"/>
    <w:rsid w:val="00164013"/>
    <w:rsid w:val="00164A91"/>
    <w:rsid w:val="00166F59"/>
    <w:rsid w:val="00167293"/>
    <w:rsid w:val="00172A27"/>
    <w:rsid w:val="00172F34"/>
    <w:rsid w:val="001757F3"/>
    <w:rsid w:val="00175A9A"/>
    <w:rsid w:val="0019339D"/>
    <w:rsid w:val="001A0D5D"/>
    <w:rsid w:val="001A2A62"/>
    <w:rsid w:val="001A4D1E"/>
    <w:rsid w:val="001A7135"/>
    <w:rsid w:val="001A7C0B"/>
    <w:rsid w:val="001B1CA2"/>
    <w:rsid w:val="001B2CBA"/>
    <w:rsid w:val="001C1DEE"/>
    <w:rsid w:val="001C2803"/>
    <w:rsid w:val="001D1AE3"/>
    <w:rsid w:val="001D4438"/>
    <w:rsid w:val="001D4A23"/>
    <w:rsid w:val="001D4C46"/>
    <w:rsid w:val="001D5B2F"/>
    <w:rsid w:val="001E00D1"/>
    <w:rsid w:val="001E0E04"/>
    <w:rsid w:val="001E140B"/>
    <w:rsid w:val="001E4D68"/>
    <w:rsid w:val="001F2159"/>
    <w:rsid w:val="001F323C"/>
    <w:rsid w:val="001F3F5C"/>
    <w:rsid w:val="001F6186"/>
    <w:rsid w:val="001F7DBE"/>
    <w:rsid w:val="001F7EEE"/>
    <w:rsid w:val="0020269F"/>
    <w:rsid w:val="00204F26"/>
    <w:rsid w:val="0020624F"/>
    <w:rsid w:val="002105A5"/>
    <w:rsid w:val="00210C55"/>
    <w:rsid w:val="00210F50"/>
    <w:rsid w:val="002138BC"/>
    <w:rsid w:val="002173A7"/>
    <w:rsid w:val="00221B13"/>
    <w:rsid w:val="0022266C"/>
    <w:rsid w:val="00223C22"/>
    <w:rsid w:val="00225FD5"/>
    <w:rsid w:val="00226595"/>
    <w:rsid w:val="00227832"/>
    <w:rsid w:val="00231ADD"/>
    <w:rsid w:val="00232A92"/>
    <w:rsid w:val="00234E0A"/>
    <w:rsid w:val="00236D38"/>
    <w:rsid w:val="002375F1"/>
    <w:rsid w:val="00241546"/>
    <w:rsid w:val="002421B2"/>
    <w:rsid w:val="00245707"/>
    <w:rsid w:val="00245F05"/>
    <w:rsid w:val="00250A89"/>
    <w:rsid w:val="00250C67"/>
    <w:rsid w:val="002515DA"/>
    <w:rsid w:val="00251695"/>
    <w:rsid w:val="00254A0D"/>
    <w:rsid w:val="0025572A"/>
    <w:rsid w:val="00255E45"/>
    <w:rsid w:val="00256742"/>
    <w:rsid w:val="00257015"/>
    <w:rsid w:val="0026040D"/>
    <w:rsid w:val="00262299"/>
    <w:rsid w:val="00264A36"/>
    <w:rsid w:val="0026571F"/>
    <w:rsid w:val="00266AAC"/>
    <w:rsid w:val="00267672"/>
    <w:rsid w:val="00270B76"/>
    <w:rsid w:val="00274372"/>
    <w:rsid w:val="0027748E"/>
    <w:rsid w:val="0028101F"/>
    <w:rsid w:val="00282B24"/>
    <w:rsid w:val="00286923"/>
    <w:rsid w:val="002907AA"/>
    <w:rsid w:val="00292486"/>
    <w:rsid w:val="0029338D"/>
    <w:rsid w:val="002A44C4"/>
    <w:rsid w:val="002A6D31"/>
    <w:rsid w:val="002B10A7"/>
    <w:rsid w:val="002B78C3"/>
    <w:rsid w:val="002C5718"/>
    <w:rsid w:val="002C6615"/>
    <w:rsid w:val="002C7A5A"/>
    <w:rsid w:val="002D0309"/>
    <w:rsid w:val="002D0CE4"/>
    <w:rsid w:val="002D3025"/>
    <w:rsid w:val="002D52D7"/>
    <w:rsid w:val="002D7D6E"/>
    <w:rsid w:val="002E06E2"/>
    <w:rsid w:val="002E6029"/>
    <w:rsid w:val="002E791D"/>
    <w:rsid w:val="002F0B88"/>
    <w:rsid w:val="002F725A"/>
    <w:rsid w:val="003003F8"/>
    <w:rsid w:val="0030096C"/>
    <w:rsid w:val="00300A25"/>
    <w:rsid w:val="0030336E"/>
    <w:rsid w:val="00303F20"/>
    <w:rsid w:val="00304022"/>
    <w:rsid w:val="003141C4"/>
    <w:rsid w:val="00316D6A"/>
    <w:rsid w:val="00320527"/>
    <w:rsid w:val="003212AA"/>
    <w:rsid w:val="00321A64"/>
    <w:rsid w:val="00326398"/>
    <w:rsid w:val="00327946"/>
    <w:rsid w:val="00330777"/>
    <w:rsid w:val="00331E1E"/>
    <w:rsid w:val="003341A6"/>
    <w:rsid w:val="0033450A"/>
    <w:rsid w:val="00334EB6"/>
    <w:rsid w:val="00335E04"/>
    <w:rsid w:val="00341C5F"/>
    <w:rsid w:val="00341FF8"/>
    <w:rsid w:val="003435AE"/>
    <w:rsid w:val="003436DA"/>
    <w:rsid w:val="003442CC"/>
    <w:rsid w:val="00344E2B"/>
    <w:rsid w:val="003475A6"/>
    <w:rsid w:val="0035008B"/>
    <w:rsid w:val="00350308"/>
    <w:rsid w:val="003509D3"/>
    <w:rsid w:val="00351AD2"/>
    <w:rsid w:val="003546F6"/>
    <w:rsid w:val="00355C54"/>
    <w:rsid w:val="00363094"/>
    <w:rsid w:val="003632A5"/>
    <w:rsid w:val="00374010"/>
    <w:rsid w:val="003755C4"/>
    <w:rsid w:val="00382EEA"/>
    <w:rsid w:val="003848EF"/>
    <w:rsid w:val="00385830"/>
    <w:rsid w:val="003938C1"/>
    <w:rsid w:val="003952E1"/>
    <w:rsid w:val="00395353"/>
    <w:rsid w:val="00395FCA"/>
    <w:rsid w:val="003961BF"/>
    <w:rsid w:val="00396610"/>
    <w:rsid w:val="00397107"/>
    <w:rsid w:val="003A0579"/>
    <w:rsid w:val="003A2006"/>
    <w:rsid w:val="003A34CF"/>
    <w:rsid w:val="003A3AA1"/>
    <w:rsid w:val="003A68AE"/>
    <w:rsid w:val="003A7692"/>
    <w:rsid w:val="003A7A77"/>
    <w:rsid w:val="003B04C1"/>
    <w:rsid w:val="003B2DBD"/>
    <w:rsid w:val="003B61F8"/>
    <w:rsid w:val="003B6B81"/>
    <w:rsid w:val="003B799A"/>
    <w:rsid w:val="003B7C2D"/>
    <w:rsid w:val="003C2A2D"/>
    <w:rsid w:val="003C2FFA"/>
    <w:rsid w:val="003C3407"/>
    <w:rsid w:val="003C6DB6"/>
    <w:rsid w:val="003C7AE9"/>
    <w:rsid w:val="003D07E5"/>
    <w:rsid w:val="003D38A6"/>
    <w:rsid w:val="003D45DD"/>
    <w:rsid w:val="003E004E"/>
    <w:rsid w:val="003E13C7"/>
    <w:rsid w:val="003E1741"/>
    <w:rsid w:val="003E5F24"/>
    <w:rsid w:val="003F089E"/>
    <w:rsid w:val="003F2713"/>
    <w:rsid w:val="003F39B5"/>
    <w:rsid w:val="003F403A"/>
    <w:rsid w:val="003F5501"/>
    <w:rsid w:val="003F74ED"/>
    <w:rsid w:val="00402C98"/>
    <w:rsid w:val="00405D32"/>
    <w:rsid w:val="0041342A"/>
    <w:rsid w:val="0041501C"/>
    <w:rsid w:val="004167E6"/>
    <w:rsid w:val="00416C15"/>
    <w:rsid w:val="00422E8C"/>
    <w:rsid w:val="00424257"/>
    <w:rsid w:val="00427239"/>
    <w:rsid w:val="00427598"/>
    <w:rsid w:val="00430AE0"/>
    <w:rsid w:val="00431190"/>
    <w:rsid w:val="00433625"/>
    <w:rsid w:val="00435CA2"/>
    <w:rsid w:val="004364DD"/>
    <w:rsid w:val="00442191"/>
    <w:rsid w:val="00444E70"/>
    <w:rsid w:val="00444FA8"/>
    <w:rsid w:val="004523E1"/>
    <w:rsid w:val="0045536D"/>
    <w:rsid w:val="00464975"/>
    <w:rsid w:val="00467584"/>
    <w:rsid w:val="004704B0"/>
    <w:rsid w:val="0047141A"/>
    <w:rsid w:val="004729F2"/>
    <w:rsid w:val="004764E5"/>
    <w:rsid w:val="004824C9"/>
    <w:rsid w:val="004826E3"/>
    <w:rsid w:val="0048413E"/>
    <w:rsid w:val="004877E1"/>
    <w:rsid w:val="0049156A"/>
    <w:rsid w:val="0049227A"/>
    <w:rsid w:val="00492F45"/>
    <w:rsid w:val="00494FF1"/>
    <w:rsid w:val="0049584F"/>
    <w:rsid w:val="004A0172"/>
    <w:rsid w:val="004A4240"/>
    <w:rsid w:val="004A6964"/>
    <w:rsid w:val="004A7029"/>
    <w:rsid w:val="004B3169"/>
    <w:rsid w:val="004B3291"/>
    <w:rsid w:val="004B3B92"/>
    <w:rsid w:val="004B55E1"/>
    <w:rsid w:val="004B6C8C"/>
    <w:rsid w:val="004C0A82"/>
    <w:rsid w:val="004C467A"/>
    <w:rsid w:val="004C50EB"/>
    <w:rsid w:val="004C7F79"/>
    <w:rsid w:val="004D1C3A"/>
    <w:rsid w:val="004D2A4A"/>
    <w:rsid w:val="004D42E0"/>
    <w:rsid w:val="004E02D2"/>
    <w:rsid w:val="004E1975"/>
    <w:rsid w:val="004E3116"/>
    <w:rsid w:val="004E47D9"/>
    <w:rsid w:val="004E511B"/>
    <w:rsid w:val="004E683F"/>
    <w:rsid w:val="004F5AB7"/>
    <w:rsid w:val="004F7AB0"/>
    <w:rsid w:val="00500453"/>
    <w:rsid w:val="00502C6B"/>
    <w:rsid w:val="00502E22"/>
    <w:rsid w:val="00503370"/>
    <w:rsid w:val="0050341A"/>
    <w:rsid w:val="00506B71"/>
    <w:rsid w:val="00517F79"/>
    <w:rsid w:val="005204F0"/>
    <w:rsid w:val="005210FD"/>
    <w:rsid w:val="00522825"/>
    <w:rsid w:val="005230BD"/>
    <w:rsid w:val="00524CDA"/>
    <w:rsid w:val="005255B6"/>
    <w:rsid w:val="00525BFA"/>
    <w:rsid w:val="00530367"/>
    <w:rsid w:val="00531C7B"/>
    <w:rsid w:val="0053539C"/>
    <w:rsid w:val="005358CE"/>
    <w:rsid w:val="00537762"/>
    <w:rsid w:val="00543280"/>
    <w:rsid w:val="00545927"/>
    <w:rsid w:val="00552E96"/>
    <w:rsid w:val="00554F0F"/>
    <w:rsid w:val="005554AB"/>
    <w:rsid w:val="0055652F"/>
    <w:rsid w:val="005571C5"/>
    <w:rsid w:val="00562CBD"/>
    <w:rsid w:val="005637CC"/>
    <w:rsid w:val="00566100"/>
    <w:rsid w:val="005675D0"/>
    <w:rsid w:val="0057047D"/>
    <w:rsid w:val="00571BFC"/>
    <w:rsid w:val="005817BB"/>
    <w:rsid w:val="00584C97"/>
    <w:rsid w:val="005862C4"/>
    <w:rsid w:val="00586ADE"/>
    <w:rsid w:val="00587837"/>
    <w:rsid w:val="005878AA"/>
    <w:rsid w:val="005905D2"/>
    <w:rsid w:val="00591B1B"/>
    <w:rsid w:val="005959B4"/>
    <w:rsid w:val="005A0E04"/>
    <w:rsid w:val="005A15E3"/>
    <w:rsid w:val="005A2A48"/>
    <w:rsid w:val="005A3307"/>
    <w:rsid w:val="005A587F"/>
    <w:rsid w:val="005B05E9"/>
    <w:rsid w:val="005B0CE7"/>
    <w:rsid w:val="005B4145"/>
    <w:rsid w:val="005B530A"/>
    <w:rsid w:val="005B612F"/>
    <w:rsid w:val="005C4EE3"/>
    <w:rsid w:val="005C6AEF"/>
    <w:rsid w:val="005D19D5"/>
    <w:rsid w:val="005D6426"/>
    <w:rsid w:val="005D7EEA"/>
    <w:rsid w:val="005E6F3E"/>
    <w:rsid w:val="006044EF"/>
    <w:rsid w:val="00604663"/>
    <w:rsid w:val="0060556D"/>
    <w:rsid w:val="00606387"/>
    <w:rsid w:val="00606C1A"/>
    <w:rsid w:val="00607FBD"/>
    <w:rsid w:val="00612C55"/>
    <w:rsid w:val="006137BB"/>
    <w:rsid w:val="00614E43"/>
    <w:rsid w:val="006159F3"/>
    <w:rsid w:val="00616477"/>
    <w:rsid w:val="00617FC5"/>
    <w:rsid w:val="0062038D"/>
    <w:rsid w:val="00620D8F"/>
    <w:rsid w:val="00625A54"/>
    <w:rsid w:val="00627813"/>
    <w:rsid w:val="00633356"/>
    <w:rsid w:val="00635000"/>
    <w:rsid w:val="00636EA0"/>
    <w:rsid w:val="00637C45"/>
    <w:rsid w:val="0064049B"/>
    <w:rsid w:val="0064680C"/>
    <w:rsid w:val="00647034"/>
    <w:rsid w:val="006471FE"/>
    <w:rsid w:val="00647A9C"/>
    <w:rsid w:val="00650847"/>
    <w:rsid w:val="006510BF"/>
    <w:rsid w:val="00652974"/>
    <w:rsid w:val="00656E3C"/>
    <w:rsid w:val="00657219"/>
    <w:rsid w:val="006620FD"/>
    <w:rsid w:val="0066570E"/>
    <w:rsid w:val="00667559"/>
    <w:rsid w:val="00667574"/>
    <w:rsid w:val="00667A22"/>
    <w:rsid w:val="00667F3F"/>
    <w:rsid w:val="00671189"/>
    <w:rsid w:val="0067143A"/>
    <w:rsid w:val="00682223"/>
    <w:rsid w:val="00682280"/>
    <w:rsid w:val="00684B27"/>
    <w:rsid w:val="00686254"/>
    <w:rsid w:val="0069152E"/>
    <w:rsid w:val="00691ED4"/>
    <w:rsid w:val="00692475"/>
    <w:rsid w:val="00692590"/>
    <w:rsid w:val="0069355C"/>
    <w:rsid w:val="00693DA2"/>
    <w:rsid w:val="006966B7"/>
    <w:rsid w:val="006A1D75"/>
    <w:rsid w:val="006A25A2"/>
    <w:rsid w:val="006A2FB4"/>
    <w:rsid w:val="006A344E"/>
    <w:rsid w:val="006A4CF7"/>
    <w:rsid w:val="006A7622"/>
    <w:rsid w:val="006B1544"/>
    <w:rsid w:val="006B1FDA"/>
    <w:rsid w:val="006B6665"/>
    <w:rsid w:val="006B7CF8"/>
    <w:rsid w:val="006C047D"/>
    <w:rsid w:val="006C0A5F"/>
    <w:rsid w:val="006C0F3E"/>
    <w:rsid w:val="006C59D5"/>
    <w:rsid w:val="006C60EF"/>
    <w:rsid w:val="006C7634"/>
    <w:rsid w:val="006D7151"/>
    <w:rsid w:val="006E2665"/>
    <w:rsid w:val="006E3640"/>
    <w:rsid w:val="006E544A"/>
    <w:rsid w:val="006E56FF"/>
    <w:rsid w:val="006F4C64"/>
    <w:rsid w:val="006F664F"/>
    <w:rsid w:val="006F7110"/>
    <w:rsid w:val="006F7289"/>
    <w:rsid w:val="006F7CD1"/>
    <w:rsid w:val="007014EF"/>
    <w:rsid w:val="00707DB4"/>
    <w:rsid w:val="0071132C"/>
    <w:rsid w:val="00711EF0"/>
    <w:rsid w:val="00713025"/>
    <w:rsid w:val="00713F90"/>
    <w:rsid w:val="0071683F"/>
    <w:rsid w:val="0071734C"/>
    <w:rsid w:val="0072142E"/>
    <w:rsid w:val="00723679"/>
    <w:rsid w:val="0072399E"/>
    <w:rsid w:val="00726494"/>
    <w:rsid w:val="00727E51"/>
    <w:rsid w:val="00731476"/>
    <w:rsid w:val="00734F10"/>
    <w:rsid w:val="00737EC2"/>
    <w:rsid w:val="007406AE"/>
    <w:rsid w:val="0074089F"/>
    <w:rsid w:val="00742141"/>
    <w:rsid w:val="007443B3"/>
    <w:rsid w:val="00745159"/>
    <w:rsid w:val="00745EED"/>
    <w:rsid w:val="0075035B"/>
    <w:rsid w:val="007527AF"/>
    <w:rsid w:val="0075292C"/>
    <w:rsid w:val="0075341C"/>
    <w:rsid w:val="00754152"/>
    <w:rsid w:val="00756A16"/>
    <w:rsid w:val="00756EBD"/>
    <w:rsid w:val="00756ED8"/>
    <w:rsid w:val="00757B30"/>
    <w:rsid w:val="00760382"/>
    <w:rsid w:val="007604FD"/>
    <w:rsid w:val="00771DB3"/>
    <w:rsid w:val="00772710"/>
    <w:rsid w:val="007773BD"/>
    <w:rsid w:val="0078025E"/>
    <w:rsid w:val="007835BB"/>
    <w:rsid w:val="00783950"/>
    <w:rsid w:val="00784B29"/>
    <w:rsid w:val="00784D7F"/>
    <w:rsid w:val="00784E8C"/>
    <w:rsid w:val="00785A7B"/>
    <w:rsid w:val="00786F2B"/>
    <w:rsid w:val="00787472"/>
    <w:rsid w:val="00794E00"/>
    <w:rsid w:val="00795261"/>
    <w:rsid w:val="007A020A"/>
    <w:rsid w:val="007A0BFF"/>
    <w:rsid w:val="007A286E"/>
    <w:rsid w:val="007A327F"/>
    <w:rsid w:val="007A5583"/>
    <w:rsid w:val="007B011D"/>
    <w:rsid w:val="007B41DA"/>
    <w:rsid w:val="007B4BA4"/>
    <w:rsid w:val="007C4F61"/>
    <w:rsid w:val="007C583F"/>
    <w:rsid w:val="007C5FC7"/>
    <w:rsid w:val="007C7D46"/>
    <w:rsid w:val="007D0C8F"/>
    <w:rsid w:val="007D19B5"/>
    <w:rsid w:val="007D27A2"/>
    <w:rsid w:val="007E1702"/>
    <w:rsid w:val="007E3FBE"/>
    <w:rsid w:val="007F08AF"/>
    <w:rsid w:val="007F0A37"/>
    <w:rsid w:val="007F0AB0"/>
    <w:rsid w:val="007F1884"/>
    <w:rsid w:val="007F70D7"/>
    <w:rsid w:val="007F7F84"/>
    <w:rsid w:val="00805A49"/>
    <w:rsid w:val="00805EFB"/>
    <w:rsid w:val="008061F9"/>
    <w:rsid w:val="00806AEB"/>
    <w:rsid w:val="00807D97"/>
    <w:rsid w:val="00810B64"/>
    <w:rsid w:val="00811CBD"/>
    <w:rsid w:val="008126F2"/>
    <w:rsid w:val="008148F7"/>
    <w:rsid w:val="00823A8B"/>
    <w:rsid w:val="008247A9"/>
    <w:rsid w:val="00826457"/>
    <w:rsid w:val="0082664C"/>
    <w:rsid w:val="008273D4"/>
    <w:rsid w:val="008340C2"/>
    <w:rsid w:val="00840D2C"/>
    <w:rsid w:val="00844311"/>
    <w:rsid w:val="008447DC"/>
    <w:rsid w:val="008465C0"/>
    <w:rsid w:val="00852AB0"/>
    <w:rsid w:val="008553A5"/>
    <w:rsid w:val="008576C2"/>
    <w:rsid w:val="008622F8"/>
    <w:rsid w:val="0086555D"/>
    <w:rsid w:val="00866924"/>
    <w:rsid w:val="00870D34"/>
    <w:rsid w:val="0087326F"/>
    <w:rsid w:val="00874141"/>
    <w:rsid w:val="00874381"/>
    <w:rsid w:val="00874B0D"/>
    <w:rsid w:val="008763DC"/>
    <w:rsid w:val="00876C42"/>
    <w:rsid w:val="0088149C"/>
    <w:rsid w:val="00882AB1"/>
    <w:rsid w:val="00890E9D"/>
    <w:rsid w:val="00894DBC"/>
    <w:rsid w:val="008A6228"/>
    <w:rsid w:val="008B02E7"/>
    <w:rsid w:val="008B0A48"/>
    <w:rsid w:val="008C1E0A"/>
    <w:rsid w:val="008C292D"/>
    <w:rsid w:val="008C6510"/>
    <w:rsid w:val="008C6C87"/>
    <w:rsid w:val="008C7328"/>
    <w:rsid w:val="008C781F"/>
    <w:rsid w:val="008D1928"/>
    <w:rsid w:val="008D1D64"/>
    <w:rsid w:val="008D24CC"/>
    <w:rsid w:val="008D4501"/>
    <w:rsid w:val="008D676A"/>
    <w:rsid w:val="008D7437"/>
    <w:rsid w:val="008E7281"/>
    <w:rsid w:val="008F0600"/>
    <w:rsid w:val="008F3D55"/>
    <w:rsid w:val="008F69FD"/>
    <w:rsid w:val="00900B2C"/>
    <w:rsid w:val="00900E0D"/>
    <w:rsid w:val="009027FC"/>
    <w:rsid w:val="00902A3D"/>
    <w:rsid w:val="009043D2"/>
    <w:rsid w:val="00906BC0"/>
    <w:rsid w:val="00907373"/>
    <w:rsid w:val="00916A7D"/>
    <w:rsid w:val="0092466C"/>
    <w:rsid w:val="00926A14"/>
    <w:rsid w:val="00932400"/>
    <w:rsid w:val="00934ACC"/>
    <w:rsid w:val="00936F9A"/>
    <w:rsid w:val="00937B51"/>
    <w:rsid w:val="0094334D"/>
    <w:rsid w:val="00944F43"/>
    <w:rsid w:val="00945127"/>
    <w:rsid w:val="009475CA"/>
    <w:rsid w:val="00953C37"/>
    <w:rsid w:val="00953D50"/>
    <w:rsid w:val="00955D10"/>
    <w:rsid w:val="0095628C"/>
    <w:rsid w:val="00960059"/>
    <w:rsid w:val="0096006E"/>
    <w:rsid w:val="009608D8"/>
    <w:rsid w:val="00961BA4"/>
    <w:rsid w:val="00962553"/>
    <w:rsid w:val="00965029"/>
    <w:rsid w:val="00965D17"/>
    <w:rsid w:val="009674D0"/>
    <w:rsid w:val="00967AEF"/>
    <w:rsid w:val="00970179"/>
    <w:rsid w:val="00972951"/>
    <w:rsid w:val="00976554"/>
    <w:rsid w:val="00977180"/>
    <w:rsid w:val="009808E6"/>
    <w:rsid w:val="00986DD9"/>
    <w:rsid w:val="00992422"/>
    <w:rsid w:val="00993675"/>
    <w:rsid w:val="0099375C"/>
    <w:rsid w:val="00995CDD"/>
    <w:rsid w:val="00996758"/>
    <w:rsid w:val="00996F8F"/>
    <w:rsid w:val="0099718B"/>
    <w:rsid w:val="009A3BEE"/>
    <w:rsid w:val="009A46A9"/>
    <w:rsid w:val="009A6E87"/>
    <w:rsid w:val="009B56C3"/>
    <w:rsid w:val="009B5BBF"/>
    <w:rsid w:val="009B70B3"/>
    <w:rsid w:val="009B7A58"/>
    <w:rsid w:val="009C53FB"/>
    <w:rsid w:val="009C55CD"/>
    <w:rsid w:val="009C6414"/>
    <w:rsid w:val="009D31B8"/>
    <w:rsid w:val="009D5B53"/>
    <w:rsid w:val="009D607A"/>
    <w:rsid w:val="009D7A1D"/>
    <w:rsid w:val="009D7C64"/>
    <w:rsid w:val="009D7D55"/>
    <w:rsid w:val="009E39FB"/>
    <w:rsid w:val="009F0E50"/>
    <w:rsid w:val="009F1C4C"/>
    <w:rsid w:val="009F2164"/>
    <w:rsid w:val="009F3936"/>
    <w:rsid w:val="009F54AD"/>
    <w:rsid w:val="009F7672"/>
    <w:rsid w:val="009F7A7E"/>
    <w:rsid w:val="00A012C7"/>
    <w:rsid w:val="00A0162F"/>
    <w:rsid w:val="00A079FC"/>
    <w:rsid w:val="00A11FD4"/>
    <w:rsid w:val="00A13A2C"/>
    <w:rsid w:val="00A15FCE"/>
    <w:rsid w:val="00A21E70"/>
    <w:rsid w:val="00A225E8"/>
    <w:rsid w:val="00A2478C"/>
    <w:rsid w:val="00A25582"/>
    <w:rsid w:val="00A25ED9"/>
    <w:rsid w:val="00A26B01"/>
    <w:rsid w:val="00A3166B"/>
    <w:rsid w:val="00A31AA5"/>
    <w:rsid w:val="00A31B91"/>
    <w:rsid w:val="00A32769"/>
    <w:rsid w:val="00A420F0"/>
    <w:rsid w:val="00A428BC"/>
    <w:rsid w:val="00A46E65"/>
    <w:rsid w:val="00A47495"/>
    <w:rsid w:val="00A50DCF"/>
    <w:rsid w:val="00A51BA0"/>
    <w:rsid w:val="00A51C20"/>
    <w:rsid w:val="00A54C81"/>
    <w:rsid w:val="00A558CE"/>
    <w:rsid w:val="00A565C6"/>
    <w:rsid w:val="00A6098F"/>
    <w:rsid w:val="00A64785"/>
    <w:rsid w:val="00A650B3"/>
    <w:rsid w:val="00A6737D"/>
    <w:rsid w:val="00A725BB"/>
    <w:rsid w:val="00A727EF"/>
    <w:rsid w:val="00A72B02"/>
    <w:rsid w:val="00A77347"/>
    <w:rsid w:val="00A77E1A"/>
    <w:rsid w:val="00A83B6D"/>
    <w:rsid w:val="00A918A3"/>
    <w:rsid w:val="00A93A42"/>
    <w:rsid w:val="00A969BB"/>
    <w:rsid w:val="00AA014D"/>
    <w:rsid w:val="00AA3552"/>
    <w:rsid w:val="00AB0465"/>
    <w:rsid w:val="00AB494F"/>
    <w:rsid w:val="00AB52B5"/>
    <w:rsid w:val="00AB78CF"/>
    <w:rsid w:val="00AC0082"/>
    <w:rsid w:val="00AC23DA"/>
    <w:rsid w:val="00AC2553"/>
    <w:rsid w:val="00AD04F0"/>
    <w:rsid w:val="00AD1D88"/>
    <w:rsid w:val="00AD363C"/>
    <w:rsid w:val="00AD5950"/>
    <w:rsid w:val="00AD5ECA"/>
    <w:rsid w:val="00AE0A17"/>
    <w:rsid w:val="00AE125F"/>
    <w:rsid w:val="00AE50FA"/>
    <w:rsid w:val="00AE6DB5"/>
    <w:rsid w:val="00AF11AA"/>
    <w:rsid w:val="00AF1CD6"/>
    <w:rsid w:val="00AF24F4"/>
    <w:rsid w:val="00B00790"/>
    <w:rsid w:val="00B00DC3"/>
    <w:rsid w:val="00B016B7"/>
    <w:rsid w:val="00B0581E"/>
    <w:rsid w:val="00B13206"/>
    <w:rsid w:val="00B1537C"/>
    <w:rsid w:val="00B1649E"/>
    <w:rsid w:val="00B1709A"/>
    <w:rsid w:val="00B255A6"/>
    <w:rsid w:val="00B27C94"/>
    <w:rsid w:val="00B32787"/>
    <w:rsid w:val="00B32A61"/>
    <w:rsid w:val="00B3365A"/>
    <w:rsid w:val="00B41D0F"/>
    <w:rsid w:val="00B4324A"/>
    <w:rsid w:val="00B43D6E"/>
    <w:rsid w:val="00B4491F"/>
    <w:rsid w:val="00B46BB7"/>
    <w:rsid w:val="00B5131F"/>
    <w:rsid w:val="00B5253F"/>
    <w:rsid w:val="00B53D78"/>
    <w:rsid w:val="00B5641B"/>
    <w:rsid w:val="00B575B5"/>
    <w:rsid w:val="00B6476C"/>
    <w:rsid w:val="00B64ECC"/>
    <w:rsid w:val="00B65AD0"/>
    <w:rsid w:val="00B70436"/>
    <w:rsid w:val="00B72A9A"/>
    <w:rsid w:val="00B73D72"/>
    <w:rsid w:val="00B81DAB"/>
    <w:rsid w:val="00B833DC"/>
    <w:rsid w:val="00B83E72"/>
    <w:rsid w:val="00B84454"/>
    <w:rsid w:val="00B86136"/>
    <w:rsid w:val="00B872F4"/>
    <w:rsid w:val="00B9268E"/>
    <w:rsid w:val="00B9329F"/>
    <w:rsid w:val="00B96813"/>
    <w:rsid w:val="00B9789A"/>
    <w:rsid w:val="00BA16A1"/>
    <w:rsid w:val="00BA251E"/>
    <w:rsid w:val="00BA3B71"/>
    <w:rsid w:val="00BA3BF8"/>
    <w:rsid w:val="00BB0080"/>
    <w:rsid w:val="00BB0841"/>
    <w:rsid w:val="00BB0A10"/>
    <w:rsid w:val="00BB1C77"/>
    <w:rsid w:val="00BB2538"/>
    <w:rsid w:val="00BC341B"/>
    <w:rsid w:val="00BC4B89"/>
    <w:rsid w:val="00BC4D48"/>
    <w:rsid w:val="00BC4F19"/>
    <w:rsid w:val="00BC58E4"/>
    <w:rsid w:val="00BC6014"/>
    <w:rsid w:val="00BD065B"/>
    <w:rsid w:val="00BD50E3"/>
    <w:rsid w:val="00BD5279"/>
    <w:rsid w:val="00BE0B73"/>
    <w:rsid w:val="00BE14DB"/>
    <w:rsid w:val="00BE7F4D"/>
    <w:rsid w:val="00BF1660"/>
    <w:rsid w:val="00BF25BC"/>
    <w:rsid w:val="00BF5B6B"/>
    <w:rsid w:val="00C00D7F"/>
    <w:rsid w:val="00C017E0"/>
    <w:rsid w:val="00C04CA1"/>
    <w:rsid w:val="00C10FC7"/>
    <w:rsid w:val="00C111A1"/>
    <w:rsid w:val="00C1199E"/>
    <w:rsid w:val="00C130F5"/>
    <w:rsid w:val="00C1449F"/>
    <w:rsid w:val="00C16766"/>
    <w:rsid w:val="00C175F6"/>
    <w:rsid w:val="00C24115"/>
    <w:rsid w:val="00C25AA6"/>
    <w:rsid w:val="00C26B4E"/>
    <w:rsid w:val="00C30ABA"/>
    <w:rsid w:val="00C32E1D"/>
    <w:rsid w:val="00C333B5"/>
    <w:rsid w:val="00C34462"/>
    <w:rsid w:val="00C36635"/>
    <w:rsid w:val="00C37E9C"/>
    <w:rsid w:val="00C406CC"/>
    <w:rsid w:val="00C40E7D"/>
    <w:rsid w:val="00C45668"/>
    <w:rsid w:val="00C523C0"/>
    <w:rsid w:val="00C52524"/>
    <w:rsid w:val="00C53064"/>
    <w:rsid w:val="00C57F9F"/>
    <w:rsid w:val="00C600F6"/>
    <w:rsid w:val="00C63479"/>
    <w:rsid w:val="00C66C09"/>
    <w:rsid w:val="00C709B5"/>
    <w:rsid w:val="00C71504"/>
    <w:rsid w:val="00C74290"/>
    <w:rsid w:val="00C74D5F"/>
    <w:rsid w:val="00C80B0F"/>
    <w:rsid w:val="00C81AA0"/>
    <w:rsid w:val="00C81B03"/>
    <w:rsid w:val="00C8726F"/>
    <w:rsid w:val="00C90FF3"/>
    <w:rsid w:val="00C92B62"/>
    <w:rsid w:val="00C9359C"/>
    <w:rsid w:val="00C93C31"/>
    <w:rsid w:val="00C94225"/>
    <w:rsid w:val="00C948B2"/>
    <w:rsid w:val="00C9518C"/>
    <w:rsid w:val="00C95E73"/>
    <w:rsid w:val="00C96BC5"/>
    <w:rsid w:val="00C97CB0"/>
    <w:rsid w:val="00CA0662"/>
    <w:rsid w:val="00CA28E6"/>
    <w:rsid w:val="00CA45C3"/>
    <w:rsid w:val="00CA4C25"/>
    <w:rsid w:val="00CA4CC4"/>
    <w:rsid w:val="00CB5B8C"/>
    <w:rsid w:val="00CC08EE"/>
    <w:rsid w:val="00CC0D38"/>
    <w:rsid w:val="00CC373C"/>
    <w:rsid w:val="00CC73B1"/>
    <w:rsid w:val="00CC77FE"/>
    <w:rsid w:val="00CD68F0"/>
    <w:rsid w:val="00CE1746"/>
    <w:rsid w:val="00CE2803"/>
    <w:rsid w:val="00CE2C2C"/>
    <w:rsid w:val="00CE7D51"/>
    <w:rsid w:val="00CF2E8D"/>
    <w:rsid w:val="00CF333B"/>
    <w:rsid w:val="00CF5230"/>
    <w:rsid w:val="00D008BA"/>
    <w:rsid w:val="00D052A0"/>
    <w:rsid w:val="00D052C1"/>
    <w:rsid w:val="00D100B9"/>
    <w:rsid w:val="00D11BF8"/>
    <w:rsid w:val="00D1596D"/>
    <w:rsid w:val="00D17C10"/>
    <w:rsid w:val="00D2042A"/>
    <w:rsid w:val="00D24347"/>
    <w:rsid w:val="00D258D0"/>
    <w:rsid w:val="00D25AA6"/>
    <w:rsid w:val="00D31D5B"/>
    <w:rsid w:val="00D31FB2"/>
    <w:rsid w:val="00D32223"/>
    <w:rsid w:val="00D33F39"/>
    <w:rsid w:val="00D37F5A"/>
    <w:rsid w:val="00D401FF"/>
    <w:rsid w:val="00D41820"/>
    <w:rsid w:val="00D42115"/>
    <w:rsid w:val="00D44701"/>
    <w:rsid w:val="00D459EA"/>
    <w:rsid w:val="00D504AC"/>
    <w:rsid w:val="00D51410"/>
    <w:rsid w:val="00D52133"/>
    <w:rsid w:val="00D53765"/>
    <w:rsid w:val="00D54C5D"/>
    <w:rsid w:val="00D614ED"/>
    <w:rsid w:val="00D61EBA"/>
    <w:rsid w:val="00D6252B"/>
    <w:rsid w:val="00D638B2"/>
    <w:rsid w:val="00D64BE8"/>
    <w:rsid w:val="00D774F7"/>
    <w:rsid w:val="00D80C41"/>
    <w:rsid w:val="00D829DB"/>
    <w:rsid w:val="00D83063"/>
    <w:rsid w:val="00D84713"/>
    <w:rsid w:val="00D851D1"/>
    <w:rsid w:val="00D862D3"/>
    <w:rsid w:val="00D86B20"/>
    <w:rsid w:val="00D91C01"/>
    <w:rsid w:val="00D92164"/>
    <w:rsid w:val="00D939F4"/>
    <w:rsid w:val="00D93CBB"/>
    <w:rsid w:val="00D93E96"/>
    <w:rsid w:val="00D97CE0"/>
    <w:rsid w:val="00DA2482"/>
    <w:rsid w:val="00DA35BF"/>
    <w:rsid w:val="00DA5584"/>
    <w:rsid w:val="00DA68A1"/>
    <w:rsid w:val="00DB1F4F"/>
    <w:rsid w:val="00DB2DB1"/>
    <w:rsid w:val="00DB3658"/>
    <w:rsid w:val="00DB6BB1"/>
    <w:rsid w:val="00DC3C84"/>
    <w:rsid w:val="00DC67A5"/>
    <w:rsid w:val="00DD0D95"/>
    <w:rsid w:val="00DD1E4F"/>
    <w:rsid w:val="00DD3A96"/>
    <w:rsid w:val="00DD5044"/>
    <w:rsid w:val="00DE3B24"/>
    <w:rsid w:val="00DE48BF"/>
    <w:rsid w:val="00DE4EBB"/>
    <w:rsid w:val="00DE5001"/>
    <w:rsid w:val="00DE7AFE"/>
    <w:rsid w:val="00DF0192"/>
    <w:rsid w:val="00DF547D"/>
    <w:rsid w:val="00DF5D16"/>
    <w:rsid w:val="00DF65D5"/>
    <w:rsid w:val="00DF7496"/>
    <w:rsid w:val="00E01319"/>
    <w:rsid w:val="00E035B0"/>
    <w:rsid w:val="00E107E2"/>
    <w:rsid w:val="00E142E1"/>
    <w:rsid w:val="00E16614"/>
    <w:rsid w:val="00E215C1"/>
    <w:rsid w:val="00E22A47"/>
    <w:rsid w:val="00E257C2"/>
    <w:rsid w:val="00E273C1"/>
    <w:rsid w:val="00E30D75"/>
    <w:rsid w:val="00E329F8"/>
    <w:rsid w:val="00E32CFF"/>
    <w:rsid w:val="00E354F3"/>
    <w:rsid w:val="00E35675"/>
    <w:rsid w:val="00E37680"/>
    <w:rsid w:val="00E40C6A"/>
    <w:rsid w:val="00E438C9"/>
    <w:rsid w:val="00E47E9E"/>
    <w:rsid w:val="00E510BF"/>
    <w:rsid w:val="00E55969"/>
    <w:rsid w:val="00E55F38"/>
    <w:rsid w:val="00E57A13"/>
    <w:rsid w:val="00E60558"/>
    <w:rsid w:val="00E62473"/>
    <w:rsid w:val="00E63AAD"/>
    <w:rsid w:val="00E65F61"/>
    <w:rsid w:val="00E70C03"/>
    <w:rsid w:val="00E7275B"/>
    <w:rsid w:val="00E72B0D"/>
    <w:rsid w:val="00E76686"/>
    <w:rsid w:val="00E82866"/>
    <w:rsid w:val="00E82CF3"/>
    <w:rsid w:val="00E83E5C"/>
    <w:rsid w:val="00E84BAF"/>
    <w:rsid w:val="00EA2470"/>
    <w:rsid w:val="00EB0B46"/>
    <w:rsid w:val="00EB1A6E"/>
    <w:rsid w:val="00EB28D7"/>
    <w:rsid w:val="00EB3C43"/>
    <w:rsid w:val="00EB5199"/>
    <w:rsid w:val="00EC13D9"/>
    <w:rsid w:val="00EC4364"/>
    <w:rsid w:val="00ED4E88"/>
    <w:rsid w:val="00ED7E52"/>
    <w:rsid w:val="00EE3D2C"/>
    <w:rsid w:val="00EE3FAE"/>
    <w:rsid w:val="00EE45C8"/>
    <w:rsid w:val="00EE7C10"/>
    <w:rsid w:val="00EF07F6"/>
    <w:rsid w:val="00EF1F1F"/>
    <w:rsid w:val="00F03118"/>
    <w:rsid w:val="00F051CA"/>
    <w:rsid w:val="00F1071A"/>
    <w:rsid w:val="00F10CDF"/>
    <w:rsid w:val="00F1124C"/>
    <w:rsid w:val="00F14B7A"/>
    <w:rsid w:val="00F1506D"/>
    <w:rsid w:val="00F1556A"/>
    <w:rsid w:val="00F203E0"/>
    <w:rsid w:val="00F21CD1"/>
    <w:rsid w:val="00F22F10"/>
    <w:rsid w:val="00F23AF0"/>
    <w:rsid w:val="00F25C6B"/>
    <w:rsid w:val="00F3381A"/>
    <w:rsid w:val="00F3392D"/>
    <w:rsid w:val="00F35837"/>
    <w:rsid w:val="00F3591B"/>
    <w:rsid w:val="00F40569"/>
    <w:rsid w:val="00F4102F"/>
    <w:rsid w:val="00F414CD"/>
    <w:rsid w:val="00F435BB"/>
    <w:rsid w:val="00F469A5"/>
    <w:rsid w:val="00F47F14"/>
    <w:rsid w:val="00F515DB"/>
    <w:rsid w:val="00F54894"/>
    <w:rsid w:val="00F549D1"/>
    <w:rsid w:val="00F56247"/>
    <w:rsid w:val="00F56664"/>
    <w:rsid w:val="00F63D2F"/>
    <w:rsid w:val="00F66846"/>
    <w:rsid w:val="00F67F51"/>
    <w:rsid w:val="00F72D0F"/>
    <w:rsid w:val="00F73047"/>
    <w:rsid w:val="00F74B44"/>
    <w:rsid w:val="00F74FB2"/>
    <w:rsid w:val="00F75E6E"/>
    <w:rsid w:val="00F76F59"/>
    <w:rsid w:val="00F80732"/>
    <w:rsid w:val="00F81B52"/>
    <w:rsid w:val="00F81FD2"/>
    <w:rsid w:val="00F83704"/>
    <w:rsid w:val="00F85EDF"/>
    <w:rsid w:val="00F8684E"/>
    <w:rsid w:val="00F906B0"/>
    <w:rsid w:val="00FA4C29"/>
    <w:rsid w:val="00FA4E2D"/>
    <w:rsid w:val="00FA6875"/>
    <w:rsid w:val="00FB67DE"/>
    <w:rsid w:val="00FB685D"/>
    <w:rsid w:val="00FC23BB"/>
    <w:rsid w:val="00FC42E0"/>
    <w:rsid w:val="00FC4D47"/>
    <w:rsid w:val="00FC76CD"/>
    <w:rsid w:val="00FC7B3C"/>
    <w:rsid w:val="00FD162E"/>
    <w:rsid w:val="00FD2938"/>
    <w:rsid w:val="00FD4A94"/>
    <w:rsid w:val="00FE056D"/>
    <w:rsid w:val="00FE07D6"/>
    <w:rsid w:val="00FE5133"/>
    <w:rsid w:val="00FE6C5D"/>
    <w:rsid w:val="00FE7EDE"/>
    <w:rsid w:val="00FF5BC7"/>
    <w:rsid w:val="00FF7D5F"/>
    <w:rsid w:val="01563A8A"/>
    <w:rsid w:val="01992FF2"/>
    <w:rsid w:val="026363F8"/>
    <w:rsid w:val="026E4088"/>
    <w:rsid w:val="027B73EF"/>
    <w:rsid w:val="02965D3B"/>
    <w:rsid w:val="02C023D6"/>
    <w:rsid w:val="02C42252"/>
    <w:rsid w:val="03C46A6D"/>
    <w:rsid w:val="03DB72A9"/>
    <w:rsid w:val="04517CCC"/>
    <w:rsid w:val="049565FD"/>
    <w:rsid w:val="04D44C43"/>
    <w:rsid w:val="052436AE"/>
    <w:rsid w:val="05C81E7D"/>
    <w:rsid w:val="05CB5882"/>
    <w:rsid w:val="05CD292A"/>
    <w:rsid w:val="062E1AA7"/>
    <w:rsid w:val="066E3ECC"/>
    <w:rsid w:val="06AD367B"/>
    <w:rsid w:val="07390EA9"/>
    <w:rsid w:val="075C59BE"/>
    <w:rsid w:val="077641B2"/>
    <w:rsid w:val="078479B3"/>
    <w:rsid w:val="07883200"/>
    <w:rsid w:val="07A50494"/>
    <w:rsid w:val="07C51D5E"/>
    <w:rsid w:val="081F3C36"/>
    <w:rsid w:val="084E7356"/>
    <w:rsid w:val="087F7AB6"/>
    <w:rsid w:val="08A56964"/>
    <w:rsid w:val="08C276F9"/>
    <w:rsid w:val="08D85913"/>
    <w:rsid w:val="09180C96"/>
    <w:rsid w:val="09832281"/>
    <w:rsid w:val="09AC64E1"/>
    <w:rsid w:val="09BB79CF"/>
    <w:rsid w:val="09BE5271"/>
    <w:rsid w:val="09CA4F93"/>
    <w:rsid w:val="0A1C2771"/>
    <w:rsid w:val="0A2300AF"/>
    <w:rsid w:val="0A31385D"/>
    <w:rsid w:val="0A3714E1"/>
    <w:rsid w:val="0A4A17FA"/>
    <w:rsid w:val="0B1D1A26"/>
    <w:rsid w:val="0B206405"/>
    <w:rsid w:val="0B677E16"/>
    <w:rsid w:val="0BA06BBC"/>
    <w:rsid w:val="0C382E73"/>
    <w:rsid w:val="0C6F632D"/>
    <w:rsid w:val="0C8E13ED"/>
    <w:rsid w:val="0C9A0AB6"/>
    <w:rsid w:val="0CA077BB"/>
    <w:rsid w:val="0CC16F78"/>
    <w:rsid w:val="0D9067D9"/>
    <w:rsid w:val="0DE951AC"/>
    <w:rsid w:val="0DFF527A"/>
    <w:rsid w:val="0E3E4CFA"/>
    <w:rsid w:val="0E737ADD"/>
    <w:rsid w:val="0EB866A1"/>
    <w:rsid w:val="0EF22AB7"/>
    <w:rsid w:val="0F0A495B"/>
    <w:rsid w:val="0F365575"/>
    <w:rsid w:val="0F601A19"/>
    <w:rsid w:val="0F680ABE"/>
    <w:rsid w:val="0FA62F7A"/>
    <w:rsid w:val="0FC3737D"/>
    <w:rsid w:val="0FCE3161"/>
    <w:rsid w:val="10086F1B"/>
    <w:rsid w:val="1010560C"/>
    <w:rsid w:val="104466D6"/>
    <w:rsid w:val="106911CF"/>
    <w:rsid w:val="106D1AA9"/>
    <w:rsid w:val="107968A8"/>
    <w:rsid w:val="107B4D23"/>
    <w:rsid w:val="10E4703C"/>
    <w:rsid w:val="10E50582"/>
    <w:rsid w:val="10F55227"/>
    <w:rsid w:val="113B5032"/>
    <w:rsid w:val="11492D80"/>
    <w:rsid w:val="12157662"/>
    <w:rsid w:val="126662C3"/>
    <w:rsid w:val="128B66F7"/>
    <w:rsid w:val="12BB297F"/>
    <w:rsid w:val="12D43B0B"/>
    <w:rsid w:val="12F67445"/>
    <w:rsid w:val="13056A4C"/>
    <w:rsid w:val="134413EE"/>
    <w:rsid w:val="13871E4B"/>
    <w:rsid w:val="138B6BFC"/>
    <w:rsid w:val="14176939"/>
    <w:rsid w:val="146B6A8D"/>
    <w:rsid w:val="14874B38"/>
    <w:rsid w:val="148972EF"/>
    <w:rsid w:val="149B2598"/>
    <w:rsid w:val="14AB405D"/>
    <w:rsid w:val="14C42904"/>
    <w:rsid w:val="14ED6E40"/>
    <w:rsid w:val="14FE07B5"/>
    <w:rsid w:val="15296FE7"/>
    <w:rsid w:val="155F7AC8"/>
    <w:rsid w:val="15A712B3"/>
    <w:rsid w:val="15B06ACC"/>
    <w:rsid w:val="15E3408F"/>
    <w:rsid w:val="16491BE0"/>
    <w:rsid w:val="168F6339"/>
    <w:rsid w:val="170D20D8"/>
    <w:rsid w:val="1727463A"/>
    <w:rsid w:val="17614800"/>
    <w:rsid w:val="185B4ECC"/>
    <w:rsid w:val="18725028"/>
    <w:rsid w:val="188A5A62"/>
    <w:rsid w:val="18E73EEB"/>
    <w:rsid w:val="19825C2F"/>
    <w:rsid w:val="19A35324"/>
    <w:rsid w:val="19AA0461"/>
    <w:rsid w:val="19F26C67"/>
    <w:rsid w:val="1A294673"/>
    <w:rsid w:val="1AE8617D"/>
    <w:rsid w:val="1BBC6664"/>
    <w:rsid w:val="1BC40FE0"/>
    <w:rsid w:val="1BFC4AC5"/>
    <w:rsid w:val="1C237707"/>
    <w:rsid w:val="1C74449E"/>
    <w:rsid w:val="1C867A41"/>
    <w:rsid w:val="1CE160FD"/>
    <w:rsid w:val="1D3703AD"/>
    <w:rsid w:val="1D822165"/>
    <w:rsid w:val="1DCD1401"/>
    <w:rsid w:val="1DE07281"/>
    <w:rsid w:val="1E474457"/>
    <w:rsid w:val="1E6803BD"/>
    <w:rsid w:val="1E73330A"/>
    <w:rsid w:val="1E922EA6"/>
    <w:rsid w:val="1ED45CDD"/>
    <w:rsid w:val="1EE37121"/>
    <w:rsid w:val="1F082052"/>
    <w:rsid w:val="1F3031B6"/>
    <w:rsid w:val="1F456EDA"/>
    <w:rsid w:val="1F561EFD"/>
    <w:rsid w:val="1FAC2FA9"/>
    <w:rsid w:val="20250841"/>
    <w:rsid w:val="2032001C"/>
    <w:rsid w:val="20BF4A1D"/>
    <w:rsid w:val="20D11500"/>
    <w:rsid w:val="213A376C"/>
    <w:rsid w:val="21BA7C84"/>
    <w:rsid w:val="22010B67"/>
    <w:rsid w:val="22050997"/>
    <w:rsid w:val="22203CDF"/>
    <w:rsid w:val="22231537"/>
    <w:rsid w:val="223C1696"/>
    <w:rsid w:val="2256752A"/>
    <w:rsid w:val="226E7FD3"/>
    <w:rsid w:val="228B4290"/>
    <w:rsid w:val="22AA0DFE"/>
    <w:rsid w:val="23342203"/>
    <w:rsid w:val="233B5EE8"/>
    <w:rsid w:val="23541725"/>
    <w:rsid w:val="236413E2"/>
    <w:rsid w:val="23971A56"/>
    <w:rsid w:val="23BF2D5B"/>
    <w:rsid w:val="24124893"/>
    <w:rsid w:val="241C7894"/>
    <w:rsid w:val="24312763"/>
    <w:rsid w:val="249F7F1B"/>
    <w:rsid w:val="24D7782F"/>
    <w:rsid w:val="24E766A3"/>
    <w:rsid w:val="24F627AC"/>
    <w:rsid w:val="256151D7"/>
    <w:rsid w:val="25B33324"/>
    <w:rsid w:val="2624172A"/>
    <w:rsid w:val="262A6C82"/>
    <w:rsid w:val="267D4D98"/>
    <w:rsid w:val="269A1801"/>
    <w:rsid w:val="27534280"/>
    <w:rsid w:val="277E54BA"/>
    <w:rsid w:val="279F1D8B"/>
    <w:rsid w:val="280B43F2"/>
    <w:rsid w:val="28383051"/>
    <w:rsid w:val="285000D6"/>
    <w:rsid w:val="286A598B"/>
    <w:rsid w:val="28DA50C0"/>
    <w:rsid w:val="290D005C"/>
    <w:rsid w:val="29E731BA"/>
    <w:rsid w:val="2A2E7158"/>
    <w:rsid w:val="2A300DA1"/>
    <w:rsid w:val="2AFF7FFC"/>
    <w:rsid w:val="2B3A0C76"/>
    <w:rsid w:val="2B46204B"/>
    <w:rsid w:val="2B512E32"/>
    <w:rsid w:val="2B6627DC"/>
    <w:rsid w:val="2BD451EB"/>
    <w:rsid w:val="2BEB40C3"/>
    <w:rsid w:val="2C004432"/>
    <w:rsid w:val="2C2310EE"/>
    <w:rsid w:val="2C604250"/>
    <w:rsid w:val="2C7D364A"/>
    <w:rsid w:val="2CCA5FC3"/>
    <w:rsid w:val="2CD32BFF"/>
    <w:rsid w:val="2CE11F8A"/>
    <w:rsid w:val="2D8B326A"/>
    <w:rsid w:val="2D9D2354"/>
    <w:rsid w:val="2E1A14D7"/>
    <w:rsid w:val="2E5C5E41"/>
    <w:rsid w:val="2ED97D5E"/>
    <w:rsid w:val="2F357DF8"/>
    <w:rsid w:val="2FA80366"/>
    <w:rsid w:val="2FDF3292"/>
    <w:rsid w:val="302C4E28"/>
    <w:rsid w:val="30E720F6"/>
    <w:rsid w:val="31321D00"/>
    <w:rsid w:val="314A5A2E"/>
    <w:rsid w:val="32042647"/>
    <w:rsid w:val="32A27DD2"/>
    <w:rsid w:val="32A337E0"/>
    <w:rsid w:val="33360A5B"/>
    <w:rsid w:val="333A108B"/>
    <w:rsid w:val="336F2F9F"/>
    <w:rsid w:val="339F68D5"/>
    <w:rsid w:val="33FB38A9"/>
    <w:rsid w:val="34476471"/>
    <w:rsid w:val="346E1D1A"/>
    <w:rsid w:val="347417A3"/>
    <w:rsid w:val="3502292D"/>
    <w:rsid w:val="356160E0"/>
    <w:rsid w:val="35702BC8"/>
    <w:rsid w:val="357A2B3B"/>
    <w:rsid w:val="357C4F4F"/>
    <w:rsid w:val="35DD0710"/>
    <w:rsid w:val="36111200"/>
    <w:rsid w:val="36246CEF"/>
    <w:rsid w:val="365A19BD"/>
    <w:rsid w:val="36CE32C8"/>
    <w:rsid w:val="376705BC"/>
    <w:rsid w:val="37836736"/>
    <w:rsid w:val="38733F94"/>
    <w:rsid w:val="3884314F"/>
    <w:rsid w:val="38845999"/>
    <w:rsid w:val="38B26E64"/>
    <w:rsid w:val="38B377C8"/>
    <w:rsid w:val="38DA5806"/>
    <w:rsid w:val="38FE4386"/>
    <w:rsid w:val="391D0B61"/>
    <w:rsid w:val="391F28A1"/>
    <w:rsid w:val="39911877"/>
    <w:rsid w:val="39B44881"/>
    <w:rsid w:val="39DB74FE"/>
    <w:rsid w:val="3A140468"/>
    <w:rsid w:val="3A1542DC"/>
    <w:rsid w:val="3A254487"/>
    <w:rsid w:val="3A55497D"/>
    <w:rsid w:val="3ACF1F6C"/>
    <w:rsid w:val="3AD57F48"/>
    <w:rsid w:val="3B0701F4"/>
    <w:rsid w:val="3B450DF0"/>
    <w:rsid w:val="3B833592"/>
    <w:rsid w:val="3BCF46E5"/>
    <w:rsid w:val="3BD968FF"/>
    <w:rsid w:val="3BE1213E"/>
    <w:rsid w:val="3BF37259"/>
    <w:rsid w:val="3C564787"/>
    <w:rsid w:val="3C7E3FB6"/>
    <w:rsid w:val="3C90201F"/>
    <w:rsid w:val="3CA76D9E"/>
    <w:rsid w:val="3CC53734"/>
    <w:rsid w:val="3CE9269F"/>
    <w:rsid w:val="3DD95DDD"/>
    <w:rsid w:val="3DDA5249"/>
    <w:rsid w:val="3DDD35FA"/>
    <w:rsid w:val="3E0B5501"/>
    <w:rsid w:val="3E591611"/>
    <w:rsid w:val="3F21736F"/>
    <w:rsid w:val="3F7029B8"/>
    <w:rsid w:val="3FB52AE4"/>
    <w:rsid w:val="3FD72BF7"/>
    <w:rsid w:val="406D3C0E"/>
    <w:rsid w:val="40BF431A"/>
    <w:rsid w:val="40F6271B"/>
    <w:rsid w:val="4168228C"/>
    <w:rsid w:val="41C757A4"/>
    <w:rsid w:val="42350E96"/>
    <w:rsid w:val="429D395C"/>
    <w:rsid w:val="42F260DA"/>
    <w:rsid w:val="43174AB1"/>
    <w:rsid w:val="436C03B1"/>
    <w:rsid w:val="437E41C4"/>
    <w:rsid w:val="439324EC"/>
    <w:rsid w:val="43C90FBD"/>
    <w:rsid w:val="4407104E"/>
    <w:rsid w:val="443F3F55"/>
    <w:rsid w:val="44655CE3"/>
    <w:rsid w:val="44A540FE"/>
    <w:rsid w:val="44D548E7"/>
    <w:rsid w:val="45610E13"/>
    <w:rsid w:val="45687519"/>
    <w:rsid w:val="458A21EE"/>
    <w:rsid w:val="459D1AAA"/>
    <w:rsid w:val="45CA751E"/>
    <w:rsid w:val="45F00945"/>
    <w:rsid w:val="46563EA0"/>
    <w:rsid w:val="46727C16"/>
    <w:rsid w:val="468532AA"/>
    <w:rsid w:val="469277D8"/>
    <w:rsid w:val="46A36504"/>
    <w:rsid w:val="46C5657C"/>
    <w:rsid w:val="46CE659C"/>
    <w:rsid w:val="46D572DC"/>
    <w:rsid w:val="46E17CF9"/>
    <w:rsid w:val="46F941C4"/>
    <w:rsid w:val="477124F4"/>
    <w:rsid w:val="47C10F89"/>
    <w:rsid w:val="47CD49BC"/>
    <w:rsid w:val="482310E8"/>
    <w:rsid w:val="484D18F0"/>
    <w:rsid w:val="48675C4C"/>
    <w:rsid w:val="48827B5E"/>
    <w:rsid w:val="489A0348"/>
    <w:rsid w:val="48CF5E2F"/>
    <w:rsid w:val="490B0970"/>
    <w:rsid w:val="49123F4C"/>
    <w:rsid w:val="491854A2"/>
    <w:rsid w:val="49311328"/>
    <w:rsid w:val="496518F9"/>
    <w:rsid w:val="49801E0F"/>
    <w:rsid w:val="49E105A6"/>
    <w:rsid w:val="49EE65AE"/>
    <w:rsid w:val="4A453F88"/>
    <w:rsid w:val="4A580A09"/>
    <w:rsid w:val="4A860983"/>
    <w:rsid w:val="4ABA3555"/>
    <w:rsid w:val="4ACF5B75"/>
    <w:rsid w:val="4B2F669E"/>
    <w:rsid w:val="4B304C22"/>
    <w:rsid w:val="4B751C49"/>
    <w:rsid w:val="4BA130FB"/>
    <w:rsid w:val="4BB156BB"/>
    <w:rsid w:val="4BBE540A"/>
    <w:rsid w:val="4C17130C"/>
    <w:rsid w:val="4CA1150D"/>
    <w:rsid w:val="4CAC152A"/>
    <w:rsid w:val="4CAD6FE7"/>
    <w:rsid w:val="4D013CD0"/>
    <w:rsid w:val="4DA1617E"/>
    <w:rsid w:val="4DB463A9"/>
    <w:rsid w:val="4DEE55BC"/>
    <w:rsid w:val="4E157BC0"/>
    <w:rsid w:val="4E2D66F8"/>
    <w:rsid w:val="4E313070"/>
    <w:rsid w:val="4E512449"/>
    <w:rsid w:val="4E833919"/>
    <w:rsid w:val="4E873EED"/>
    <w:rsid w:val="4E9441DF"/>
    <w:rsid w:val="4EAE55BC"/>
    <w:rsid w:val="4ECD201E"/>
    <w:rsid w:val="4F09434E"/>
    <w:rsid w:val="4F280A6D"/>
    <w:rsid w:val="4F3669D0"/>
    <w:rsid w:val="4F47165F"/>
    <w:rsid w:val="4FAA3737"/>
    <w:rsid w:val="4FE837F1"/>
    <w:rsid w:val="4FFE0083"/>
    <w:rsid w:val="50816B9E"/>
    <w:rsid w:val="50B95FA6"/>
    <w:rsid w:val="511718DA"/>
    <w:rsid w:val="51245E78"/>
    <w:rsid w:val="51710E25"/>
    <w:rsid w:val="517A3EE0"/>
    <w:rsid w:val="5197371C"/>
    <w:rsid w:val="51CF1C2B"/>
    <w:rsid w:val="51EA7466"/>
    <w:rsid w:val="51FB4947"/>
    <w:rsid w:val="521D7B28"/>
    <w:rsid w:val="523F0BD7"/>
    <w:rsid w:val="52447115"/>
    <w:rsid w:val="52660020"/>
    <w:rsid w:val="52A33867"/>
    <w:rsid w:val="52DF013B"/>
    <w:rsid w:val="53487B9D"/>
    <w:rsid w:val="535641B2"/>
    <w:rsid w:val="53A5346C"/>
    <w:rsid w:val="53D327CF"/>
    <w:rsid w:val="542111CD"/>
    <w:rsid w:val="54232054"/>
    <w:rsid w:val="54583F5B"/>
    <w:rsid w:val="54892E32"/>
    <w:rsid w:val="54AA497A"/>
    <w:rsid w:val="54BC6707"/>
    <w:rsid w:val="551052BE"/>
    <w:rsid w:val="5518756C"/>
    <w:rsid w:val="55834F66"/>
    <w:rsid w:val="559312CD"/>
    <w:rsid w:val="55C2033B"/>
    <w:rsid w:val="55D0726B"/>
    <w:rsid w:val="55DD7312"/>
    <w:rsid w:val="566C1964"/>
    <w:rsid w:val="568F1963"/>
    <w:rsid w:val="56C82D33"/>
    <w:rsid w:val="56F30069"/>
    <w:rsid w:val="57B32BEF"/>
    <w:rsid w:val="58810003"/>
    <w:rsid w:val="58B2652E"/>
    <w:rsid w:val="58FF00F7"/>
    <w:rsid w:val="59445103"/>
    <w:rsid w:val="594828CF"/>
    <w:rsid w:val="594B0D80"/>
    <w:rsid w:val="5AE77A13"/>
    <w:rsid w:val="5B057893"/>
    <w:rsid w:val="5BD3495A"/>
    <w:rsid w:val="5C0D294F"/>
    <w:rsid w:val="5C2F4B71"/>
    <w:rsid w:val="5C6C3BE5"/>
    <w:rsid w:val="5C6E722F"/>
    <w:rsid w:val="5CDD7C54"/>
    <w:rsid w:val="5CE76922"/>
    <w:rsid w:val="5CE87D84"/>
    <w:rsid w:val="5D080692"/>
    <w:rsid w:val="5D2B1B47"/>
    <w:rsid w:val="5DA814C0"/>
    <w:rsid w:val="5DB61E40"/>
    <w:rsid w:val="5DBA0F04"/>
    <w:rsid w:val="5E1C66CE"/>
    <w:rsid w:val="5F565FC2"/>
    <w:rsid w:val="5F8A3A51"/>
    <w:rsid w:val="5FD45EC9"/>
    <w:rsid w:val="604079F5"/>
    <w:rsid w:val="604819AA"/>
    <w:rsid w:val="60515C5D"/>
    <w:rsid w:val="60545E3E"/>
    <w:rsid w:val="61173E4E"/>
    <w:rsid w:val="614849C7"/>
    <w:rsid w:val="615973E1"/>
    <w:rsid w:val="619443DB"/>
    <w:rsid w:val="61A9044E"/>
    <w:rsid w:val="621428E9"/>
    <w:rsid w:val="62161609"/>
    <w:rsid w:val="62476CB2"/>
    <w:rsid w:val="625D0E3D"/>
    <w:rsid w:val="626A2C3C"/>
    <w:rsid w:val="628C0C7E"/>
    <w:rsid w:val="62B01AE0"/>
    <w:rsid w:val="62D41677"/>
    <w:rsid w:val="62F97072"/>
    <w:rsid w:val="63BA1FC0"/>
    <w:rsid w:val="64174137"/>
    <w:rsid w:val="642A3B1A"/>
    <w:rsid w:val="645B3DFE"/>
    <w:rsid w:val="64803BCB"/>
    <w:rsid w:val="648635DC"/>
    <w:rsid w:val="64957DCE"/>
    <w:rsid w:val="649D31EB"/>
    <w:rsid w:val="64DA0239"/>
    <w:rsid w:val="65710C9B"/>
    <w:rsid w:val="65806A53"/>
    <w:rsid w:val="659C2075"/>
    <w:rsid w:val="65BE20C6"/>
    <w:rsid w:val="65E01529"/>
    <w:rsid w:val="65E061B1"/>
    <w:rsid w:val="66E25207"/>
    <w:rsid w:val="67115FB4"/>
    <w:rsid w:val="672402CF"/>
    <w:rsid w:val="672872D1"/>
    <w:rsid w:val="677833C7"/>
    <w:rsid w:val="678762BB"/>
    <w:rsid w:val="67B03682"/>
    <w:rsid w:val="683B107D"/>
    <w:rsid w:val="685D2F03"/>
    <w:rsid w:val="687C2797"/>
    <w:rsid w:val="68B171B4"/>
    <w:rsid w:val="68BF42E3"/>
    <w:rsid w:val="68F94C23"/>
    <w:rsid w:val="690534F5"/>
    <w:rsid w:val="690F6F3A"/>
    <w:rsid w:val="693F697C"/>
    <w:rsid w:val="694760C2"/>
    <w:rsid w:val="6A6E4701"/>
    <w:rsid w:val="6A840CD1"/>
    <w:rsid w:val="6AFD1495"/>
    <w:rsid w:val="6B193CE9"/>
    <w:rsid w:val="6B4E4DFC"/>
    <w:rsid w:val="6B8B6EC9"/>
    <w:rsid w:val="6C965B34"/>
    <w:rsid w:val="6CBA7F68"/>
    <w:rsid w:val="6D1234C8"/>
    <w:rsid w:val="6D6D4B04"/>
    <w:rsid w:val="6D6E1DE8"/>
    <w:rsid w:val="6D736486"/>
    <w:rsid w:val="6D8527B3"/>
    <w:rsid w:val="6D8F2114"/>
    <w:rsid w:val="6D9D29D5"/>
    <w:rsid w:val="6DF84DC1"/>
    <w:rsid w:val="6E363002"/>
    <w:rsid w:val="6EB30665"/>
    <w:rsid w:val="6F0B142F"/>
    <w:rsid w:val="6F6049BF"/>
    <w:rsid w:val="6F74780C"/>
    <w:rsid w:val="6FAC18ED"/>
    <w:rsid w:val="70826F14"/>
    <w:rsid w:val="709572FE"/>
    <w:rsid w:val="70F00A61"/>
    <w:rsid w:val="719A37BB"/>
    <w:rsid w:val="71A75801"/>
    <w:rsid w:val="723C1BF6"/>
    <w:rsid w:val="724B0EA7"/>
    <w:rsid w:val="72E81FE3"/>
    <w:rsid w:val="73263480"/>
    <w:rsid w:val="74295522"/>
    <w:rsid w:val="746C60E2"/>
    <w:rsid w:val="74C65DBE"/>
    <w:rsid w:val="74D177C5"/>
    <w:rsid w:val="74D84007"/>
    <w:rsid w:val="74E46DEC"/>
    <w:rsid w:val="75120509"/>
    <w:rsid w:val="7586782D"/>
    <w:rsid w:val="759D6B84"/>
    <w:rsid w:val="764C14E5"/>
    <w:rsid w:val="7666435A"/>
    <w:rsid w:val="76915B53"/>
    <w:rsid w:val="76D4066F"/>
    <w:rsid w:val="771214BE"/>
    <w:rsid w:val="777077CA"/>
    <w:rsid w:val="77CB0DE6"/>
    <w:rsid w:val="78542863"/>
    <w:rsid w:val="785D2CE7"/>
    <w:rsid w:val="79066B57"/>
    <w:rsid w:val="792B3303"/>
    <w:rsid w:val="79444A09"/>
    <w:rsid w:val="794F0860"/>
    <w:rsid w:val="79EA1371"/>
    <w:rsid w:val="7A1D2064"/>
    <w:rsid w:val="7A51292F"/>
    <w:rsid w:val="7A8438CF"/>
    <w:rsid w:val="7B2D5B63"/>
    <w:rsid w:val="7B837EC4"/>
    <w:rsid w:val="7BD922ED"/>
    <w:rsid w:val="7BDC3B08"/>
    <w:rsid w:val="7C574A54"/>
    <w:rsid w:val="7C576142"/>
    <w:rsid w:val="7D0059B2"/>
    <w:rsid w:val="7D3261AF"/>
    <w:rsid w:val="7DF16861"/>
    <w:rsid w:val="7E115102"/>
    <w:rsid w:val="7E2047B9"/>
    <w:rsid w:val="7E524484"/>
    <w:rsid w:val="7E7A3E22"/>
    <w:rsid w:val="7F334081"/>
    <w:rsid w:val="7F5E3FD0"/>
    <w:rsid w:val="7F9238DA"/>
    <w:rsid w:val="7FA55A5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3"/>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qFormat="1" w:uiPriority="99"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qFormat="1" w:unhideWhenUsed="0" w:uiPriority="0"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4"/>
      <w:szCs w:val="22"/>
      <w:lang w:val="en-US" w:eastAsia="zh-CN" w:bidi="ar-SA"/>
    </w:rPr>
  </w:style>
  <w:style w:type="paragraph" w:styleId="4">
    <w:name w:val="heading 1"/>
    <w:basedOn w:val="1"/>
    <w:next w:val="1"/>
    <w:link w:val="58"/>
    <w:autoRedefine/>
    <w:qFormat/>
    <w:uiPriority w:val="9"/>
    <w:pPr>
      <w:keepNext/>
      <w:keepLines/>
      <w:spacing w:line="360" w:lineRule="auto"/>
      <w:jc w:val="center"/>
      <w:outlineLvl w:val="0"/>
    </w:pPr>
    <w:rPr>
      <w:rFonts w:eastAsia="黑体"/>
      <w:bCs/>
      <w:kern w:val="44"/>
      <w:sz w:val="30"/>
      <w:szCs w:val="44"/>
    </w:rPr>
  </w:style>
  <w:style w:type="paragraph" w:styleId="5">
    <w:name w:val="heading 2"/>
    <w:basedOn w:val="1"/>
    <w:next w:val="1"/>
    <w:link w:val="65"/>
    <w:autoRedefine/>
    <w:qFormat/>
    <w:uiPriority w:val="9"/>
    <w:pPr>
      <w:keepNext/>
      <w:keepLines/>
      <w:spacing w:before="260" w:after="260" w:line="416" w:lineRule="auto"/>
      <w:outlineLvl w:val="1"/>
    </w:pPr>
    <w:rPr>
      <w:rFonts w:ascii="等线 Light" w:hAnsi="等线 Light" w:eastAsia="等线 Light"/>
      <w:b/>
      <w:bCs/>
      <w:kern w:val="0"/>
      <w:sz w:val="32"/>
      <w:szCs w:val="32"/>
    </w:rPr>
  </w:style>
  <w:style w:type="paragraph" w:styleId="6">
    <w:name w:val="heading 3"/>
    <w:basedOn w:val="1"/>
    <w:next w:val="1"/>
    <w:link w:val="49"/>
    <w:autoRedefine/>
    <w:qFormat/>
    <w:uiPriority w:val="9"/>
    <w:pPr>
      <w:keepNext/>
      <w:keepLines/>
      <w:spacing w:before="260" w:after="260" w:line="416" w:lineRule="auto"/>
      <w:outlineLvl w:val="2"/>
    </w:pPr>
    <w:rPr>
      <w:b/>
      <w:bCs/>
      <w:kern w:val="0"/>
      <w:sz w:val="32"/>
      <w:szCs w:val="32"/>
    </w:rPr>
  </w:style>
  <w:style w:type="paragraph" w:styleId="7">
    <w:name w:val="heading 4"/>
    <w:basedOn w:val="1"/>
    <w:next w:val="1"/>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1">
    <w:name w:val="Default Paragraph Font"/>
    <w:autoRedefine/>
    <w:semiHidden/>
    <w:unhideWhenUsed/>
    <w:qFormat/>
    <w:uiPriority w:val="1"/>
  </w:style>
  <w:style w:type="table" w:default="1" w:styleId="29">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2"/>
    <w:basedOn w:val="3"/>
    <w:autoRedefine/>
    <w:qFormat/>
    <w:uiPriority w:val="0"/>
    <w:pPr>
      <w:ind w:firstLine="420" w:firstLineChars="200"/>
    </w:pPr>
    <w:rPr>
      <w:szCs w:val="20"/>
    </w:rPr>
  </w:style>
  <w:style w:type="paragraph" w:styleId="3">
    <w:name w:val="Body Text Indent"/>
    <w:basedOn w:val="1"/>
    <w:autoRedefine/>
    <w:qFormat/>
    <w:uiPriority w:val="0"/>
    <w:pPr>
      <w:spacing w:after="120"/>
      <w:ind w:left="420" w:leftChars="200"/>
    </w:pPr>
    <w:rPr>
      <w:kern w:val="0"/>
      <w:szCs w:val="20"/>
    </w:rPr>
  </w:style>
  <w:style w:type="paragraph" w:styleId="8">
    <w:name w:val="Normal Indent"/>
    <w:basedOn w:val="1"/>
    <w:next w:val="1"/>
    <w:link w:val="66"/>
    <w:autoRedefine/>
    <w:qFormat/>
    <w:uiPriority w:val="0"/>
    <w:pPr>
      <w:adjustRightInd w:val="0"/>
      <w:ind w:firstLine="420"/>
      <w:jc w:val="left"/>
    </w:pPr>
    <w:rPr>
      <w:kern w:val="0"/>
      <w:szCs w:val="20"/>
    </w:rPr>
  </w:style>
  <w:style w:type="paragraph" w:styleId="9">
    <w:name w:val="caption"/>
    <w:basedOn w:val="1"/>
    <w:next w:val="1"/>
    <w:autoRedefine/>
    <w:qFormat/>
    <w:uiPriority w:val="0"/>
    <w:rPr>
      <w:rFonts w:ascii="Cambria" w:hAnsi="Cambria" w:eastAsia="黑体"/>
      <w:sz w:val="20"/>
      <w:szCs w:val="20"/>
    </w:rPr>
  </w:style>
  <w:style w:type="paragraph" w:styleId="10">
    <w:name w:val="Document Map"/>
    <w:basedOn w:val="1"/>
    <w:link w:val="67"/>
    <w:autoRedefine/>
    <w:unhideWhenUsed/>
    <w:qFormat/>
    <w:uiPriority w:val="99"/>
    <w:rPr>
      <w:rFonts w:ascii="宋体"/>
      <w:sz w:val="18"/>
      <w:szCs w:val="18"/>
    </w:rPr>
  </w:style>
  <w:style w:type="paragraph" w:styleId="11">
    <w:name w:val="annotation text"/>
    <w:basedOn w:val="1"/>
    <w:next w:val="1"/>
    <w:link w:val="68"/>
    <w:autoRedefine/>
    <w:unhideWhenUsed/>
    <w:qFormat/>
    <w:uiPriority w:val="99"/>
    <w:pPr>
      <w:jc w:val="left"/>
    </w:pPr>
  </w:style>
  <w:style w:type="paragraph" w:styleId="12">
    <w:name w:val="Salutation"/>
    <w:basedOn w:val="1"/>
    <w:next w:val="1"/>
    <w:autoRedefine/>
    <w:qFormat/>
    <w:uiPriority w:val="0"/>
    <w:rPr>
      <w:rFonts w:ascii="宋体" w:hAnsi="宋体"/>
      <w:kern w:val="0"/>
      <w:sz w:val="28"/>
    </w:rPr>
  </w:style>
  <w:style w:type="paragraph" w:styleId="13">
    <w:name w:val="Body Text 3"/>
    <w:basedOn w:val="1"/>
    <w:autoRedefine/>
    <w:qFormat/>
    <w:uiPriority w:val="0"/>
    <w:pPr>
      <w:spacing w:after="120"/>
    </w:pPr>
    <w:rPr>
      <w:sz w:val="16"/>
      <w:szCs w:val="16"/>
    </w:rPr>
  </w:style>
  <w:style w:type="paragraph" w:styleId="14">
    <w:name w:val="Body Text"/>
    <w:basedOn w:val="1"/>
    <w:next w:val="1"/>
    <w:autoRedefine/>
    <w:qFormat/>
    <w:uiPriority w:val="0"/>
    <w:pPr>
      <w:widowControl/>
      <w:snapToGrid w:val="0"/>
      <w:spacing w:before="60" w:after="160" w:line="259" w:lineRule="auto"/>
      <w:ind w:right="113"/>
    </w:pPr>
    <w:rPr>
      <w:kern w:val="0"/>
      <w:sz w:val="18"/>
      <w:szCs w:val="20"/>
    </w:rPr>
  </w:style>
  <w:style w:type="paragraph" w:styleId="15">
    <w:name w:val="Plain Text"/>
    <w:basedOn w:val="1"/>
    <w:next w:val="16"/>
    <w:link w:val="133"/>
    <w:autoRedefine/>
    <w:qFormat/>
    <w:uiPriority w:val="99"/>
    <w:rPr>
      <w:rFonts w:ascii="宋体" w:hAnsi="Courier New"/>
    </w:rPr>
  </w:style>
  <w:style w:type="paragraph" w:styleId="16">
    <w:name w:val="toc 1"/>
    <w:basedOn w:val="1"/>
    <w:next w:val="1"/>
    <w:autoRedefine/>
    <w:unhideWhenUsed/>
    <w:qFormat/>
    <w:uiPriority w:val="39"/>
    <w:pPr>
      <w:tabs>
        <w:tab w:val="right" w:leader="dot" w:pos="8296"/>
      </w:tabs>
      <w:spacing w:line="480" w:lineRule="auto"/>
    </w:pPr>
    <w:rPr>
      <w:b/>
    </w:rPr>
  </w:style>
  <w:style w:type="paragraph" w:styleId="17">
    <w:name w:val="Date"/>
    <w:basedOn w:val="1"/>
    <w:next w:val="1"/>
    <w:autoRedefine/>
    <w:qFormat/>
    <w:uiPriority w:val="0"/>
    <w:rPr>
      <w:sz w:val="28"/>
    </w:rPr>
  </w:style>
  <w:style w:type="paragraph" w:styleId="18">
    <w:name w:val="Body Text Indent 2"/>
    <w:basedOn w:val="1"/>
    <w:autoRedefine/>
    <w:qFormat/>
    <w:uiPriority w:val="0"/>
    <w:pPr>
      <w:spacing w:line="460" w:lineRule="exact"/>
      <w:ind w:firstLine="480" w:firstLineChars="200"/>
    </w:pPr>
    <w:rPr>
      <w:color w:val="FF0000"/>
      <w:szCs w:val="24"/>
    </w:rPr>
  </w:style>
  <w:style w:type="paragraph" w:styleId="19">
    <w:name w:val="Balloon Text"/>
    <w:basedOn w:val="1"/>
    <w:link w:val="69"/>
    <w:autoRedefine/>
    <w:unhideWhenUsed/>
    <w:qFormat/>
    <w:uiPriority w:val="99"/>
    <w:rPr>
      <w:sz w:val="18"/>
      <w:szCs w:val="18"/>
    </w:rPr>
  </w:style>
  <w:style w:type="paragraph" w:styleId="20">
    <w:name w:val="footer"/>
    <w:basedOn w:val="1"/>
    <w:link w:val="52"/>
    <w:autoRedefine/>
    <w:unhideWhenUsed/>
    <w:qFormat/>
    <w:uiPriority w:val="99"/>
    <w:pPr>
      <w:tabs>
        <w:tab w:val="center" w:pos="4153"/>
        <w:tab w:val="right" w:pos="8306"/>
      </w:tabs>
      <w:snapToGrid w:val="0"/>
      <w:jc w:val="left"/>
    </w:pPr>
    <w:rPr>
      <w:kern w:val="0"/>
      <w:sz w:val="18"/>
      <w:szCs w:val="18"/>
    </w:rPr>
  </w:style>
  <w:style w:type="paragraph" w:styleId="21">
    <w:name w:val="header"/>
    <w:basedOn w:val="1"/>
    <w:link w:val="70"/>
    <w:autoRedefine/>
    <w:unhideWhenUsed/>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Subtitle"/>
    <w:basedOn w:val="1"/>
    <w:next w:val="1"/>
    <w:link w:val="61"/>
    <w:autoRedefine/>
    <w:qFormat/>
    <w:uiPriority w:val="11"/>
    <w:pPr>
      <w:jc w:val="center"/>
      <w:outlineLvl w:val="1"/>
    </w:pPr>
    <w:rPr>
      <w:b/>
      <w:bCs/>
      <w:kern w:val="28"/>
      <w:sz w:val="21"/>
      <w:szCs w:val="32"/>
    </w:rPr>
  </w:style>
  <w:style w:type="paragraph" w:styleId="23">
    <w:name w:val="List"/>
    <w:basedOn w:val="1"/>
    <w:autoRedefine/>
    <w:qFormat/>
    <w:uiPriority w:val="99"/>
    <w:pPr>
      <w:widowControl/>
      <w:spacing w:line="360" w:lineRule="auto"/>
    </w:pPr>
  </w:style>
  <w:style w:type="paragraph" w:styleId="24">
    <w:name w:val="Body Text Indent 3"/>
    <w:basedOn w:val="1"/>
    <w:link w:val="71"/>
    <w:autoRedefine/>
    <w:qFormat/>
    <w:uiPriority w:val="0"/>
    <w:pPr>
      <w:spacing w:after="120"/>
      <w:ind w:left="420" w:leftChars="200"/>
    </w:pPr>
    <w:rPr>
      <w:rFonts w:ascii="Calibri" w:hAnsi="Calibri"/>
      <w:kern w:val="0"/>
      <w:sz w:val="16"/>
      <w:szCs w:val="16"/>
    </w:rPr>
  </w:style>
  <w:style w:type="paragraph" w:styleId="25">
    <w:name w:val="table of figures"/>
    <w:basedOn w:val="1"/>
    <w:next w:val="1"/>
    <w:link w:val="42"/>
    <w:autoRedefine/>
    <w:unhideWhenUsed/>
    <w:qFormat/>
    <w:uiPriority w:val="99"/>
    <w:pPr>
      <w:ind w:left="200" w:leftChars="200" w:hanging="200" w:hangingChars="200"/>
    </w:pPr>
    <w:rPr>
      <w:kern w:val="0"/>
      <w:szCs w:val="20"/>
    </w:rPr>
  </w:style>
  <w:style w:type="paragraph" w:styleId="26">
    <w:name w:val="Normal (Web)"/>
    <w:basedOn w:val="1"/>
    <w:link w:val="148"/>
    <w:autoRedefine/>
    <w:qFormat/>
    <w:uiPriority w:val="99"/>
    <w:pPr>
      <w:widowControl/>
      <w:spacing w:before="100" w:beforeAutospacing="1" w:after="100" w:afterAutospacing="1"/>
      <w:jc w:val="left"/>
    </w:pPr>
    <w:rPr>
      <w:rFonts w:ascii="宋体" w:hAnsi="宋体" w:cs="宋体"/>
      <w:color w:val="000000"/>
      <w:kern w:val="0"/>
      <w:szCs w:val="24"/>
    </w:rPr>
  </w:style>
  <w:style w:type="paragraph" w:styleId="27">
    <w:name w:val="annotation subject"/>
    <w:basedOn w:val="11"/>
    <w:next w:val="11"/>
    <w:link w:val="72"/>
    <w:autoRedefine/>
    <w:unhideWhenUsed/>
    <w:qFormat/>
    <w:uiPriority w:val="99"/>
    <w:rPr>
      <w:b/>
      <w:bCs/>
    </w:rPr>
  </w:style>
  <w:style w:type="paragraph" w:styleId="28">
    <w:name w:val="Body Text First Indent"/>
    <w:basedOn w:val="14"/>
    <w:autoRedefine/>
    <w:qFormat/>
    <w:uiPriority w:val="0"/>
    <w:pPr>
      <w:ind w:firstLine="420" w:firstLineChars="100"/>
    </w:pPr>
  </w:style>
  <w:style w:type="table" w:styleId="30">
    <w:name w:val="Table Grid"/>
    <w:basedOn w:val="29"/>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2">
    <w:name w:val="Strong"/>
    <w:basedOn w:val="31"/>
    <w:autoRedefine/>
    <w:qFormat/>
    <w:uiPriority w:val="0"/>
    <w:rPr>
      <w:b/>
      <w:bCs/>
      <w:szCs w:val="24"/>
    </w:rPr>
  </w:style>
  <w:style w:type="character" w:styleId="33">
    <w:name w:val="FollowedHyperlink"/>
    <w:autoRedefine/>
    <w:unhideWhenUsed/>
    <w:qFormat/>
    <w:uiPriority w:val="99"/>
    <w:rPr>
      <w:color w:val="333333"/>
      <w:u w:val="none"/>
    </w:rPr>
  </w:style>
  <w:style w:type="character" w:styleId="34">
    <w:name w:val="Emphasis"/>
    <w:autoRedefine/>
    <w:qFormat/>
    <w:uiPriority w:val="20"/>
    <w:rPr>
      <w:i/>
    </w:rPr>
  </w:style>
  <w:style w:type="character" w:styleId="35">
    <w:name w:val="Hyperlink"/>
    <w:autoRedefine/>
    <w:unhideWhenUsed/>
    <w:qFormat/>
    <w:uiPriority w:val="99"/>
    <w:rPr>
      <w:color w:val="0563C1"/>
      <w:u w:val="single"/>
    </w:rPr>
  </w:style>
  <w:style w:type="character" w:styleId="36">
    <w:name w:val="HTML Code"/>
    <w:autoRedefine/>
    <w:qFormat/>
    <w:uiPriority w:val="0"/>
    <w:rPr>
      <w:rFonts w:ascii="黑体" w:hAnsi="Courier New" w:eastAsia="黑体" w:cs="Courier New"/>
      <w:sz w:val="24"/>
      <w:szCs w:val="24"/>
    </w:rPr>
  </w:style>
  <w:style w:type="character" w:styleId="37">
    <w:name w:val="annotation reference"/>
    <w:autoRedefine/>
    <w:qFormat/>
    <w:uiPriority w:val="0"/>
    <w:rPr>
      <w:sz w:val="21"/>
      <w:szCs w:val="21"/>
    </w:rPr>
  </w:style>
  <w:style w:type="paragraph" w:customStyle="1" w:styleId="38">
    <w:name w:val="Default"/>
    <w:basedOn w:val="39"/>
    <w:next w:val="1"/>
    <w:autoRedefine/>
    <w:qFormat/>
    <w:uiPriority w:val="0"/>
    <w:pPr>
      <w:widowControl w:val="0"/>
      <w:autoSpaceDE w:val="0"/>
      <w:autoSpaceDN w:val="0"/>
      <w:adjustRightInd w:val="0"/>
    </w:pPr>
    <w:rPr>
      <w:rFonts w:ascii="幼圆" w:hAnsi="Calibri" w:eastAsia="幼圆" w:cs="幼圆"/>
      <w:color w:val="000000"/>
      <w:sz w:val="24"/>
      <w:szCs w:val="24"/>
      <w:lang w:val="en-US" w:eastAsia="zh-CN" w:bidi="ar-SA"/>
    </w:rPr>
  </w:style>
  <w:style w:type="paragraph" w:customStyle="1" w:styleId="39">
    <w:name w:val="纯文本1"/>
    <w:autoRedefine/>
    <w:qFormat/>
    <w:uiPriority w:val="0"/>
    <w:pPr>
      <w:adjustRightInd w:val="0"/>
      <w:jc w:val="center"/>
      <w:textAlignment w:val="baseline"/>
    </w:pPr>
    <w:rPr>
      <w:rFonts w:ascii="宋体" w:hAnsi="Courier New" w:eastAsia="宋体" w:cs="Times New Roman"/>
      <w:sz w:val="24"/>
      <w:lang w:val="en-US" w:eastAsia="zh-CN" w:bidi="ar-SA"/>
    </w:rPr>
  </w:style>
  <w:style w:type="paragraph" w:customStyle="1" w:styleId="40">
    <w:name w:val="表格文字"/>
    <w:basedOn w:val="15"/>
    <w:autoRedefine/>
    <w:qFormat/>
    <w:uiPriority w:val="0"/>
    <w:pPr>
      <w:spacing w:line="400" w:lineRule="exact"/>
    </w:pPr>
    <w:rPr>
      <w:rFonts w:hAnsi="宋体"/>
    </w:rPr>
  </w:style>
  <w:style w:type="paragraph" w:customStyle="1" w:styleId="41">
    <w:name w:val="正文首行缩进2个字 Char"/>
    <w:basedOn w:val="1"/>
    <w:autoRedefine/>
    <w:qFormat/>
    <w:uiPriority w:val="0"/>
    <w:pPr>
      <w:ind w:firstLine="480" w:firstLineChars="200"/>
    </w:pPr>
    <w:rPr>
      <w:rFonts w:ascii="Calibri" w:hAnsi="Calibri" w:eastAsia="楷体"/>
      <w:szCs w:val="24"/>
    </w:rPr>
  </w:style>
  <w:style w:type="character" w:customStyle="1" w:styleId="42">
    <w:name w:val="图表目录 Char"/>
    <w:link w:val="25"/>
    <w:autoRedefine/>
    <w:semiHidden/>
    <w:qFormat/>
    <w:uiPriority w:val="99"/>
    <w:rPr>
      <w:rFonts w:ascii="Times New Roman" w:hAnsi="Times New Roman" w:eastAsia="宋体"/>
      <w:sz w:val="24"/>
    </w:rPr>
  </w:style>
  <w:style w:type="character" w:customStyle="1" w:styleId="43">
    <w:name w:val="riqi"/>
    <w:autoRedefine/>
    <w:qFormat/>
    <w:uiPriority w:val="0"/>
  </w:style>
  <w:style w:type="character" w:customStyle="1" w:styleId="44">
    <w:name w:val="time"/>
    <w:autoRedefine/>
    <w:qFormat/>
    <w:uiPriority w:val="0"/>
  </w:style>
  <w:style w:type="character" w:customStyle="1" w:styleId="45">
    <w:name w:val="bmgk_topic"/>
    <w:autoRedefine/>
    <w:qFormat/>
    <w:uiPriority w:val="0"/>
    <w:rPr>
      <w:b/>
      <w:bCs/>
      <w:sz w:val="24"/>
      <w:szCs w:val="24"/>
    </w:rPr>
  </w:style>
  <w:style w:type="character" w:customStyle="1" w:styleId="46">
    <w:name w:val="left"/>
    <w:autoRedefine/>
    <w:qFormat/>
    <w:uiPriority w:val="0"/>
  </w:style>
  <w:style w:type="character" w:customStyle="1" w:styleId="47">
    <w:name w:val="表格、图片标题 字符"/>
    <w:link w:val="48"/>
    <w:autoRedefine/>
    <w:qFormat/>
    <w:uiPriority w:val="0"/>
    <w:rPr>
      <w:rFonts w:ascii="Times New Roman" w:hAnsi="Times New Roman" w:eastAsia="宋体"/>
      <w:b/>
      <w:sz w:val="24"/>
    </w:rPr>
  </w:style>
  <w:style w:type="paragraph" w:customStyle="1" w:styleId="48">
    <w:name w:val="表格、图片标题"/>
    <w:basedOn w:val="25"/>
    <w:link w:val="47"/>
    <w:autoRedefine/>
    <w:qFormat/>
    <w:uiPriority w:val="0"/>
    <w:pPr>
      <w:ind w:left="0" w:leftChars="0" w:firstLine="0" w:firstLineChars="0"/>
      <w:jc w:val="center"/>
    </w:pPr>
    <w:rPr>
      <w:b/>
    </w:rPr>
  </w:style>
  <w:style w:type="character" w:customStyle="1" w:styleId="49">
    <w:name w:val="标题 3 Char"/>
    <w:link w:val="6"/>
    <w:autoRedefine/>
    <w:semiHidden/>
    <w:qFormat/>
    <w:uiPriority w:val="9"/>
    <w:rPr>
      <w:rFonts w:ascii="Times New Roman" w:hAnsi="Times New Roman" w:eastAsia="宋体"/>
      <w:b/>
      <w:bCs/>
      <w:sz w:val="32"/>
      <w:szCs w:val="32"/>
    </w:rPr>
  </w:style>
  <w:style w:type="character" w:customStyle="1" w:styleId="50">
    <w:name w:val="xxgkform_box"/>
    <w:autoRedefine/>
    <w:qFormat/>
    <w:uiPriority w:val="0"/>
    <w:rPr>
      <w:bdr w:val="single" w:color="CCCCCC" w:sz="6" w:space="0"/>
      <w:shd w:val="clear" w:color="auto" w:fill="FFFFFF"/>
    </w:rPr>
  </w:style>
  <w:style w:type="character" w:customStyle="1" w:styleId="51">
    <w:name w:val="right"/>
    <w:autoRedefine/>
    <w:qFormat/>
    <w:uiPriority w:val="0"/>
  </w:style>
  <w:style w:type="character" w:customStyle="1" w:styleId="52">
    <w:name w:val="页脚 Char"/>
    <w:link w:val="20"/>
    <w:autoRedefine/>
    <w:qFormat/>
    <w:uiPriority w:val="99"/>
    <w:rPr>
      <w:rFonts w:ascii="Times New Roman" w:hAnsi="Times New Roman" w:eastAsia="宋体"/>
      <w:sz w:val="18"/>
      <w:szCs w:val="18"/>
    </w:rPr>
  </w:style>
  <w:style w:type="character" w:customStyle="1" w:styleId="53">
    <w:name w:val="font01"/>
    <w:autoRedefine/>
    <w:qFormat/>
    <w:uiPriority w:val="0"/>
    <w:rPr>
      <w:rFonts w:hint="eastAsia" w:ascii="宋体" w:hAnsi="宋体" w:eastAsia="宋体" w:cs="宋体"/>
      <w:color w:val="000000"/>
      <w:sz w:val="22"/>
      <w:szCs w:val="22"/>
      <w:u w:val="none"/>
    </w:rPr>
  </w:style>
  <w:style w:type="character" w:customStyle="1" w:styleId="54">
    <w:name w:val="shengqr"/>
    <w:autoRedefine/>
    <w:qFormat/>
    <w:uiPriority w:val="0"/>
  </w:style>
  <w:style w:type="character" w:customStyle="1" w:styleId="55">
    <w:name w:val="jielun"/>
    <w:autoRedefine/>
    <w:qFormat/>
    <w:uiPriority w:val="0"/>
  </w:style>
  <w:style w:type="character" w:customStyle="1" w:styleId="56">
    <w:name w:val="anyou"/>
    <w:autoRedefine/>
    <w:qFormat/>
    <w:uiPriority w:val="0"/>
  </w:style>
  <w:style w:type="character" w:customStyle="1" w:styleId="57">
    <w:name w:val="font11"/>
    <w:basedOn w:val="31"/>
    <w:autoRedefine/>
    <w:qFormat/>
    <w:uiPriority w:val="0"/>
    <w:rPr>
      <w:rFonts w:hint="default" w:ascii="Times New Roman" w:hAnsi="Times New Roman" w:cs="Times New Roman"/>
      <w:color w:val="000000"/>
      <w:sz w:val="22"/>
      <w:szCs w:val="22"/>
      <w:u w:val="none"/>
    </w:rPr>
  </w:style>
  <w:style w:type="character" w:customStyle="1" w:styleId="58">
    <w:name w:val="标题 1 Char"/>
    <w:link w:val="4"/>
    <w:autoRedefine/>
    <w:qFormat/>
    <w:uiPriority w:val="9"/>
    <w:rPr>
      <w:rFonts w:eastAsia="黑体" w:cs="Times New Roman"/>
      <w:bCs/>
      <w:kern w:val="44"/>
      <w:sz w:val="30"/>
      <w:szCs w:val="44"/>
    </w:rPr>
  </w:style>
  <w:style w:type="character" w:customStyle="1" w:styleId="59">
    <w:name w:val="xxjs"/>
    <w:autoRedefine/>
    <w:qFormat/>
    <w:uiPriority w:val="0"/>
    <w:rPr>
      <w:sz w:val="18"/>
      <w:szCs w:val="18"/>
    </w:rPr>
  </w:style>
  <w:style w:type="character" w:customStyle="1" w:styleId="60">
    <w:name w:val="sub_tab_span2"/>
    <w:autoRedefine/>
    <w:qFormat/>
    <w:uiPriority w:val="0"/>
  </w:style>
  <w:style w:type="character" w:customStyle="1" w:styleId="61">
    <w:name w:val="副标题 Char"/>
    <w:link w:val="22"/>
    <w:autoRedefine/>
    <w:qFormat/>
    <w:uiPriority w:val="11"/>
    <w:rPr>
      <w:b/>
      <w:bCs/>
      <w:kern w:val="28"/>
      <w:sz w:val="21"/>
      <w:szCs w:val="32"/>
    </w:rPr>
  </w:style>
  <w:style w:type="character" w:customStyle="1" w:styleId="62">
    <w:name w:val="anhao"/>
    <w:autoRedefine/>
    <w:qFormat/>
    <w:uiPriority w:val="0"/>
  </w:style>
  <w:style w:type="character" w:customStyle="1" w:styleId="63">
    <w:name w:val="left_title"/>
    <w:autoRedefine/>
    <w:qFormat/>
    <w:uiPriority w:val="0"/>
    <w:rPr>
      <w:rFonts w:ascii="微软雅黑" w:hAnsi="微软雅黑" w:eastAsia="微软雅黑" w:cs="微软雅黑"/>
    </w:rPr>
  </w:style>
  <w:style w:type="character" w:customStyle="1" w:styleId="64">
    <w:name w:val="xxmc"/>
    <w:autoRedefine/>
    <w:qFormat/>
    <w:uiPriority w:val="0"/>
    <w:rPr>
      <w:b/>
      <w:bCs/>
    </w:rPr>
  </w:style>
  <w:style w:type="character" w:customStyle="1" w:styleId="65">
    <w:name w:val="标题 2 Char"/>
    <w:link w:val="5"/>
    <w:autoRedefine/>
    <w:semiHidden/>
    <w:qFormat/>
    <w:uiPriority w:val="9"/>
    <w:rPr>
      <w:rFonts w:ascii="等线 Light" w:hAnsi="等线 Light" w:eastAsia="等线 Light" w:cs="Times New Roman"/>
      <w:b/>
      <w:bCs/>
      <w:sz w:val="32"/>
      <w:szCs w:val="32"/>
    </w:rPr>
  </w:style>
  <w:style w:type="character" w:customStyle="1" w:styleId="66">
    <w:name w:val="正文缩进 Char"/>
    <w:link w:val="8"/>
    <w:autoRedefine/>
    <w:qFormat/>
    <w:uiPriority w:val="0"/>
    <w:rPr>
      <w:rFonts w:eastAsia="宋体"/>
      <w:sz w:val="24"/>
    </w:rPr>
  </w:style>
  <w:style w:type="character" w:customStyle="1" w:styleId="67">
    <w:name w:val="文档结构图 Char"/>
    <w:link w:val="10"/>
    <w:autoRedefine/>
    <w:semiHidden/>
    <w:qFormat/>
    <w:uiPriority w:val="99"/>
    <w:rPr>
      <w:rFonts w:ascii="宋体" w:cs="Times New Roman"/>
      <w:kern w:val="2"/>
      <w:sz w:val="18"/>
      <w:szCs w:val="18"/>
    </w:rPr>
  </w:style>
  <w:style w:type="character" w:customStyle="1" w:styleId="68">
    <w:name w:val="批注文字 Char"/>
    <w:link w:val="11"/>
    <w:autoRedefine/>
    <w:semiHidden/>
    <w:qFormat/>
    <w:uiPriority w:val="99"/>
    <w:rPr>
      <w:rFonts w:cs="Times New Roman"/>
      <w:kern w:val="2"/>
      <w:sz w:val="24"/>
      <w:szCs w:val="22"/>
    </w:rPr>
  </w:style>
  <w:style w:type="character" w:customStyle="1" w:styleId="69">
    <w:name w:val="批注框文本 Char"/>
    <w:link w:val="19"/>
    <w:autoRedefine/>
    <w:semiHidden/>
    <w:qFormat/>
    <w:uiPriority w:val="99"/>
    <w:rPr>
      <w:rFonts w:cs="Times New Roman"/>
      <w:kern w:val="2"/>
      <w:sz w:val="18"/>
      <w:szCs w:val="18"/>
    </w:rPr>
  </w:style>
  <w:style w:type="character" w:customStyle="1" w:styleId="70">
    <w:name w:val="页眉 Char"/>
    <w:link w:val="21"/>
    <w:autoRedefine/>
    <w:qFormat/>
    <w:uiPriority w:val="0"/>
    <w:rPr>
      <w:rFonts w:ascii="Times New Roman" w:hAnsi="Times New Roman" w:eastAsia="宋体"/>
      <w:sz w:val="18"/>
      <w:szCs w:val="18"/>
    </w:rPr>
  </w:style>
  <w:style w:type="character" w:customStyle="1" w:styleId="71">
    <w:name w:val="正文文本缩进 3 Char"/>
    <w:link w:val="24"/>
    <w:autoRedefine/>
    <w:qFormat/>
    <w:uiPriority w:val="0"/>
    <w:rPr>
      <w:rFonts w:ascii="Calibri" w:hAnsi="Calibri" w:eastAsia="宋体" w:cs="Times New Roman"/>
      <w:sz w:val="16"/>
      <w:szCs w:val="16"/>
    </w:rPr>
  </w:style>
  <w:style w:type="character" w:customStyle="1" w:styleId="72">
    <w:name w:val="批注主题 Char"/>
    <w:link w:val="27"/>
    <w:autoRedefine/>
    <w:semiHidden/>
    <w:qFormat/>
    <w:uiPriority w:val="99"/>
    <w:rPr>
      <w:rFonts w:cs="Times New Roman"/>
      <w:b/>
      <w:bCs/>
      <w:kern w:val="2"/>
      <w:sz w:val="24"/>
      <w:szCs w:val="22"/>
    </w:rPr>
  </w:style>
  <w:style w:type="character" w:customStyle="1" w:styleId="73">
    <w:name w:val="一级标题 字符"/>
    <w:link w:val="74"/>
    <w:autoRedefine/>
    <w:qFormat/>
    <w:uiPriority w:val="0"/>
    <w:rPr>
      <w:rFonts w:eastAsia="宋体"/>
      <w:b/>
      <w:sz w:val="32"/>
    </w:rPr>
  </w:style>
  <w:style w:type="paragraph" w:customStyle="1" w:styleId="74">
    <w:name w:val="一级标题"/>
    <w:basedOn w:val="1"/>
    <w:link w:val="73"/>
    <w:autoRedefine/>
    <w:qFormat/>
    <w:uiPriority w:val="0"/>
    <w:pPr>
      <w:jc w:val="center"/>
    </w:pPr>
    <w:rPr>
      <w:b/>
      <w:kern w:val="0"/>
      <w:sz w:val="32"/>
      <w:szCs w:val="20"/>
    </w:rPr>
  </w:style>
  <w:style w:type="character" w:customStyle="1" w:styleId="75">
    <w:name w:val="表格文字2 Char Char"/>
    <w:link w:val="76"/>
    <w:autoRedefine/>
    <w:qFormat/>
    <w:uiPriority w:val="0"/>
    <w:rPr>
      <w:rFonts w:eastAsia="宋体"/>
      <w:spacing w:val="5"/>
      <w:szCs w:val="21"/>
    </w:rPr>
  </w:style>
  <w:style w:type="paragraph" w:customStyle="1" w:styleId="76">
    <w:name w:val="表格文字2"/>
    <w:basedOn w:val="1"/>
    <w:link w:val="75"/>
    <w:autoRedefine/>
    <w:qFormat/>
    <w:uiPriority w:val="0"/>
    <w:pPr>
      <w:tabs>
        <w:tab w:val="left" w:pos="277"/>
        <w:tab w:val="left" w:pos="600"/>
        <w:tab w:val="left" w:pos="780"/>
        <w:tab w:val="left" w:pos="2517"/>
      </w:tabs>
      <w:adjustRightInd w:val="0"/>
      <w:ind w:left="-105" w:leftChars="-50" w:right="-105" w:rightChars="-50"/>
      <w:jc w:val="center"/>
      <w:textAlignment w:val="baseline"/>
    </w:pPr>
    <w:rPr>
      <w:spacing w:val="5"/>
      <w:kern w:val="0"/>
      <w:sz w:val="20"/>
      <w:szCs w:val="21"/>
    </w:rPr>
  </w:style>
  <w:style w:type="character" w:customStyle="1" w:styleId="77">
    <w:name w:val="apple-style-span"/>
    <w:autoRedefine/>
    <w:qFormat/>
    <w:uiPriority w:val="0"/>
  </w:style>
  <w:style w:type="character" w:customStyle="1" w:styleId="78">
    <w:name w:val="fontstyle01"/>
    <w:autoRedefine/>
    <w:qFormat/>
    <w:uiPriority w:val="0"/>
    <w:rPr>
      <w:rFonts w:hint="eastAsia" w:ascii="宋体" w:hAnsi="宋体" w:eastAsia="宋体"/>
      <w:color w:val="000000"/>
      <w:sz w:val="24"/>
      <w:szCs w:val="24"/>
    </w:rPr>
  </w:style>
  <w:style w:type="character" w:customStyle="1" w:styleId="79">
    <w:name w:val="doc_title"/>
    <w:autoRedefine/>
    <w:qFormat/>
    <w:uiPriority w:val="0"/>
    <w:rPr>
      <w:rFonts w:ascii="方正小标宋简体" w:hAnsi="方正小标宋简体" w:eastAsia="方正小标宋简体" w:cs="方正小标宋简体"/>
      <w:b/>
      <w:bCs/>
      <w:sz w:val="42"/>
      <w:szCs w:val="42"/>
    </w:rPr>
  </w:style>
  <w:style w:type="character" w:customStyle="1" w:styleId="80">
    <w:name w:val="fontw"/>
    <w:autoRedefine/>
    <w:qFormat/>
    <w:uiPriority w:val="0"/>
    <w:rPr>
      <w:b/>
      <w:bCs/>
    </w:rPr>
  </w:style>
  <w:style w:type="character" w:customStyle="1" w:styleId="81">
    <w:name w:val="disr"/>
    <w:autoRedefine/>
    <w:qFormat/>
    <w:uiPriority w:val="0"/>
    <w:rPr>
      <w:color w:val="A20000"/>
    </w:rPr>
  </w:style>
  <w:style w:type="character" w:customStyle="1" w:styleId="82">
    <w:name w:val="event"/>
    <w:autoRedefine/>
    <w:qFormat/>
    <w:uiPriority w:val="0"/>
  </w:style>
  <w:style w:type="character" w:customStyle="1" w:styleId="83">
    <w:name w:val="sub_tab_span3"/>
    <w:autoRedefine/>
    <w:qFormat/>
    <w:uiPriority w:val="0"/>
  </w:style>
  <w:style w:type="character" w:customStyle="1" w:styleId="84">
    <w:name w:val="sub_tab_span4"/>
    <w:autoRedefine/>
    <w:qFormat/>
    <w:uiPriority w:val="0"/>
  </w:style>
  <w:style w:type="character" w:customStyle="1" w:styleId="85">
    <w:name w:val="sub_tab_span1"/>
    <w:autoRedefine/>
    <w:qFormat/>
    <w:uiPriority w:val="0"/>
  </w:style>
  <w:style w:type="character" w:customStyle="1" w:styleId="86">
    <w:name w:val="right_title"/>
    <w:autoRedefine/>
    <w:qFormat/>
    <w:uiPriority w:val="0"/>
  </w:style>
  <w:style w:type="character" w:customStyle="1" w:styleId="87">
    <w:name w:val="djcs"/>
    <w:autoRedefine/>
    <w:qFormat/>
    <w:uiPriority w:val="0"/>
    <w:rPr>
      <w:b/>
      <w:bCs/>
    </w:rPr>
  </w:style>
  <w:style w:type="character" w:customStyle="1" w:styleId="88">
    <w:name w:val="right_title2"/>
    <w:autoRedefine/>
    <w:qFormat/>
    <w:uiPriority w:val="0"/>
    <w:rPr>
      <w:rFonts w:hint="eastAsia" w:ascii="微软雅黑" w:hAnsi="微软雅黑" w:eastAsia="微软雅黑" w:cs="微软雅黑"/>
      <w:b/>
      <w:bCs/>
      <w:color w:val="41AC6E"/>
      <w:sz w:val="24"/>
      <w:szCs w:val="24"/>
    </w:rPr>
  </w:style>
  <w:style w:type="character" w:customStyle="1" w:styleId="89">
    <w:name w:val="beisqr"/>
    <w:autoRedefine/>
    <w:qFormat/>
    <w:uiPriority w:val="0"/>
  </w:style>
  <w:style w:type="character" w:customStyle="1" w:styleId="90">
    <w:name w:val="leibie"/>
    <w:qFormat/>
    <w:uiPriority w:val="0"/>
  </w:style>
  <w:style w:type="paragraph" w:customStyle="1" w:styleId="91">
    <w:name w:val="表格文字（都）"/>
    <w:basedOn w:val="1"/>
    <w:autoRedefine/>
    <w:qFormat/>
    <w:uiPriority w:val="0"/>
    <w:pPr>
      <w:jc w:val="center"/>
    </w:pPr>
    <w:rPr>
      <w:szCs w:val="21"/>
    </w:rPr>
  </w:style>
  <w:style w:type="paragraph" w:customStyle="1" w:styleId="92">
    <w:name w:val="居中正文"/>
    <w:basedOn w:val="28"/>
    <w:autoRedefine/>
    <w:qFormat/>
    <w:uiPriority w:val="0"/>
    <w:pPr>
      <w:adjustRightInd w:val="0"/>
      <w:spacing w:before="120" w:after="0" w:line="360" w:lineRule="auto"/>
      <w:ind w:firstLine="0"/>
      <w:jc w:val="center"/>
      <w:textAlignment w:val="baseline"/>
    </w:pPr>
    <w:rPr>
      <w:rFonts w:ascii="宋体"/>
      <w:kern w:val="28"/>
      <w:sz w:val="24"/>
    </w:rPr>
  </w:style>
  <w:style w:type="paragraph" w:customStyle="1" w:styleId="93">
    <w:name w:val="报告表表格"/>
    <w:basedOn w:val="1"/>
    <w:qFormat/>
    <w:uiPriority w:val="0"/>
    <w:pPr>
      <w:spacing w:line="520" w:lineRule="exact"/>
      <w:ind w:firstLine="200" w:firstLineChars="200"/>
      <w:jc w:val="left"/>
    </w:pPr>
    <w:rPr>
      <w:szCs w:val="21"/>
    </w:rPr>
  </w:style>
  <w:style w:type="paragraph" w:customStyle="1" w:styleId="94">
    <w:name w:val="样式13"/>
    <w:basedOn w:val="1"/>
    <w:qFormat/>
    <w:uiPriority w:val="0"/>
    <w:pPr>
      <w:spacing w:line="360" w:lineRule="auto"/>
      <w:ind w:firstLine="480" w:firstLineChars="200"/>
    </w:pPr>
    <w:rPr>
      <w:rFonts w:ascii="Arial" w:hAnsi="Arial" w:cs="Arial"/>
      <w:szCs w:val="24"/>
    </w:rPr>
  </w:style>
  <w:style w:type="paragraph" w:customStyle="1" w:styleId="95">
    <w:name w:val="表名"/>
    <w:basedOn w:val="1"/>
    <w:autoRedefine/>
    <w:qFormat/>
    <w:uiPriority w:val="0"/>
    <w:pPr>
      <w:jc w:val="center"/>
    </w:pPr>
    <w:rPr>
      <w:rFonts w:ascii="宋体" w:hAnsi="宋体" w:cs="Courier New"/>
      <w:snapToGrid w:val="0"/>
      <w:szCs w:val="24"/>
    </w:rPr>
  </w:style>
  <w:style w:type="paragraph" w:customStyle="1" w:styleId="96">
    <w:name w:val="表格正文"/>
    <w:basedOn w:val="97"/>
    <w:link w:val="126"/>
    <w:autoRedefine/>
    <w:qFormat/>
    <w:uiPriority w:val="0"/>
    <w:pPr>
      <w:spacing w:line="300" w:lineRule="exact"/>
      <w:jc w:val="center"/>
    </w:pPr>
    <w:rPr>
      <w:rFonts w:cs="宋体"/>
    </w:rPr>
  </w:style>
  <w:style w:type="paragraph" w:customStyle="1" w:styleId="97">
    <w:name w:val="表格标题"/>
    <w:basedOn w:val="98"/>
    <w:link w:val="138"/>
    <w:autoRedefine/>
    <w:qFormat/>
    <w:uiPriority w:val="0"/>
    <w:pPr>
      <w:spacing w:before="120"/>
      <w:jc w:val="center"/>
    </w:pPr>
    <w:rPr>
      <w:szCs w:val="20"/>
    </w:rPr>
  </w:style>
  <w:style w:type="paragraph" w:customStyle="1" w:styleId="98">
    <w:name w:val="正文01"/>
    <w:basedOn w:val="99"/>
    <w:link w:val="137"/>
    <w:qFormat/>
    <w:uiPriority w:val="0"/>
    <w:pPr>
      <w:spacing w:before="60" w:line="460" w:lineRule="exact"/>
      <w:ind w:firstLine="200" w:firstLineChars="200"/>
    </w:pPr>
  </w:style>
  <w:style w:type="paragraph" w:customStyle="1" w:styleId="99">
    <w:name w:val="二级标题"/>
    <w:basedOn w:val="1"/>
    <w:qFormat/>
    <w:uiPriority w:val="99"/>
    <w:pPr>
      <w:spacing w:before="60" w:line="460" w:lineRule="exact"/>
      <w:outlineLvl w:val="1"/>
    </w:pPr>
    <w:rPr>
      <w:b/>
      <w:bCs/>
      <w:szCs w:val="24"/>
    </w:rPr>
  </w:style>
  <w:style w:type="paragraph" w:customStyle="1" w:styleId="100">
    <w:name w:val="TOC 标题1"/>
    <w:basedOn w:val="4"/>
    <w:next w:val="1"/>
    <w:autoRedefine/>
    <w:unhideWhenUsed/>
    <w:qFormat/>
    <w:uiPriority w:val="39"/>
    <w:pPr>
      <w:widowControl/>
      <w:spacing w:before="240" w:line="259" w:lineRule="auto"/>
      <w:jc w:val="left"/>
      <w:outlineLvl w:val="9"/>
    </w:pPr>
    <w:rPr>
      <w:rFonts w:ascii="等线 Light" w:hAnsi="等线 Light" w:eastAsia="等线 Light"/>
      <w:b/>
      <w:bCs w:val="0"/>
      <w:color w:val="2F5496"/>
      <w:kern w:val="0"/>
      <w:szCs w:val="32"/>
    </w:rPr>
  </w:style>
  <w:style w:type="paragraph" w:styleId="101">
    <w:name w:val="List Paragraph"/>
    <w:basedOn w:val="1"/>
    <w:qFormat/>
    <w:uiPriority w:val="34"/>
    <w:pPr>
      <w:ind w:firstLine="420" w:firstLineChars="200"/>
    </w:pPr>
  </w:style>
  <w:style w:type="paragraph" w:customStyle="1" w:styleId="102">
    <w:name w:val="样式17"/>
    <w:basedOn w:val="94"/>
    <w:autoRedefine/>
    <w:qFormat/>
    <w:uiPriority w:val="0"/>
  </w:style>
  <w:style w:type="paragraph" w:customStyle="1" w:styleId="103">
    <w:name w:val="中文报告书样式"/>
    <w:basedOn w:val="1"/>
    <w:autoRedefine/>
    <w:qFormat/>
    <w:uiPriority w:val="0"/>
    <w:pPr>
      <w:adjustRightInd w:val="0"/>
      <w:spacing w:line="480" w:lineRule="atLeast"/>
      <w:ind w:firstLine="482"/>
      <w:textAlignment w:val="baseline"/>
    </w:pPr>
    <w:rPr>
      <w:kern w:val="24"/>
      <w:szCs w:val="20"/>
    </w:rPr>
  </w:style>
  <w:style w:type="paragraph" w:customStyle="1" w:styleId="104">
    <w:name w:val="正文-7"/>
    <w:basedOn w:val="1"/>
    <w:autoRedefine/>
    <w:qFormat/>
    <w:uiPriority w:val="0"/>
    <w:pPr>
      <w:spacing w:beforeLines="30" w:line="460" w:lineRule="exact"/>
      <w:ind w:firstLine="200" w:firstLineChars="200"/>
    </w:pPr>
    <w:rPr>
      <w:snapToGrid w:val="0"/>
      <w:kern w:val="0"/>
      <w:szCs w:val="24"/>
    </w:rPr>
  </w:style>
  <w:style w:type="paragraph" w:customStyle="1" w:styleId="105">
    <w:name w:val="正文2"/>
    <w:basedOn w:val="1"/>
    <w:autoRedefine/>
    <w:qFormat/>
    <w:uiPriority w:val="0"/>
    <w:pPr>
      <w:adjustRightInd w:val="0"/>
      <w:snapToGrid w:val="0"/>
      <w:spacing w:line="440" w:lineRule="atLeast"/>
      <w:ind w:firstLine="567"/>
    </w:pPr>
    <w:rPr>
      <w:szCs w:val="20"/>
    </w:rPr>
  </w:style>
  <w:style w:type="paragraph" w:customStyle="1" w:styleId="106">
    <w:name w:val="Char Char Char Char"/>
    <w:basedOn w:val="1"/>
    <w:qFormat/>
    <w:uiPriority w:val="0"/>
    <w:pPr>
      <w:spacing w:line="360" w:lineRule="auto"/>
      <w:ind w:firstLine="200" w:firstLineChars="200"/>
    </w:pPr>
    <w:rPr>
      <w:rFonts w:ascii="宋体" w:hAnsi="宋体" w:cs="宋体"/>
    </w:rPr>
  </w:style>
  <w:style w:type="paragraph" w:customStyle="1" w:styleId="107">
    <w:name w:val="样式 表头 + 段前: 0.5 行 段后: 0.5 行"/>
    <w:basedOn w:val="1"/>
    <w:qFormat/>
    <w:uiPriority w:val="0"/>
    <w:pPr>
      <w:autoSpaceDE w:val="0"/>
      <w:autoSpaceDN w:val="0"/>
      <w:adjustRightInd w:val="0"/>
      <w:spacing w:before="100" w:beforeAutospacing="1" w:after="100" w:afterAutospacing="1" w:line="480" w:lineRule="exact"/>
      <w:jc w:val="center"/>
    </w:pPr>
    <w:rPr>
      <w:b/>
      <w:bCs/>
      <w:lang w:val="zh-CN"/>
    </w:rPr>
  </w:style>
  <w:style w:type="paragraph" w:customStyle="1" w:styleId="108">
    <w:name w:val="正式海油文字"/>
    <w:basedOn w:val="1"/>
    <w:autoRedefine/>
    <w:qFormat/>
    <w:uiPriority w:val="0"/>
    <w:pPr>
      <w:adjustRightInd w:val="0"/>
      <w:snapToGrid w:val="0"/>
      <w:spacing w:line="500" w:lineRule="exact"/>
      <w:ind w:firstLine="200" w:firstLineChars="200"/>
      <w:jc w:val="left"/>
    </w:pPr>
    <w:rPr>
      <w:color w:val="000000"/>
      <w:szCs w:val="28"/>
    </w:rPr>
  </w:style>
  <w:style w:type="paragraph" w:customStyle="1" w:styleId="109">
    <w:name w:val="主体"/>
    <w:autoRedefine/>
    <w:qFormat/>
    <w:uiPriority w:val="0"/>
    <w:pPr>
      <w:widowControl w:val="0"/>
      <w:autoSpaceDE w:val="0"/>
      <w:autoSpaceDN w:val="0"/>
      <w:spacing w:line="440" w:lineRule="exact"/>
      <w:ind w:firstLine="480" w:firstLineChars="200"/>
      <w:jc w:val="both"/>
    </w:pPr>
    <w:rPr>
      <w:rFonts w:ascii="Times New Roman" w:hAnsi="Times New Roman" w:eastAsia="FangSong_GB2312" w:cs="Times New Roman"/>
      <w:bCs/>
      <w:kern w:val="2"/>
      <w:sz w:val="24"/>
      <w:szCs w:val="24"/>
      <w:lang w:val="en-US" w:eastAsia="zh-CN" w:bidi="ar-SA"/>
    </w:rPr>
  </w:style>
  <w:style w:type="paragraph" w:customStyle="1" w:styleId="110">
    <w:name w:val="正文21"/>
    <w:basedOn w:val="1"/>
    <w:qFormat/>
    <w:uiPriority w:val="0"/>
    <w:pPr>
      <w:widowControl/>
      <w:adjustRightInd w:val="0"/>
      <w:snapToGrid w:val="0"/>
      <w:spacing w:line="440" w:lineRule="atLeast"/>
      <w:ind w:firstLine="510"/>
      <w:jc w:val="left"/>
    </w:pPr>
  </w:style>
  <w:style w:type="paragraph" w:customStyle="1" w:styleId="111">
    <w:name w:val="表格标题样式"/>
    <w:basedOn w:val="1"/>
    <w:qFormat/>
    <w:uiPriority w:val="0"/>
    <w:pPr>
      <w:jc w:val="center"/>
    </w:pPr>
    <w:rPr>
      <w:b/>
      <w:bCs/>
      <w:sz w:val="21"/>
      <w:szCs w:val="18"/>
    </w:rPr>
  </w:style>
  <w:style w:type="paragraph" w:customStyle="1" w:styleId="112">
    <w:name w:val="Body Text 22"/>
    <w:basedOn w:val="1"/>
    <w:qFormat/>
    <w:uiPriority w:val="0"/>
    <w:pPr>
      <w:adjustRightInd w:val="0"/>
      <w:spacing w:line="440" w:lineRule="atLeast"/>
      <w:ind w:firstLine="480"/>
      <w:textAlignment w:val="baseline"/>
    </w:pPr>
    <w:rPr>
      <w:rFonts w:eastAsia="FangSong_GB2312"/>
      <w:szCs w:val="20"/>
    </w:rPr>
  </w:style>
  <w:style w:type="paragraph" w:customStyle="1" w:styleId="113">
    <w:name w:val="报告表正文"/>
    <w:link w:val="151"/>
    <w:autoRedefine/>
    <w:qFormat/>
    <w:uiPriority w:val="0"/>
    <w:pPr>
      <w:spacing w:line="360" w:lineRule="auto"/>
      <w:ind w:firstLine="480" w:firstLineChars="200"/>
      <w:jc w:val="both"/>
    </w:pPr>
    <w:rPr>
      <w:rFonts w:ascii="Times New Roman" w:hAnsi="Times New Roman" w:eastAsia="宋体" w:cs="Times New Roman"/>
      <w:sz w:val="24"/>
      <w:szCs w:val="24"/>
      <w:lang w:val="en-US" w:eastAsia="zh-CN" w:bidi="ar-SA"/>
    </w:rPr>
  </w:style>
  <w:style w:type="paragraph" w:customStyle="1" w:styleId="114">
    <w:name w:val="表格001"/>
    <w:basedOn w:val="1"/>
    <w:autoRedefine/>
    <w:qFormat/>
    <w:uiPriority w:val="0"/>
    <w:pPr>
      <w:spacing w:line="360" w:lineRule="exact"/>
      <w:jc w:val="center"/>
    </w:pPr>
    <w:rPr>
      <w:sz w:val="21"/>
    </w:rPr>
  </w:style>
  <w:style w:type="paragraph" w:customStyle="1" w:styleId="115">
    <w:name w:val="表"/>
    <w:basedOn w:val="1"/>
    <w:next w:val="1"/>
    <w:qFormat/>
    <w:uiPriority w:val="0"/>
    <w:pPr>
      <w:snapToGrid w:val="0"/>
      <w:jc w:val="center"/>
    </w:pPr>
    <w:rPr>
      <w:spacing w:val="2"/>
      <w:szCs w:val="20"/>
    </w:rPr>
  </w:style>
  <w:style w:type="paragraph" w:customStyle="1" w:styleId="116">
    <w:name w:val="表格"/>
    <w:basedOn w:val="1"/>
    <w:next w:val="1"/>
    <w:autoRedefine/>
    <w:qFormat/>
    <w:uiPriority w:val="0"/>
    <w:pPr>
      <w:snapToGrid w:val="0"/>
      <w:jc w:val="center"/>
    </w:pPr>
  </w:style>
  <w:style w:type="paragraph" w:customStyle="1" w:styleId="117">
    <w:name w:val="Char Char Char Char1 Char Char"/>
    <w:basedOn w:val="7"/>
    <w:autoRedefine/>
    <w:qFormat/>
    <w:uiPriority w:val="0"/>
    <w:pPr>
      <w:widowControl/>
      <w:tabs>
        <w:tab w:val="left" w:pos="0"/>
      </w:tabs>
      <w:adjustRightInd w:val="0"/>
      <w:snapToGrid w:val="0"/>
      <w:spacing w:before="120" w:after="0" w:line="360" w:lineRule="auto"/>
      <w:jc w:val="center"/>
    </w:pPr>
  </w:style>
  <w:style w:type="paragraph" w:customStyle="1" w:styleId="118">
    <w:name w:val="表格内容"/>
    <w:autoRedefine/>
    <w:qFormat/>
    <w:uiPriority w:val="0"/>
    <w:pPr>
      <w:adjustRightInd w:val="0"/>
      <w:snapToGrid w:val="0"/>
      <w:jc w:val="center"/>
    </w:pPr>
    <w:rPr>
      <w:rFonts w:ascii="Times New Roman" w:hAnsi="Times New Roman" w:eastAsia="宋体" w:cs="Times New Roman"/>
      <w:sz w:val="21"/>
      <w:szCs w:val="24"/>
      <w:lang w:val="en-US" w:eastAsia="zh-CN" w:bidi="ar-SA"/>
    </w:rPr>
  </w:style>
  <w:style w:type="paragraph" w:styleId="119">
    <w:name w:val="No Spacing"/>
    <w:qFormat/>
    <w:uiPriority w:val="1"/>
    <w:pPr>
      <w:widowControl w:val="0"/>
      <w:snapToGrid w:val="0"/>
      <w:jc w:val="center"/>
    </w:pPr>
    <w:rPr>
      <w:rFonts w:ascii="Times New Roman" w:hAnsi="Times New Roman" w:eastAsia="宋体" w:cs="Times New Roman"/>
      <w:kern w:val="2"/>
      <w:sz w:val="21"/>
      <w:szCs w:val="22"/>
      <w:lang w:val="en-US" w:eastAsia="zh-CN" w:bidi="ar-SA"/>
    </w:rPr>
  </w:style>
  <w:style w:type="paragraph" w:customStyle="1" w:styleId="120">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21">
    <w:name w:val="三级标题"/>
    <w:basedOn w:val="1"/>
    <w:autoRedefine/>
    <w:qFormat/>
    <w:uiPriority w:val="0"/>
    <w:pPr>
      <w:spacing w:before="300" w:line="460" w:lineRule="exact"/>
      <w:outlineLvl w:val="2"/>
    </w:pPr>
    <w:rPr>
      <w:b/>
      <w:bCs/>
      <w:kern w:val="0"/>
      <w:szCs w:val="24"/>
    </w:rPr>
  </w:style>
  <w:style w:type="paragraph" w:customStyle="1" w:styleId="122">
    <w:name w:val="正文zz"/>
    <w:basedOn w:val="1"/>
    <w:autoRedefine/>
    <w:qFormat/>
    <w:uiPriority w:val="0"/>
    <w:pPr>
      <w:spacing w:beforeLines="50" w:afterLines="50" w:line="400" w:lineRule="exact"/>
      <w:ind w:firstLine="420"/>
      <w:jc w:val="left"/>
    </w:pPr>
    <w:rPr>
      <w:rFonts w:ascii="Calibri" w:hAnsi="Calibri"/>
      <w:color w:val="FF0000"/>
      <w:szCs w:val="21"/>
    </w:rPr>
  </w:style>
  <w:style w:type="paragraph" w:customStyle="1" w:styleId="123">
    <w:name w:val="报告正文-连续目录"/>
    <w:basedOn w:val="1"/>
    <w:link w:val="130"/>
    <w:autoRedefine/>
    <w:qFormat/>
    <w:uiPriority w:val="0"/>
    <w:pPr>
      <w:spacing w:line="440" w:lineRule="exact"/>
      <w:ind w:firstLine="200" w:firstLineChars="200"/>
    </w:pPr>
    <w:rPr>
      <w:rFonts w:ascii="Arial" w:hAnsi="Arial"/>
      <w:snapToGrid w:val="0"/>
      <w:color w:val="000000"/>
      <w:kern w:val="0"/>
      <w:szCs w:val="21"/>
      <w:lang w:eastAsia="ar-SA"/>
    </w:rPr>
  </w:style>
  <w:style w:type="paragraph" w:customStyle="1" w:styleId="124">
    <w:name w:val="报告正文"/>
    <w:basedOn w:val="1"/>
    <w:autoRedefine/>
    <w:semiHidden/>
    <w:qFormat/>
    <w:uiPriority w:val="0"/>
    <w:pPr>
      <w:spacing w:line="440" w:lineRule="exact"/>
      <w:ind w:firstLine="200" w:firstLineChars="200"/>
      <w:jc w:val="left"/>
    </w:pPr>
    <w:rPr>
      <w:rFonts w:eastAsia="FangSong_GB2312"/>
    </w:rPr>
  </w:style>
  <w:style w:type="paragraph" w:customStyle="1" w:styleId="125">
    <w:name w:val="Char Char Char Char2"/>
    <w:basedOn w:val="1"/>
    <w:autoRedefine/>
    <w:qFormat/>
    <w:uiPriority w:val="0"/>
    <w:pPr>
      <w:snapToGrid w:val="0"/>
      <w:spacing w:beforeLines="20"/>
      <w:ind w:firstLine="4" w:firstLineChars="2"/>
      <w:jc w:val="center"/>
    </w:pPr>
    <w:rPr>
      <w:szCs w:val="24"/>
    </w:rPr>
  </w:style>
  <w:style w:type="character" w:customStyle="1" w:styleId="126">
    <w:name w:val="表格正文 Char"/>
    <w:link w:val="96"/>
    <w:autoRedefine/>
    <w:qFormat/>
    <w:uiPriority w:val="0"/>
    <w:rPr>
      <w:rFonts w:cs="宋体"/>
      <w:kern w:val="2"/>
      <w:sz w:val="24"/>
      <w:szCs w:val="22"/>
    </w:rPr>
  </w:style>
  <w:style w:type="paragraph" w:customStyle="1" w:styleId="127">
    <w:name w:val="正文1"/>
    <w:basedOn w:val="128"/>
    <w:link w:val="129"/>
    <w:autoRedefine/>
    <w:qFormat/>
    <w:uiPriority w:val="0"/>
    <w:pPr>
      <w:adjustRightInd w:val="0"/>
      <w:snapToGrid w:val="0"/>
      <w:spacing w:line="500" w:lineRule="atLeast"/>
      <w:ind w:firstLine="567"/>
    </w:pPr>
    <w:rPr>
      <w:sz w:val="28"/>
      <w:szCs w:val="20"/>
    </w:rPr>
  </w:style>
  <w:style w:type="paragraph" w:customStyle="1" w:styleId="128">
    <w:name w:val="表内3"/>
    <w:basedOn w:val="1"/>
    <w:semiHidden/>
    <w:qFormat/>
    <w:uiPriority w:val="0"/>
    <w:pPr>
      <w:spacing w:line="440" w:lineRule="exact"/>
      <w:ind w:firstLine="200" w:firstLineChars="200"/>
    </w:pPr>
    <w:rPr>
      <w:rFonts w:eastAsia="仿宋_GB2312" w:cs="宋体"/>
      <w:sz w:val="24"/>
      <w:szCs w:val="24"/>
      <w:lang w:val="en-US" w:eastAsia="zh-CN" w:bidi="ar-SA"/>
    </w:rPr>
  </w:style>
  <w:style w:type="character" w:customStyle="1" w:styleId="129">
    <w:name w:val="正文1 Char Char"/>
    <w:link w:val="127"/>
    <w:autoRedefine/>
    <w:qFormat/>
    <w:uiPriority w:val="0"/>
    <w:rPr>
      <w:kern w:val="2"/>
      <w:sz w:val="28"/>
    </w:rPr>
  </w:style>
  <w:style w:type="character" w:customStyle="1" w:styleId="130">
    <w:name w:val="报告正文-连续目录 Char Char"/>
    <w:link w:val="123"/>
    <w:autoRedefine/>
    <w:qFormat/>
    <w:uiPriority w:val="0"/>
    <w:rPr>
      <w:rFonts w:ascii="Arial" w:hAnsi="Arial"/>
      <w:snapToGrid w:val="0"/>
      <w:color w:val="000000"/>
      <w:sz w:val="24"/>
      <w:szCs w:val="21"/>
      <w:lang w:eastAsia="ar-SA"/>
    </w:rPr>
  </w:style>
  <w:style w:type="paragraph" w:customStyle="1" w:styleId="131">
    <w:name w:val="列出段落1"/>
    <w:basedOn w:val="1"/>
    <w:qFormat/>
    <w:uiPriority w:val="0"/>
    <w:pPr>
      <w:ind w:firstLine="420" w:firstLineChars="200"/>
    </w:pPr>
    <w:rPr>
      <w:rFonts w:ascii="Calibri" w:hAnsi="Calibri"/>
      <w:sz w:val="21"/>
    </w:rPr>
  </w:style>
  <w:style w:type="paragraph" w:customStyle="1" w:styleId="132">
    <w:name w:val="纯文本2"/>
    <w:basedOn w:val="1"/>
    <w:autoRedefine/>
    <w:qFormat/>
    <w:uiPriority w:val="0"/>
    <w:pPr>
      <w:adjustRightInd w:val="0"/>
      <w:textAlignment w:val="baseline"/>
    </w:pPr>
    <w:rPr>
      <w:rFonts w:ascii="宋体" w:hAnsi="Courier New"/>
      <w:szCs w:val="20"/>
    </w:rPr>
  </w:style>
  <w:style w:type="character" w:customStyle="1" w:styleId="133">
    <w:name w:val="纯文本 Char"/>
    <w:link w:val="15"/>
    <w:autoRedefine/>
    <w:qFormat/>
    <w:uiPriority w:val="99"/>
    <w:rPr>
      <w:rFonts w:ascii="宋体" w:hAnsi="Courier New"/>
      <w:kern w:val="2"/>
      <w:sz w:val="24"/>
      <w:szCs w:val="22"/>
    </w:rPr>
  </w:style>
  <w:style w:type="paragraph" w:customStyle="1" w:styleId="134">
    <w:name w:val="2号"/>
    <w:basedOn w:val="5"/>
    <w:autoRedefine/>
    <w:qFormat/>
    <w:uiPriority w:val="0"/>
    <w:pPr>
      <w:keepNext w:val="0"/>
      <w:keepLines w:val="0"/>
      <w:widowControl/>
      <w:tabs>
        <w:tab w:val="left" w:pos="420"/>
      </w:tabs>
      <w:kinsoku w:val="0"/>
      <w:overflowPunct w:val="0"/>
      <w:adjustRightInd w:val="0"/>
      <w:snapToGrid w:val="0"/>
      <w:spacing w:before="120" w:after="120" w:line="240" w:lineRule="auto"/>
      <w:jc w:val="left"/>
    </w:pPr>
    <w:rPr>
      <w:rFonts w:ascii="Times New Roman" w:hAnsi="Times New Roman" w:eastAsia="宋体" w:cs="Lucida Sans"/>
      <w:sz w:val="24"/>
      <w:szCs w:val="30"/>
    </w:rPr>
  </w:style>
  <w:style w:type="paragraph" w:customStyle="1" w:styleId="135">
    <w:name w:val="表头1"/>
    <w:autoRedefine/>
    <w:qFormat/>
    <w:uiPriority w:val="99"/>
    <w:pPr>
      <w:spacing w:line="420" w:lineRule="exact"/>
      <w:jc w:val="center"/>
    </w:pPr>
    <w:rPr>
      <w:rFonts w:ascii="Times New Roman" w:hAnsi="Times New Roman" w:eastAsia="黑体" w:cs="Times New Roman"/>
      <w:b/>
      <w:bCs/>
      <w:kern w:val="2"/>
      <w:sz w:val="21"/>
      <w:szCs w:val="21"/>
      <w:lang w:val="en-US" w:eastAsia="zh-CN" w:bidi="ar-SA"/>
    </w:rPr>
  </w:style>
  <w:style w:type="character" w:customStyle="1" w:styleId="136">
    <w:name w:val="表格正文 Char Char"/>
    <w:autoRedefine/>
    <w:qFormat/>
    <w:uiPriority w:val="0"/>
    <w:rPr>
      <w:rFonts w:ascii="Arial" w:hAnsi="Arial" w:eastAsia="宋体"/>
      <w:color w:val="000000"/>
      <w:kern w:val="2"/>
      <w:sz w:val="21"/>
      <w:lang w:val="en-US" w:eastAsia="zh-CN" w:bidi="ar-SA"/>
    </w:rPr>
  </w:style>
  <w:style w:type="character" w:customStyle="1" w:styleId="137">
    <w:name w:val="正文01 Char Char"/>
    <w:link w:val="98"/>
    <w:autoRedefine/>
    <w:qFormat/>
    <w:uiPriority w:val="0"/>
    <w:rPr>
      <w:kern w:val="2"/>
      <w:sz w:val="24"/>
      <w:szCs w:val="22"/>
    </w:rPr>
  </w:style>
  <w:style w:type="character" w:customStyle="1" w:styleId="138">
    <w:name w:val="表格标题 Char Char"/>
    <w:link w:val="97"/>
    <w:autoRedefine/>
    <w:qFormat/>
    <w:uiPriority w:val="0"/>
    <w:rPr>
      <w:kern w:val="2"/>
      <w:sz w:val="24"/>
    </w:rPr>
  </w:style>
  <w:style w:type="character" w:customStyle="1" w:styleId="139">
    <w:name w:val="纯文本 Char1"/>
    <w:autoRedefine/>
    <w:qFormat/>
    <w:uiPriority w:val="0"/>
    <w:rPr>
      <w:rFonts w:ascii="宋体" w:hAnsi="Courier New" w:eastAsia="宋体"/>
      <w:kern w:val="2"/>
      <w:sz w:val="21"/>
      <w:lang w:val="en-US" w:eastAsia="zh-CN" w:bidi="ar-SA"/>
    </w:rPr>
  </w:style>
  <w:style w:type="paragraph" w:customStyle="1" w:styleId="140">
    <w:name w:val="这是正文"/>
    <w:basedOn w:val="1"/>
    <w:link w:val="141"/>
    <w:autoRedefine/>
    <w:qFormat/>
    <w:uiPriority w:val="0"/>
    <w:pPr>
      <w:adjustRightInd w:val="0"/>
      <w:snapToGrid w:val="0"/>
      <w:spacing w:line="360" w:lineRule="auto"/>
      <w:ind w:firstLine="482" w:firstLineChars="200"/>
    </w:pPr>
    <w:rPr>
      <w:snapToGrid w:val="0"/>
      <w:kern w:val="0"/>
      <w:szCs w:val="24"/>
    </w:rPr>
  </w:style>
  <w:style w:type="character" w:customStyle="1" w:styleId="141">
    <w:name w:val="这是正文 Char1"/>
    <w:link w:val="140"/>
    <w:autoRedefine/>
    <w:qFormat/>
    <w:uiPriority w:val="0"/>
    <w:rPr>
      <w:snapToGrid w:val="0"/>
      <w:sz w:val="24"/>
      <w:szCs w:val="24"/>
    </w:rPr>
  </w:style>
  <w:style w:type="paragraph" w:customStyle="1" w:styleId="142">
    <w:name w:val="小四表头"/>
    <w:basedOn w:val="1"/>
    <w:link w:val="143"/>
    <w:autoRedefine/>
    <w:qFormat/>
    <w:uiPriority w:val="0"/>
    <w:pPr>
      <w:widowControl/>
      <w:adjustRightInd w:val="0"/>
      <w:snapToGrid w:val="0"/>
      <w:jc w:val="center"/>
    </w:pPr>
    <w:rPr>
      <w:b/>
      <w:bCs/>
      <w:kern w:val="0"/>
      <w:szCs w:val="28"/>
    </w:rPr>
  </w:style>
  <w:style w:type="character" w:customStyle="1" w:styleId="143">
    <w:name w:val="小四表头 Char"/>
    <w:link w:val="142"/>
    <w:autoRedefine/>
    <w:qFormat/>
    <w:uiPriority w:val="0"/>
    <w:rPr>
      <w:b/>
      <w:bCs/>
      <w:sz w:val="24"/>
      <w:szCs w:val="28"/>
    </w:rPr>
  </w:style>
  <w:style w:type="paragraph" w:customStyle="1" w:styleId="144">
    <w:name w:val="表格内"/>
    <w:basedOn w:val="1"/>
    <w:link w:val="145"/>
    <w:autoRedefine/>
    <w:qFormat/>
    <w:uiPriority w:val="0"/>
    <w:pPr>
      <w:adjustRightInd w:val="0"/>
      <w:snapToGrid w:val="0"/>
      <w:jc w:val="center"/>
    </w:pPr>
    <w:rPr>
      <w:kern w:val="0"/>
      <w:sz w:val="21"/>
      <w:szCs w:val="20"/>
    </w:rPr>
  </w:style>
  <w:style w:type="character" w:customStyle="1" w:styleId="145">
    <w:name w:val="表格内 Char1"/>
    <w:link w:val="144"/>
    <w:autoRedefine/>
    <w:qFormat/>
    <w:uiPriority w:val="0"/>
    <w:rPr>
      <w:sz w:val="21"/>
    </w:rPr>
  </w:style>
  <w:style w:type="paragraph" w:customStyle="1" w:styleId="146">
    <w:name w:val="表格内样式"/>
    <w:autoRedefine/>
    <w:qFormat/>
    <w:uiPriority w:val="1"/>
    <w:pPr>
      <w:widowControl w:val="0"/>
      <w:jc w:val="center"/>
    </w:pPr>
    <w:rPr>
      <w:rFonts w:ascii="Times New Roman" w:hAnsi="Times New Roman" w:eastAsia="宋体" w:cs="Times New Roman"/>
      <w:kern w:val="2"/>
      <w:sz w:val="21"/>
      <w:lang w:val="en-US" w:eastAsia="zh-CN" w:bidi="ar-SA"/>
    </w:rPr>
  </w:style>
  <w:style w:type="character" w:customStyle="1" w:styleId="147">
    <w:name w:val="正文缩进 字符"/>
    <w:autoRedefine/>
    <w:qFormat/>
    <w:uiPriority w:val="0"/>
    <w:rPr>
      <w:rFonts w:ascii="Lucida Sans" w:hAnsi="Lucida Sans"/>
      <w:kern w:val="2"/>
      <w:sz w:val="21"/>
      <w:szCs w:val="24"/>
    </w:rPr>
  </w:style>
  <w:style w:type="character" w:customStyle="1" w:styleId="148">
    <w:name w:val="普通(网站) Char"/>
    <w:link w:val="26"/>
    <w:qFormat/>
    <w:locked/>
    <w:uiPriority w:val="0"/>
    <w:rPr>
      <w:rFonts w:ascii="宋体" w:hAnsi="宋体" w:cs="宋体"/>
      <w:color w:val="000000"/>
      <w:sz w:val="24"/>
      <w:szCs w:val="24"/>
    </w:rPr>
  </w:style>
  <w:style w:type="paragraph" w:customStyle="1" w:styleId="149">
    <w:name w:val="1正文段落"/>
    <w:basedOn w:val="1"/>
    <w:link w:val="150"/>
    <w:qFormat/>
    <w:uiPriority w:val="0"/>
    <w:pPr>
      <w:spacing w:line="360" w:lineRule="auto"/>
      <w:ind w:firstLine="200" w:firstLineChars="200"/>
    </w:pPr>
    <w:rPr>
      <w:rFonts w:cstheme="minorBidi"/>
      <w:snapToGrid w:val="0"/>
      <w:kern w:val="0"/>
      <w:szCs w:val="21"/>
    </w:rPr>
  </w:style>
  <w:style w:type="character" w:customStyle="1" w:styleId="150">
    <w:name w:val="1正文段落 Char"/>
    <w:link w:val="149"/>
    <w:qFormat/>
    <w:uiPriority w:val="0"/>
    <w:rPr>
      <w:rFonts w:cstheme="minorBidi"/>
      <w:snapToGrid w:val="0"/>
      <w:sz w:val="24"/>
      <w:szCs w:val="21"/>
    </w:rPr>
  </w:style>
  <w:style w:type="character" w:customStyle="1" w:styleId="151">
    <w:name w:val="报告表正文 Char"/>
    <w:link w:val="113"/>
    <w:qFormat/>
    <w:uiPriority w:val="0"/>
    <w:rPr>
      <w:sz w:val="24"/>
      <w:szCs w:val="24"/>
    </w:rPr>
  </w:style>
  <w:style w:type="paragraph" w:customStyle="1" w:styleId="152">
    <w:name w:val="Revision"/>
    <w:hidden/>
    <w:semiHidden/>
    <w:qFormat/>
    <w:uiPriority w:val="99"/>
    <w:rPr>
      <w:rFonts w:ascii="Times New Roman" w:hAnsi="Times New Roman" w:eastAsia="宋体" w:cs="Times New Roman"/>
      <w:kern w:val="2"/>
      <w:sz w:val="24"/>
      <w:szCs w:val="22"/>
      <w:lang w:val="en-US" w:eastAsia="zh-CN" w:bidi="ar-SA"/>
    </w:rPr>
  </w:style>
  <w:style w:type="table" w:customStyle="1" w:styleId="153">
    <w:name w:val="Table Normal"/>
    <w:semiHidden/>
    <w:unhideWhenUsed/>
    <w:qFormat/>
    <w:uiPriority w:val="0"/>
    <w:tblPr>
      <w:tblCellMar>
        <w:top w:w="0" w:type="dxa"/>
        <w:left w:w="0" w:type="dxa"/>
        <w:bottom w:w="0" w:type="dxa"/>
        <w:right w:w="0" w:type="dxa"/>
      </w:tblCellMar>
    </w:tblPr>
  </w:style>
  <w:style w:type="paragraph" w:customStyle="1" w:styleId="154">
    <w:name w:val="Table Text"/>
    <w:basedOn w:val="1"/>
    <w:semiHidden/>
    <w:qFormat/>
    <w:uiPriority w:val="0"/>
    <w:rPr>
      <w:rFonts w:ascii="Times New Roman" w:hAnsi="Times New Roman" w:eastAsia="Times New Roman" w:cs="Times New Roman"/>
      <w:sz w:val="30"/>
      <w:szCs w:val="30"/>
      <w:lang w:val="en-US" w:eastAsia="en-US" w:bidi="ar-SA"/>
    </w:rPr>
  </w:style>
  <w:style w:type="paragraph" w:customStyle="1" w:styleId="155">
    <w:name w:val="样式4"/>
    <w:next w:val="8"/>
    <w:qFormat/>
    <w:uiPriority w:val="0"/>
    <w:pPr>
      <w:spacing w:line="440" w:lineRule="exact"/>
      <w:ind w:firstLine="200" w:firstLineChars="200"/>
      <w:jc w:val="both"/>
    </w:pPr>
    <w:rPr>
      <w:rFonts w:ascii="Times New Roman" w:hAnsi="Times New Roman" w:eastAsia="仿宋_GB2312" w:cs="Times New Roman"/>
      <w:kern w:val="2"/>
      <w:sz w:val="24"/>
      <w:szCs w:val="24"/>
      <w:lang w:val="en-US" w:eastAsia="zh-CN" w:bidi="ar-SA"/>
    </w:rPr>
  </w:style>
  <w:style w:type="character" w:customStyle="1" w:styleId="156">
    <w:name w:val="fontstyle21"/>
    <w:qFormat/>
    <w:uiPriority w:val="0"/>
    <w:rPr>
      <w:rFonts w:hint="default" w:ascii="Times New Roman" w:hAnsi="Times New Roman" w:cs="Times New Roman"/>
      <w:color w:val="000000"/>
      <w:sz w:val="24"/>
      <w:szCs w:val="24"/>
    </w:rPr>
  </w:style>
  <w:style w:type="paragraph" w:customStyle="1" w:styleId="157">
    <w:name w:val="PlainText"/>
    <w:basedOn w:val="1"/>
    <w:next w:val="158"/>
    <w:qFormat/>
    <w:uiPriority w:val="0"/>
    <w:pPr>
      <w:textAlignment w:val="baseline"/>
    </w:pPr>
    <w:rPr>
      <w:rFonts w:ascii="宋体" w:hAnsi="Courier New"/>
      <w:kern w:val="2"/>
      <w:sz w:val="21"/>
      <w:lang w:eastAsia="zh-CN"/>
    </w:rPr>
  </w:style>
  <w:style w:type="paragraph" w:customStyle="1" w:styleId="158">
    <w:name w:val="TOC1"/>
    <w:basedOn w:val="1"/>
    <w:next w:val="1"/>
    <w:qFormat/>
    <w:uiPriority w:val="0"/>
    <w:pPr>
      <w:tabs>
        <w:tab w:val="right" w:leader="dot" w:pos="9060"/>
      </w:tabs>
      <w:spacing w:before="120" w:after="120" w:line="360" w:lineRule="auto"/>
      <w:jc w:val="left"/>
      <w:textAlignment w:val="baseline"/>
    </w:pPr>
    <w:rPr>
      <w:rFonts w:eastAsia="黑体"/>
      <w:bCs/>
      <w:caps/>
      <w:kern w:val="2"/>
      <w:sz w:val="24"/>
      <w:szCs w:val="24"/>
      <w:lang w:eastAsia="zh-CN"/>
    </w:rPr>
  </w:style>
  <w:style w:type="paragraph" w:customStyle="1" w:styleId="159">
    <w:name w:val="AA正文"/>
    <w:basedOn w:val="1"/>
    <w:qFormat/>
    <w:uiPriority w:val="0"/>
    <w:pPr>
      <w:spacing w:line="480" w:lineRule="exact"/>
      <w:ind w:firstLine="200" w:firstLineChars="200"/>
    </w:pPr>
    <w:rPr>
      <w:kern w:val="0"/>
      <w:sz w:val="24"/>
      <w:szCs w:val="22"/>
      <w:lang w:bidi="en-US"/>
    </w:rPr>
  </w:style>
  <w:style w:type="paragraph" w:customStyle="1" w:styleId="160">
    <w:name w:val="Table Paragraph"/>
    <w:basedOn w:val="1"/>
    <w:qFormat/>
    <w:uiPriority w:val="0"/>
    <w:pPr>
      <w:jc w:val="center"/>
    </w:pPr>
    <w:rPr>
      <w:rFonts w:ascii="宋体" w:hAnsi="宋体" w:eastAsia="宋体" w:cs="宋体"/>
      <w:lang w:val="zh-CN" w:bidi="zh-CN"/>
    </w:rPr>
  </w:style>
  <w:style w:type="paragraph" w:customStyle="1" w:styleId="161">
    <w:name w:val=" Char Char Char Char Char Char Char Char Char Char"/>
    <w:basedOn w:val="1"/>
    <w:qFormat/>
    <w:uiPriority w:val="0"/>
    <w:pPr>
      <w:spacing w:line="360" w:lineRule="auto"/>
      <w:ind w:firstLine="200" w:firstLineChars="200"/>
    </w:pPr>
    <w:rPr>
      <w:rFonts w:ascii="宋体" w:hAnsi="宋体" w:cs="宋体"/>
      <w:sz w:val="24"/>
      <w:szCs w:val="24"/>
    </w:rPr>
  </w:style>
  <w:style w:type="character" w:customStyle="1" w:styleId="162">
    <w:name w:val="font41"/>
    <w:basedOn w:val="31"/>
    <w:qFormat/>
    <w:uiPriority w:val="99"/>
    <w:rPr>
      <w:rFonts w:ascii="Times New Roman" w:hAnsi="Times New Roman" w:cs="Times New Roman"/>
      <w:b/>
      <w:color w:val="000000"/>
      <w:sz w:val="21"/>
      <w:szCs w:val="21"/>
      <w:u w:val="none"/>
    </w:rPr>
  </w:style>
  <w:style w:type="paragraph" w:customStyle="1" w:styleId="163">
    <w:name w:val="正文 缩进"/>
    <w:basedOn w:val="127"/>
    <w:semiHidden/>
    <w:qFormat/>
    <w:uiPriority w:val="0"/>
    <w:pPr>
      <w:spacing w:line="440" w:lineRule="exact"/>
      <w:ind w:firstLine="480" w:firstLineChars="200"/>
    </w:pPr>
    <w:rPr>
      <w:kern w:val="0"/>
    </w:rPr>
  </w:style>
  <w:style w:type="paragraph" w:customStyle="1" w:styleId="164">
    <w:name w:val="表格文字2018"/>
    <w:qFormat/>
    <w:uiPriority w:val="0"/>
    <w:pPr>
      <w:spacing w:line="320" w:lineRule="exact"/>
      <w:jc w:val="center"/>
    </w:pPr>
    <w:rPr>
      <w:rFonts w:ascii="Times New Roman" w:hAnsi="Times New Roman" w:eastAsia="仿宋_GB2312" w:cs="Times New Roman"/>
      <w:kern w:val="2"/>
      <w:sz w:val="21"/>
      <w:szCs w:val="21"/>
      <w:lang w:val="en-US" w:eastAsia="zh-CN" w:bidi="ar-SA"/>
    </w:rPr>
  </w:style>
  <w:style w:type="paragraph" w:customStyle="1" w:styleId="165">
    <w:name w:val="嘉环表格文字"/>
    <w:qFormat/>
    <w:uiPriority w:val="0"/>
    <w:pPr>
      <w:snapToGrid w:val="0"/>
      <w:spacing w:line="320" w:lineRule="exact"/>
      <w:jc w:val="center"/>
    </w:pPr>
    <w:rPr>
      <w:rFonts w:ascii="Times New Roman" w:hAnsi="Times New Roman" w:eastAsia="仿宋_GB2312" w:cs="Times New Roman"/>
      <w:kern w:val="2"/>
      <w:sz w:val="21"/>
      <w:szCs w:val="21"/>
      <w:lang w:val="en-US" w:eastAsia="zh-CN" w:bidi="ar-SA"/>
    </w:rPr>
  </w:style>
  <w:style w:type="paragraph" w:customStyle="1" w:styleId="166">
    <w:name w:val="表头2018"/>
    <w:autoRedefine/>
    <w:qFormat/>
    <w:uiPriority w:val="0"/>
    <w:pPr>
      <w:spacing w:line="440" w:lineRule="exact"/>
      <w:jc w:val="center"/>
    </w:pPr>
    <w:rPr>
      <w:rFonts w:ascii="Times New Roman" w:hAnsi="Times New Roman" w:eastAsia="黑体" w:cs="Times New Roman"/>
      <w:b/>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6.wmf"/><Relationship Id="rId23" Type="http://schemas.openxmlformats.org/officeDocument/2006/relationships/oleObject" Target="embeddings/oleObject1.bin"/><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0AAA1A-41CA-4AF2-AE8B-86B952EA8005}">
  <ds:schemaRefs/>
</ds:datastoreItem>
</file>

<file path=docProps/app.xml><?xml version="1.0" encoding="utf-8"?>
<Properties xmlns="http://schemas.openxmlformats.org/officeDocument/2006/extended-properties" xmlns:vt="http://schemas.openxmlformats.org/officeDocument/2006/docPropsVTypes">
  <Template>Normal</Template>
  <Pages>99</Pages>
  <Words>54815</Words>
  <Characters>64324</Characters>
  <Lines>539</Lines>
  <Paragraphs>152</Paragraphs>
  <TotalTime>1</TotalTime>
  <ScaleCrop>false</ScaleCrop>
  <LinksUpToDate>false</LinksUpToDate>
  <CharactersWithSpaces>64566</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2022-10-27T08:25:00Z</dcterms:created>
  <dc:creator>Administrator</dc:creator>
  <cp:lastModifiedBy>思天</cp:lastModifiedBy>
  <cp:lastPrinted>2024-03-06T09:49:00Z</cp:lastPrinted>
  <dcterms:modified xsi:type="dcterms:W3CDTF">2024-05-23T10:45:53Z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52DF91FD10E14173B85C39163DDAFD21_13</vt:lpwstr>
  </property>
</Properties>
</file>